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3E4E9" w14:textId="77777777" w:rsidR="00284B7F" w:rsidRPr="00AB2C18" w:rsidRDefault="00284B7F" w:rsidP="00284B7F">
      <w:pPr>
        <w:widowControl w:val="0"/>
        <w:suppressAutoHyphens/>
        <w:spacing w:line="360" w:lineRule="auto"/>
        <w:ind w:firstLine="851"/>
        <w:jc w:val="both"/>
        <w:rPr>
          <w:rFonts w:eastAsia="SimSun"/>
          <w:color w:val="000000" w:themeColor="text1"/>
          <w:kern w:val="1"/>
          <w:lang w:eastAsia="hi-IN" w:bidi="hi-IN"/>
        </w:rPr>
      </w:pPr>
    </w:p>
    <w:p w14:paraId="13D1B901" w14:textId="77777777" w:rsidR="00284B7F" w:rsidRPr="00AB2C18" w:rsidRDefault="00284B7F" w:rsidP="00284B7F">
      <w:pPr>
        <w:widowControl w:val="0"/>
        <w:suppressAutoHyphens/>
        <w:spacing w:line="360" w:lineRule="auto"/>
        <w:ind w:firstLine="851"/>
        <w:jc w:val="both"/>
        <w:rPr>
          <w:rFonts w:eastAsia="SimSun"/>
          <w:color w:val="000000" w:themeColor="text1"/>
          <w:kern w:val="1"/>
          <w:lang w:eastAsia="hi-IN" w:bidi="hi-IN"/>
        </w:rPr>
      </w:pPr>
    </w:p>
    <w:p w14:paraId="6FB326AA" w14:textId="77777777" w:rsidR="00284B7F" w:rsidRPr="00AB2C18" w:rsidRDefault="00284B7F" w:rsidP="00284B7F">
      <w:pPr>
        <w:widowControl w:val="0"/>
        <w:suppressAutoHyphens/>
        <w:spacing w:line="360" w:lineRule="auto"/>
        <w:ind w:right="-852"/>
        <w:jc w:val="both"/>
        <w:rPr>
          <w:rFonts w:eastAsia="SimSun"/>
          <w:b/>
          <w:color w:val="000000" w:themeColor="text1"/>
          <w:kern w:val="1"/>
          <w:lang w:eastAsia="hi-IN" w:bidi="hi-IN"/>
        </w:rPr>
      </w:pPr>
      <w:bookmarkStart w:id="0" w:name="_Hlk499710113"/>
    </w:p>
    <w:bookmarkEnd w:id="0"/>
    <w:p w14:paraId="46DF36A7" w14:textId="77777777" w:rsidR="00284B7F" w:rsidRPr="00AB2C18" w:rsidRDefault="00284B7F" w:rsidP="00284B7F">
      <w:pPr>
        <w:spacing w:line="360" w:lineRule="auto"/>
        <w:ind w:left="851"/>
        <w:jc w:val="both"/>
        <w:rPr>
          <w:rFonts w:eastAsia="Arial"/>
          <w:color w:val="000000" w:themeColor="text1"/>
        </w:rPr>
      </w:pPr>
    </w:p>
    <w:p w14:paraId="7C4077E9" w14:textId="77777777" w:rsidR="00284B7F" w:rsidRPr="00AB2C18" w:rsidRDefault="00284B7F" w:rsidP="00284B7F">
      <w:pPr>
        <w:spacing w:line="360" w:lineRule="auto"/>
        <w:ind w:left="851"/>
        <w:jc w:val="both"/>
        <w:rPr>
          <w:rFonts w:eastAsia="Arial"/>
          <w:color w:val="000000" w:themeColor="text1"/>
        </w:rPr>
      </w:pPr>
    </w:p>
    <w:p w14:paraId="50451E47" w14:textId="77777777" w:rsidR="00284B7F" w:rsidRPr="00AB2C18" w:rsidRDefault="00284B7F" w:rsidP="00284B7F">
      <w:pPr>
        <w:spacing w:line="360" w:lineRule="auto"/>
        <w:ind w:left="851"/>
        <w:jc w:val="both"/>
        <w:rPr>
          <w:rFonts w:eastAsia="Arial"/>
          <w:color w:val="000000" w:themeColor="text1"/>
        </w:rPr>
      </w:pPr>
    </w:p>
    <w:p w14:paraId="06A774B8" w14:textId="77777777" w:rsidR="00284B7F" w:rsidRPr="00AB2C18" w:rsidRDefault="00284B7F" w:rsidP="00284B7F">
      <w:pPr>
        <w:spacing w:line="360" w:lineRule="auto"/>
        <w:rPr>
          <w:rFonts w:eastAsia="Arial"/>
          <w:b/>
          <w:color w:val="000000" w:themeColor="text1"/>
        </w:rPr>
      </w:pPr>
    </w:p>
    <w:p w14:paraId="61357209" w14:textId="77777777" w:rsidR="00284B7F" w:rsidRPr="00AB2C18" w:rsidRDefault="00284B7F" w:rsidP="00284B7F">
      <w:pPr>
        <w:spacing w:line="360" w:lineRule="auto"/>
        <w:jc w:val="center"/>
        <w:rPr>
          <w:rFonts w:eastAsia="Arial"/>
          <w:b/>
          <w:color w:val="000000" w:themeColor="text1"/>
        </w:rPr>
      </w:pPr>
    </w:p>
    <w:p w14:paraId="5A64B024" w14:textId="77777777" w:rsidR="00284B7F" w:rsidRPr="00AB2C18" w:rsidRDefault="00284B7F" w:rsidP="00284B7F">
      <w:pPr>
        <w:widowControl w:val="0"/>
        <w:suppressAutoHyphens/>
        <w:spacing w:line="360" w:lineRule="auto"/>
        <w:ind w:firstLine="851"/>
        <w:jc w:val="right"/>
        <w:rPr>
          <w:rFonts w:eastAsia="SimSun"/>
          <w:color w:val="000000" w:themeColor="text1"/>
          <w:kern w:val="1"/>
          <w:lang w:eastAsia="hi-IN" w:bidi="hi-IN"/>
        </w:rPr>
      </w:pPr>
      <w:r w:rsidRPr="00AB2C18">
        <w:rPr>
          <w:rFonts w:eastAsia="Arial"/>
          <w:noProof/>
          <w:color w:val="000000" w:themeColor="text1"/>
        </w:rPr>
        <mc:AlternateContent>
          <mc:Choice Requires="wps">
            <w:drawing>
              <wp:anchor distT="0" distB="0" distL="114300" distR="114300" simplePos="0" relativeHeight="251659264" behindDoc="1" locked="0" layoutInCell="1" allowOverlap="1" wp14:anchorId="4410AE24" wp14:editId="4EF57A16">
                <wp:simplePos x="0" y="0"/>
                <wp:positionH relativeFrom="page">
                  <wp:posOffset>2222500</wp:posOffset>
                </wp:positionH>
                <wp:positionV relativeFrom="page">
                  <wp:posOffset>-9525</wp:posOffset>
                </wp:positionV>
                <wp:extent cx="5337810" cy="1800225"/>
                <wp:effectExtent l="0" t="0" r="0" b="9525"/>
                <wp:wrapSquare wrapText="bothSides"/>
                <wp:docPr id="37" name="Retângulo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7810" cy="1800225"/>
                        </a:xfrm>
                        <a:prstGeom prst="rect">
                          <a:avLst/>
                        </a:prstGeom>
                        <a:solidFill>
                          <a:srgbClr val="5C8526">
                            <a:alpha val="70000"/>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F488E0" w14:textId="77777777" w:rsidR="00BC3558" w:rsidRDefault="00BC3558" w:rsidP="00284B7F">
                            <w:pPr>
                              <w:jc w:val="center"/>
                              <w:rPr>
                                <w:color w:val="FFFFFF"/>
                                <w:sz w:val="48"/>
                                <w:szCs w:val="48"/>
                              </w:rPr>
                            </w:pPr>
                            <w:r>
                              <w:rPr>
                                <w:color w:val="FFFFFF"/>
                                <w:sz w:val="48"/>
                                <w:szCs w:val="48"/>
                              </w:rPr>
                              <w:t>Universidade Federal da Bahia</w:t>
                            </w:r>
                          </w:p>
                          <w:p w14:paraId="4C33EC3D" w14:textId="77777777" w:rsidR="00BC3558" w:rsidRDefault="00BC3558" w:rsidP="00284B7F">
                            <w:pPr>
                              <w:jc w:val="center"/>
                              <w:rPr>
                                <w:color w:val="FFFFFF"/>
                                <w:sz w:val="44"/>
                                <w:szCs w:val="44"/>
                              </w:rPr>
                            </w:pPr>
                            <w:r>
                              <w:rPr>
                                <w:color w:val="FFFFFF"/>
                                <w:sz w:val="44"/>
                                <w:szCs w:val="44"/>
                              </w:rPr>
                              <w:t>Instituto de Ciências da Saúde</w:t>
                            </w:r>
                          </w:p>
                        </w:txbxContent>
                      </wps:txbx>
                      <wps:bodyPr rot="0" vert="horz" wrap="square" lIns="0" tIns="54000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4410AE24" id="Retângulo 13" o:spid="_x0000_s1026" style="position:absolute;left:0;text-align:left;margin-left:175pt;margin-top:-.75pt;width:420.3pt;height:14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" fillcolor="#5c8526" stroked="f">
                <v:fill opacity="46003f"/>
                <v:stroke joinstyle="round"/>
                <o:lock v:ext="edit" aspectratio="t"/>
                <v:textbox inset="0,15mm,0,0">
                  <w:txbxContent>
                    <w:p w14:paraId="7CF488E0" w14:textId="77777777" w:rsidR="00BC3558" w:rsidRDefault="00BC3558" w:rsidP="00284B7F">
                      <w:pPr>
                        <w:jc w:val="center"/>
                        <w:rPr>
                          <w:color w:val="FFFFFF"/>
                          <w:sz w:val="48"/>
                          <w:szCs w:val="48"/>
                        </w:rPr>
                      </w:pPr>
                      <w:r>
                        <w:rPr>
                          <w:color w:val="FFFFFF"/>
                          <w:sz w:val="48"/>
                          <w:szCs w:val="48"/>
                        </w:rPr>
                        <w:t>Universidade Federal da Bahia</w:t>
                      </w:r>
                    </w:p>
                    <w:p w14:paraId="4C33EC3D" w14:textId="77777777" w:rsidR="00BC3558" w:rsidRDefault="00BC3558" w:rsidP="00284B7F">
                      <w:pPr>
                        <w:jc w:val="center"/>
                        <w:rPr>
                          <w:color w:val="FFFFFF"/>
                          <w:sz w:val="44"/>
                          <w:szCs w:val="44"/>
                        </w:rPr>
                      </w:pPr>
                      <w:r>
                        <w:rPr>
                          <w:color w:val="FFFFFF"/>
                          <w:sz w:val="44"/>
                          <w:szCs w:val="44"/>
                        </w:rPr>
                        <w:t>Instituto de Ciências da Saúde</w:t>
                      </w:r>
                    </w:p>
                  </w:txbxContent>
                </v:textbox>
                <w10:wrap type="square" anchorx="page" anchory="page"/>
              </v:rect>
            </w:pict>
          </mc:Fallback>
        </mc:AlternateContent>
      </w:r>
      <w:r w:rsidRPr="00AB2C18">
        <w:rPr>
          <w:rFonts w:eastAsia="Arial"/>
          <w:noProof/>
          <w:color w:val="000000" w:themeColor="text1"/>
        </w:rPr>
        <mc:AlternateContent>
          <mc:Choice Requires="wps">
            <w:drawing>
              <wp:anchor distT="0" distB="0" distL="114300" distR="114300" simplePos="0" relativeHeight="251663360" behindDoc="1" locked="0" layoutInCell="1" allowOverlap="1" wp14:anchorId="3A59841F" wp14:editId="172E62D8">
                <wp:simplePos x="0" y="0"/>
                <wp:positionH relativeFrom="page">
                  <wp:posOffset>-36830</wp:posOffset>
                </wp:positionH>
                <wp:positionV relativeFrom="page">
                  <wp:posOffset>1795145</wp:posOffset>
                </wp:positionV>
                <wp:extent cx="7558405" cy="8481060"/>
                <wp:effectExtent l="0" t="0" r="4445" b="0"/>
                <wp:wrapNone/>
                <wp:docPr id="38" name="Retângul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8405" cy="8481060"/>
                        </a:xfrm>
                        <a:prstGeom prst="rect">
                          <a:avLst/>
                        </a:prstGeom>
                        <a:solidFill>
                          <a:srgbClr val="AECF00">
                            <a:alpha val="25000"/>
                          </a:srgbClr>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C21DE6" id="Retângulo 6" o:spid="_x0000_s1026" style="position:absolute;margin-left:-2.9pt;margin-top:141.35pt;width:595.15pt;height:667.8pt;z-index:-2516531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" fillcolor="#aecf00" stroked="f">
                <v:fill opacity="16448f"/>
                <v:stroke joinstyle="round"/>
                <o:lock v:ext="edit" aspectratio="t"/>
                <w10:wrap anchorx="page" anchory="page"/>
              </v:rect>
            </w:pict>
          </mc:Fallback>
        </mc:AlternateContent>
      </w:r>
      <w:r w:rsidRPr="00AB2C18">
        <w:rPr>
          <w:rFonts w:eastAsia="SimSun"/>
          <w:noProof/>
          <w:color w:val="000000" w:themeColor="text1"/>
          <w:kern w:val="1"/>
        </w:rPr>
        <w:drawing>
          <wp:anchor distT="0" distB="0" distL="0" distR="0" simplePos="0" relativeHeight="251662336" behindDoc="1" locked="0" layoutInCell="1" allowOverlap="1" wp14:anchorId="6992BA2E" wp14:editId="3CFD5C04">
            <wp:simplePos x="0" y="0"/>
            <wp:positionH relativeFrom="page">
              <wp:posOffset>360045</wp:posOffset>
            </wp:positionH>
            <wp:positionV relativeFrom="page">
              <wp:posOffset>3240405</wp:posOffset>
            </wp:positionV>
            <wp:extent cx="1388745" cy="5059045"/>
            <wp:effectExtent l="0" t="0" r="1905" b="8255"/>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745" cy="5059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B2C18">
        <w:rPr>
          <w:rFonts w:eastAsia="Arial"/>
          <w:noProof/>
          <w:color w:val="000000" w:themeColor="text1"/>
        </w:rPr>
        <mc:AlternateContent>
          <mc:Choice Requires="wps">
            <w:drawing>
              <wp:anchor distT="0" distB="0" distL="114300" distR="114300" simplePos="0" relativeHeight="251660288" behindDoc="1" locked="0" layoutInCell="1" allowOverlap="1" wp14:anchorId="5EBFCF1B" wp14:editId="7F792DD9">
                <wp:simplePos x="0" y="0"/>
                <wp:positionH relativeFrom="page">
                  <wp:posOffset>0</wp:posOffset>
                </wp:positionH>
                <wp:positionV relativeFrom="page">
                  <wp:posOffset>-5080</wp:posOffset>
                </wp:positionV>
                <wp:extent cx="2222500" cy="1800225"/>
                <wp:effectExtent l="0" t="0" r="6350" b="9525"/>
                <wp:wrapSquare wrapText="bothSides"/>
                <wp:docPr id="39" name="Retâ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2500" cy="1800225"/>
                        </a:xfrm>
                        <a:prstGeom prst="rect">
                          <a:avLst/>
                        </a:prstGeom>
                        <a:solidFill>
                          <a:srgbClr val="5C8526"/>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5F0568" w14:textId="77777777" w:rsidR="00BC3558" w:rsidRPr="00CE6775" w:rsidRDefault="00BC3558" w:rsidP="00284B7F">
                            <w:pPr>
                              <w:jc w:val="center"/>
                              <w:rPr>
                                <w:color w:val="FFFFFF"/>
                                <w:sz w:val="96"/>
                                <w:szCs w:val="96"/>
                              </w:rPr>
                            </w:pPr>
                            <w:r w:rsidRPr="00CE6775">
                              <w:rPr>
                                <w:color w:val="FFFFFF"/>
                                <w:sz w:val="96"/>
                                <w:szCs w:val="96"/>
                              </w:rPr>
                              <w:t>UFBA</w:t>
                            </w:r>
                          </w:p>
                        </w:txbxContent>
                      </wps:txbx>
                      <wps:bodyPr rot="0" vert="horz" wrap="square" lIns="0" tIns="46800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5EBFCF1B" id="Retângulo 3" o:spid="_x0000_s1027" style="position:absolute;left:0;text-align:left;margin-left:0;margin-top:-.4pt;width:175pt;height:141.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" fillcolor="#5c8526" stroked="f">
                <v:stroke joinstyle="round"/>
                <o:lock v:ext="edit" aspectratio="t"/>
                <v:textbox inset="0,13mm,0,0">
                  <w:txbxContent>
                    <w:p w14:paraId="765F0568" w14:textId="77777777" w:rsidR="00BC3558" w:rsidRPr="00CE6775" w:rsidRDefault="00BC3558" w:rsidP="00284B7F">
                      <w:pPr>
                        <w:jc w:val="center"/>
                        <w:rPr>
                          <w:color w:val="FFFFFF"/>
                          <w:sz w:val="96"/>
                          <w:szCs w:val="96"/>
                        </w:rPr>
                      </w:pPr>
                      <w:r w:rsidRPr="00CE6775">
                        <w:rPr>
                          <w:color w:val="FFFFFF"/>
                          <w:sz w:val="96"/>
                          <w:szCs w:val="96"/>
                        </w:rPr>
                        <w:t>UFBA</w:t>
                      </w:r>
                    </w:p>
                  </w:txbxContent>
                </v:textbox>
                <w10:wrap type="square" anchorx="page" anchory="page"/>
              </v:rect>
            </w:pict>
          </mc:Fallback>
        </mc:AlternateContent>
      </w:r>
      <w:r w:rsidRPr="00AB2C18">
        <w:rPr>
          <w:rFonts w:eastAsia="Arial"/>
          <w:noProof/>
          <w:color w:val="000000" w:themeColor="text1"/>
        </w:rPr>
        <mc:AlternateContent>
          <mc:Choice Requires="wps">
            <w:drawing>
              <wp:anchor distT="0" distB="0" distL="114300" distR="114300" simplePos="0" relativeHeight="251661312" behindDoc="1" locked="0" layoutInCell="1" allowOverlap="1" wp14:anchorId="66E0E560" wp14:editId="5CCC8457">
                <wp:simplePos x="0" y="0"/>
                <wp:positionH relativeFrom="page">
                  <wp:posOffset>0</wp:posOffset>
                </wp:positionH>
                <wp:positionV relativeFrom="page">
                  <wp:posOffset>10270490</wp:posOffset>
                </wp:positionV>
                <wp:extent cx="7559675" cy="422910"/>
                <wp:effectExtent l="0" t="0" r="3175" b="0"/>
                <wp:wrapNone/>
                <wp:docPr id="40" name="Retâ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9675" cy="422910"/>
                        </a:xfrm>
                        <a:prstGeom prst="rect">
                          <a:avLst/>
                        </a:prstGeom>
                        <a:solidFill>
                          <a:srgbClr val="5C8526"/>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325A39" id="Retângulo 2" o:spid="_x0000_s1026" style="position:absolute;margin-left:0;margin-top:808.7pt;width:595.25pt;height:33.3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" fillcolor="#5c8526" stroked="f">
                <v:stroke joinstyle="round"/>
                <o:lock v:ext="edit" aspectratio="t"/>
                <w10:wrap anchorx="page" anchory="page"/>
              </v:rect>
            </w:pict>
          </mc:Fallback>
        </mc:AlternateContent>
      </w:r>
      <w:r w:rsidRPr="00AB2C18">
        <w:rPr>
          <w:rFonts w:eastAsia="Arial"/>
          <w:noProof/>
          <w:color w:val="000000" w:themeColor="text1"/>
        </w:rPr>
        <mc:AlternateContent>
          <mc:Choice Requires="wps">
            <w:drawing>
              <wp:anchor distT="0" distB="0" distL="114300" distR="114300" simplePos="0" relativeHeight="251664384" behindDoc="1" locked="0" layoutInCell="1" allowOverlap="1" wp14:anchorId="2CFDF019" wp14:editId="78160485">
                <wp:simplePos x="0" y="0"/>
                <wp:positionH relativeFrom="page">
                  <wp:posOffset>2221230</wp:posOffset>
                </wp:positionH>
                <wp:positionV relativeFrom="page">
                  <wp:posOffset>1789430</wp:posOffset>
                </wp:positionV>
                <wp:extent cx="5337175" cy="8903970"/>
                <wp:effectExtent l="0" t="0" r="0" b="0"/>
                <wp:wrapNone/>
                <wp:docPr id="41" name="Retângulo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7175" cy="8903970"/>
                        </a:xfrm>
                        <a:prstGeom prst="rect">
                          <a:avLst/>
                        </a:prstGeom>
                        <a:blipFill dpi="0" rotWithShape="0">
                          <a:blip r:embed="rId9">
                            <a:alphaModFix amt="25000"/>
                          </a:blip>
                          <a:srcRect/>
                          <a:tile tx="0" ty="0" sx="100000" sy="100000" flip="none" algn="tl"/>
                        </a:blip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D79257" w14:textId="77777777" w:rsidR="00BC3558" w:rsidRDefault="00BC3558" w:rsidP="00FF3735">
                            <w:pPr>
                              <w:jc w:val="center"/>
                            </w:pP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FDF019" id="Retângulo 14" o:spid="_x0000_s1028" style="position:absolute;left:0;text-align:left;margin-left:174.9pt;margin-top:140.9pt;width:420.25pt;height:701.1pt;z-index:-2516520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" stroked="f">
                <v:fill r:id="rId10" o:title="" opacity=".25" recolor="t" type="tile"/>
                <v:stroke joinstyle="round"/>
                <o:lock v:ext="edit" aspectratio="t"/>
                <v:textbox>
                  <w:txbxContent>
                    <w:p w14:paraId="5BD79257" w14:textId="77777777" w:rsidR="00BC3558" w:rsidRDefault="00BC3558" w:rsidP="00FF3735">
                      <w:pPr>
                        <w:jc w:val="center"/>
                      </w:pPr>
                    </w:p>
                  </w:txbxContent>
                </v:textbox>
                <w10:wrap anchorx="page" anchory="page"/>
              </v:rect>
            </w:pict>
          </mc:Fallback>
        </mc:AlternateContent>
      </w:r>
    </w:p>
    <w:p w14:paraId="63C62BFE" w14:textId="137C2B99" w:rsidR="00284B7F" w:rsidRPr="00FF3735" w:rsidRDefault="00FF3735" w:rsidP="00284B7F">
      <w:pPr>
        <w:widowControl w:val="0"/>
        <w:suppressAutoHyphens/>
        <w:spacing w:line="360" w:lineRule="auto"/>
        <w:ind w:firstLine="851"/>
        <w:jc w:val="right"/>
        <w:rPr>
          <w:rFonts w:eastAsia="SimSun"/>
          <w:b/>
          <w:color w:val="000000" w:themeColor="text1"/>
          <w:kern w:val="1"/>
          <w:sz w:val="28"/>
          <w:szCs w:val="28"/>
          <w:lang w:eastAsia="hi-IN" w:bidi="hi-IN"/>
        </w:rPr>
      </w:pPr>
      <w:r w:rsidRPr="00FF3735">
        <w:rPr>
          <w:rFonts w:eastAsia="SimSun"/>
          <w:b/>
          <w:color w:val="000000" w:themeColor="text1"/>
          <w:kern w:val="1"/>
          <w:sz w:val="28"/>
          <w:szCs w:val="28"/>
          <w:lang w:eastAsia="hi-IN" w:bidi="hi-IN"/>
        </w:rPr>
        <w:t>ELISA AIRES</w:t>
      </w:r>
    </w:p>
    <w:p w14:paraId="4492A416" w14:textId="77777777" w:rsidR="00284B7F" w:rsidRPr="00090F80" w:rsidRDefault="00284B7F" w:rsidP="00284B7F">
      <w:pPr>
        <w:widowControl w:val="0"/>
        <w:suppressAutoHyphens/>
        <w:spacing w:line="360" w:lineRule="auto"/>
        <w:ind w:firstLine="851"/>
        <w:jc w:val="right"/>
        <w:rPr>
          <w:rFonts w:eastAsia="SimSun"/>
          <w:color w:val="000000" w:themeColor="text1"/>
          <w:kern w:val="1"/>
          <w:sz w:val="28"/>
          <w:szCs w:val="28"/>
          <w:lang w:eastAsia="hi-IN" w:bidi="hi-IN"/>
        </w:rPr>
      </w:pPr>
    </w:p>
    <w:p w14:paraId="48ADC0A6" w14:textId="77777777" w:rsidR="00284B7F" w:rsidRPr="00090F80" w:rsidRDefault="00284B7F" w:rsidP="00284B7F">
      <w:pPr>
        <w:widowControl w:val="0"/>
        <w:suppressAutoHyphens/>
        <w:spacing w:line="360" w:lineRule="auto"/>
        <w:rPr>
          <w:rFonts w:eastAsia="SimSun"/>
          <w:color w:val="000000" w:themeColor="text1"/>
          <w:kern w:val="1"/>
          <w:sz w:val="28"/>
          <w:szCs w:val="28"/>
          <w:lang w:eastAsia="hi-IN" w:bidi="hi-IN"/>
        </w:rPr>
      </w:pPr>
    </w:p>
    <w:p w14:paraId="4CC48648" w14:textId="77777777" w:rsidR="00284B7F" w:rsidRPr="00090F80" w:rsidRDefault="00284B7F" w:rsidP="00284B7F">
      <w:pPr>
        <w:widowControl w:val="0"/>
        <w:suppressAutoHyphens/>
        <w:spacing w:line="360" w:lineRule="auto"/>
        <w:ind w:firstLine="851"/>
        <w:jc w:val="right"/>
        <w:rPr>
          <w:rFonts w:eastAsia="SimSun"/>
          <w:color w:val="000000" w:themeColor="text1"/>
          <w:kern w:val="1"/>
          <w:sz w:val="28"/>
          <w:szCs w:val="28"/>
          <w:lang w:eastAsia="hi-IN" w:bidi="hi-IN"/>
        </w:rPr>
      </w:pPr>
    </w:p>
    <w:p w14:paraId="2A605A2A" w14:textId="77777777" w:rsidR="00284B7F" w:rsidRPr="00090F80" w:rsidRDefault="00284B7F" w:rsidP="00284B7F">
      <w:pPr>
        <w:widowControl w:val="0"/>
        <w:suppressAutoHyphens/>
        <w:spacing w:line="360" w:lineRule="auto"/>
        <w:ind w:firstLine="851"/>
        <w:jc w:val="right"/>
        <w:rPr>
          <w:rFonts w:eastAsia="SimSun"/>
          <w:color w:val="000000" w:themeColor="text1"/>
          <w:kern w:val="1"/>
          <w:sz w:val="28"/>
          <w:szCs w:val="28"/>
          <w:lang w:eastAsia="hi-IN" w:bidi="hi-IN"/>
        </w:rPr>
      </w:pPr>
    </w:p>
    <w:p w14:paraId="4D6FC736" w14:textId="77777777" w:rsidR="00284B7F" w:rsidRPr="00090F80" w:rsidRDefault="00284B7F" w:rsidP="00284B7F">
      <w:pPr>
        <w:widowControl w:val="0"/>
        <w:suppressAutoHyphens/>
        <w:spacing w:line="360" w:lineRule="auto"/>
        <w:ind w:firstLine="851"/>
        <w:jc w:val="right"/>
        <w:rPr>
          <w:rFonts w:eastAsia="SimSun"/>
          <w:color w:val="000000" w:themeColor="text1"/>
          <w:kern w:val="1"/>
          <w:sz w:val="28"/>
          <w:szCs w:val="28"/>
          <w:lang w:eastAsia="hi-IN" w:bidi="hi-IN"/>
        </w:rPr>
      </w:pPr>
    </w:p>
    <w:p w14:paraId="543A472C" w14:textId="77777777" w:rsidR="00284B7F" w:rsidRPr="00090F80" w:rsidRDefault="00284B7F" w:rsidP="00284B7F">
      <w:pPr>
        <w:widowControl w:val="0"/>
        <w:suppressAutoHyphens/>
        <w:spacing w:line="360" w:lineRule="auto"/>
        <w:ind w:firstLine="851"/>
        <w:rPr>
          <w:rFonts w:eastAsia="SimSun"/>
          <w:color w:val="000000" w:themeColor="text1"/>
          <w:kern w:val="1"/>
          <w:sz w:val="28"/>
          <w:szCs w:val="28"/>
          <w:lang w:eastAsia="hi-IN" w:bidi="hi-IN"/>
        </w:rPr>
      </w:pPr>
    </w:p>
    <w:p w14:paraId="57294A8B" w14:textId="77777777" w:rsidR="00001254" w:rsidRPr="00FF3735" w:rsidRDefault="00001254" w:rsidP="00001254">
      <w:pPr>
        <w:widowControl w:val="0"/>
        <w:suppressAutoHyphens/>
        <w:spacing w:line="360" w:lineRule="auto"/>
        <w:ind w:right="-852"/>
        <w:jc w:val="right"/>
        <w:rPr>
          <w:rFonts w:eastAsia="SimSun"/>
          <w:b/>
          <w:color w:val="000000" w:themeColor="text1"/>
          <w:kern w:val="1"/>
          <w:sz w:val="28"/>
          <w:szCs w:val="28"/>
          <w:lang w:eastAsia="hi-IN" w:bidi="hi-IN"/>
        </w:rPr>
      </w:pPr>
      <w:r w:rsidRPr="00FF3735">
        <w:rPr>
          <w:rFonts w:eastAsia="SimSun"/>
          <w:b/>
          <w:color w:val="000000" w:themeColor="text1"/>
          <w:kern w:val="1"/>
          <w:sz w:val="28"/>
          <w:szCs w:val="28"/>
          <w:lang w:eastAsia="hi-IN" w:bidi="hi-IN"/>
        </w:rPr>
        <w:t xml:space="preserve">AVALIAÇÃO DE OITO POLIMORFISMOS EM </w:t>
      </w:r>
    </w:p>
    <w:p w14:paraId="7045B0BE" w14:textId="2F7E68E8" w:rsidR="00001254" w:rsidRPr="00FF3735" w:rsidRDefault="00001254" w:rsidP="00001254">
      <w:pPr>
        <w:widowControl w:val="0"/>
        <w:suppressAutoHyphens/>
        <w:spacing w:line="360" w:lineRule="auto"/>
        <w:ind w:right="-852"/>
        <w:jc w:val="right"/>
        <w:rPr>
          <w:rFonts w:eastAsia="SimSun"/>
          <w:b/>
          <w:color w:val="000000" w:themeColor="text1"/>
          <w:kern w:val="1"/>
          <w:sz w:val="28"/>
          <w:szCs w:val="28"/>
          <w:lang w:eastAsia="hi-IN" w:bidi="hi-IN"/>
        </w:rPr>
      </w:pPr>
      <w:r w:rsidRPr="00FF3735">
        <w:rPr>
          <w:rFonts w:eastAsia="SimSun"/>
          <w:b/>
          <w:color w:val="000000" w:themeColor="text1"/>
          <w:kern w:val="1"/>
          <w:sz w:val="28"/>
          <w:szCs w:val="28"/>
          <w:lang w:eastAsia="hi-IN" w:bidi="hi-IN"/>
        </w:rPr>
        <w:t xml:space="preserve">GENES CANDIDATOS RELACIONADOS </w:t>
      </w:r>
      <w:r w:rsidR="00686410">
        <w:rPr>
          <w:rFonts w:eastAsia="SimSun"/>
          <w:b/>
          <w:color w:val="000000" w:themeColor="text1"/>
          <w:kern w:val="1"/>
          <w:sz w:val="28"/>
          <w:szCs w:val="28"/>
          <w:lang w:eastAsia="hi-IN" w:bidi="hi-IN"/>
        </w:rPr>
        <w:t>À</w:t>
      </w:r>
      <w:r w:rsidRPr="00FF3735">
        <w:rPr>
          <w:rFonts w:eastAsia="SimSun"/>
          <w:b/>
          <w:color w:val="000000" w:themeColor="text1"/>
          <w:kern w:val="1"/>
          <w:sz w:val="28"/>
          <w:szCs w:val="28"/>
          <w:lang w:eastAsia="hi-IN" w:bidi="hi-IN"/>
        </w:rPr>
        <w:t xml:space="preserve"> </w:t>
      </w:r>
    </w:p>
    <w:p w14:paraId="3C9A5778" w14:textId="77777777" w:rsidR="00001254" w:rsidRPr="00FF3735" w:rsidRDefault="00001254" w:rsidP="00001254">
      <w:pPr>
        <w:widowControl w:val="0"/>
        <w:suppressAutoHyphens/>
        <w:spacing w:line="360" w:lineRule="auto"/>
        <w:ind w:right="-852"/>
        <w:jc w:val="right"/>
        <w:rPr>
          <w:b/>
          <w:color w:val="000000" w:themeColor="text1"/>
          <w:sz w:val="28"/>
          <w:szCs w:val="28"/>
        </w:rPr>
      </w:pPr>
      <w:r w:rsidRPr="00FF3735">
        <w:rPr>
          <w:rFonts w:eastAsia="SimSun"/>
          <w:b/>
          <w:color w:val="000000" w:themeColor="text1"/>
          <w:kern w:val="1"/>
          <w:sz w:val="28"/>
          <w:szCs w:val="28"/>
          <w:lang w:eastAsia="hi-IN" w:bidi="hi-IN"/>
        </w:rPr>
        <w:t>FUNÇÃO TIREOIDIANA NO IDOSO</w:t>
      </w:r>
    </w:p>
    <w:p w14:paraId="595418D0" w14:textId="25DB7C8B" w:rsidR="00284B7F" w:rsidRPr="00090F80" w:rsidRDefault="00284B7F" w:rsidP="00284B7F">
      <w:pPr>
        <w:widowControl w:val="0"/>
        <w:suppressAutoHyphens/>
        <w:spacing w:line="360" w:lineRule="auto"/>
        <w:ind w:left="2268" w:right="-852" w:firstLine="851"/>
        <w:jc w:val="right"/>
        <w:rPr>
          <w:rFonts w:eastAsia="SimSun"/>
          <w:b/>
          <w:color w:val="000000" w:themeColor="text1"/>
          <w:kern w:val="1"/>
          <w:sz w:val="28"/>
          <w:szCs w:val="28"/>
          <w:lang w:eastAsia="hi-IN" w:bidi="hi-IN"/>
        </w:rPr>
      </w:pPr>
      <w:r w:rsidRPr="00090F80">
        <w:rPr>
          <w:rFonts w:eastAsia="Arial"/>
          <w:b/>
          <w:color w:val="000000" w:themeColor="text1"/>
          <w:sz w:val="28"/>
          <w:szCs w:val="28"/>
        </w:rPr>
        <w:t xml:space="preserve"> </w:t>
      </w:r>
    </w:p>
    <w:p w14:paraId="0A48BFA7" w14:textId="77777777" w:rsidR="00284B7F" w:rsidRPr="00AB2C18" w:rsidRDefault="00284B7F" w:rsidP="00284B7F">
      <w:pPr>
        <w:widowControl w:val="0"/>
        <w:suppressAutoHyphens/>
        <w:spacing w:line="360" w:lineRule="auto"/>
        <w:ind w:left="2268" w:right="-852" w:firstLine="851"/>
        <w:jc w:val="right"/>
        <w:rPr>
          <w:rFonts w:eastAsia="SimSun"/>
          <w:b/>
          <w:color w:val="000000" w:themeColor="text1"/>
          <w:kern w:val="1"/>
          <w:lang w:eastAsia="hi-IN" w:bidi="hi-IN"/>
        </w:rPr>
      </w:pPr>
    </w:p>
    <w:p w14:paraId="23ED2636" w14:textId="77777777" w:rsidR="00284B7F" w:rsidRPr="00AB2C18" w:rsidRDefault="00284B7F" w:rsidP="00284B7F">
      <w:pPr>
        <w:widowControl w:val="0"/>
        <w:suppressAutoHyphens/>
        <w:spacing w:line="360" w:lineRule="auto"/>
        <w:ind w:firstLine="851"/>
        <w:jc w:val="right"/>
        <w:rPr>
          <w:rFonts w:eastAsia="SimSun"/>
          <w:b/>
          <w:color w:val="000000" w:themeColor="text1"/>
          <w:kern w:val="1"/>
          <w:lang w:eastAsia="hi-IN" w:bidi="hi-IN"/>
        </w:rPr>
      </w:pPr>
    </w:p>
    <w:p w14:paraId="5BDFB677" w14:textId="77777777" w:rsidR="00284B7F" w:rsidRPr="00AB2C18" w:rsidRDefault="00284B7F" w:rsidP="00284B7F">
      <w:pPr>
        <w:widowControl w:val="0"/>
        <w:suppressAutoHyphens/>
        <w:spacing w:line="360" w:lineRule="auto"/>
        <w:ind w:firstLine="851"/>
        <w:jc w:val="right"/>
        <w:rPr>
          <w:rFonts w:eastAsia="SimSun"/>
          <w:color w:val="000000" w:themeColor="text1"/>
          <w:kern w:val="1"/>
          <w:lang w:eastAsia="hi-IN" w:bidi="hi-IN"/>
        </w:rPr>
      </w:pPr>
    </w:p>
    <w:p w14:paraId="1F8B4EE5" w14:textId="77777777" w:rsidR="00686410" w:rsidRPr="00C05924" w:rsidRDefault="00284B7F" w:rsidP="00C847F0">
      <w:pPr>
        <w:widowControl w:val="0"/>
        <w:suppressAutoHyphens/>
        <w:spacing w:line="360" w:lineRule="auto"/>
        <w:ind w:firstLine="851"/>
        <w:jc w:val="right"/>
        <w:rPr>
          <w:rFonts w:eastAsia="SimSun"/>
          <w:b/>
          <w:color w:val="000000" w:themeColor="text1"/>
          <w:kern w:val="1"/>
          <w:sz w:val="26"/>
          <w:szCs w:val="26"/>
          <w:lang w:eastAsia="hi-IN" w:bidi="hi-IN"/>
        </w:rPr>
      </w:pPr>
      <w:r w:rsidRPr="00C05924">
        <w:rPr>
          <w:rFonts w:eastAsia="SimSun"/>
          <w:b/>
          <w:color w:val="000000" w:themeColor="text1"/>
          <w:kern w:val="1"/>
          <w:sz w:val="26"/>
          <w:szCs w:val="26"/>
          <w:lang w:eastAsia="hi-IN" w:bidi="hi-IN"/>
        </w:rPr>
        <w:t>Salvador</w:t>
      </w:r>
      <w:r w:rsidR="00C847F0" w:rsidRPr="00C05924">
        <w:rPr>
          <w:rFonts w:eastAsia="SimSun"/>
          <w:b/>
          <w:color w:val="000000" w:themeColor="text1"/>
          <w:kern w:val="1"/>
          <w:sz w:val="26"/>
          <w:szCs w:val="26"/>
          <w:lang w:eastAsia="hi-IN" w:bidi="hi-IN"/>
        </w:rPr>
        <w:t xml:space="preserve"> </w:t>
      </w:r>
    </w:p>
    <w:p w14:paraId="19249DDC" w14:textId="3E5E6D06" w:rsidR="00284B7F" w:rsidRPr="00C05924" w:rsidRDefault="00284B7F" w:rsidP="00C847F0">
      <w:pPr>
        <w:widowControl w:val="0"/>
        <w:suppressAutoHyphens/>
        <w:spacing w:line="360" w:lineRule="auto"/>
        <w:ind w:firstLine="851"/>
        <w:jc w:val="right"/>
        <w:rPr>
          <w:rFonts w:eastAsia="SimSun"/>
          <w:b/>
          <w:color w:val="000000" w:themeColor="text1"/>
          <w:kern w:val="1"/>
          <w:sz w:val="26"/>
          <w:szCs w:val="26"/>
          <w:lang w:eastAsia="hi-IN" w:bidi="hi-IN"/>
        </w:rPr>
      </w:pPr>
      <w:r w:rsidRPr="00C05924">
        <w:rPr>
          <w:rFonts w:eastAsia="SimSun"/>
          <w:b/>
          <w:color w:val="000000" w:themeColor="text1"/>
          <w:kern w:val="1"/>
          <w:sz w:val="26"/>
          <w:szCs w:val="26"/>
          <w:lang w:eastAsia="hi-IN" w:bidi="hi-IN"/>
        </w:rPr>
        <w:t>2021</w:t>
      </w:r>
    </w:p>
    <w:p w14:paraId="2CC8C88E" w14:textId="77777777" w:rsidR="00284B7F" w:rsidRPr="00AB2C18" w:rsidRDefault="00284B7F" w:rsidP="00284B7F">
      <w:pPr>
        <w:spacing w:line="360" w:lineRule="auto"/>
        <w:jc w:val="both"/>
        <w:rPr>
          <w:rFonts w:eastAsia="Arial"/>
          <w:b/>
          <w:color w:val="000000" w:themeColor="text1"/>
        </w:rPr>
      </w:pPr>
    </w:p>
    <w:p w14:paraId="2DC2BBF0" w14:textId="77777777" w:rsidR="00284B7F" w:rsidRPr="00AB2C18" w:rsidRDefault="00284B7F" w:rsidP="00284B7F">
      <w:pPr>
        <w:spacing w:line="360" w:lineRule="auto"/>
        <w:jc w:val="both"/>
        <w:rPr>
          <w:rFonts w:eastAsia="Arial"/>
          <w:b/>
          <w:color w:val="000000" w:themeColor="text1"/>
        </w:rPr>
      </w:pPr>
    </w:p>
    <w:p w14:paraId="7FB85840" w14:textId="77777777" w:rsidR="00FF3735" w:rsidRDefault="00FF3735" w:rsidP="00284B7F">
      <w:pPr>
        <w:spacing w:line="360" w:lineRule="auto"/>
        <w:jc w:val="center"/>
        <w:rPr>
          <w:rFonts w:eastAsia="Arial"/>
          <w:b/>
          <w:color w:val="000000" w:themeColor="text1"/>
        </w:rPr>
      </w:pPr>
    </w:p>
    <w:p w14:paraId="41E2A2FE" w14:textId="77777777" w:rsidR="00405717" w:rsidRDefault="00405717" w:rsidP="00284B7F">
      <w:pPr>
        <w:autoSpaceDE w:val="0"/>
        <w:autoSpaceDN w:val="0"/>
        <w:adjustRightInd w:val="0"/>
        <w:spacing w:before="120" w:after="120" w:line="360" w:lineRule="auto"/>
        <w:jc w:val="center"/>
        <w:rPr>
          <w:rFonts w:eastAsia="Arial"/>
          <w:b/>
          <w:bCs/>
          <w:color w:val="000000" w:themeColor="text1"/>
          <w:sz w:val="28"/>
          <w:szCs w:val="28"/>
        </w:rPr>
      </w:pPr>
    </w:p>
    <w:p w14:paraId="3151492C" w14:textId="77777777" w:rsidR="00284B7F" w:rsidRPr="007963A7" w:rsidRDefault="00284B7F" w:rsidP="00284B7F">
      <w:pPr>
        <w:autoSpaceDE w:val="0"/>
        <w:autoSpaceDN w:val="0"/>
        <w:adjustRightInd w:val="0"/>
        <w:spacing w:before="120" w:after="120" w:line="360" w:lineRule="auto"/>
        <w:jc w:val="center"/>
        <w:rPr>
          <w:rFonts w:eastAsia="Arial"/>
          <w:b/>
          <w:bCs/>
          <w:color w:val="000000" w:themeColor="text1"/>
          <w:sz w:val="28"/>
          <w:szCs w:val="28"/>
        </w:rPr>
      </w:pPr>
      <w:r w:rsidRPr="007963A7">
        <w:rPr>
          <w:rFonts w:eastAsia="Arial"/>
          <w:b/>
          <w:bCs/>
          <w:color w:val="000000" w:themeColor="text1"/>
          <w:sz w:val="28"/>
          <w:szCs w:val="28"/>
        </w:rPr>
        <w:lastRenderedPageBreak/>
        <w:t>ELISA AIRES</w:t>
      </w:r>
    </w:p>
    <w:p w14:paraId="1670F4CE" w14:textId="77777777" w:rsidR="00284B7F" w:rsidRPr="00AB2C18" w:rsidRDefault="00284B7F" w:rsidP="00284B7F">
      <w:pPr>
        <w:spacing w:line="360" w:lineRule="auto"/>
        <w:jc w:val="center"/>
        <w:rPr>
          <w:rFonts w:eastAsia="Arial"/>
          <w:b/>
          <w:color w:val="000000" w:themeColor="text1"/>
        </w:rPr>
      </w:pPr>
    </w:p>
    <w:p w14:paraId="02137040" w14:textId="77777777" w:rsidR="00284B7F" w:rsidRPr="00AB2C18" w:rsidRDefault="00284B7F" w:rsidP="00284B7F">
      <w:pPr>
        <w:spacing w:line="360" w:lineRule="auto"/>
        <w:jc w:val="center"/>
        <w:rPr>
          <w:rFonts w:eastAsia="Arial"/>
          <w:b/>
          <w:color w:val="000000" w:themeColor="text1"/>
        </w:rPr>
      </w:pPr>
    </w:p>
    <w:p w14:paraId="3EC5FF12" w14:textId="77777777" w:rsidR="00284B7F" w:rsidRPr="00AB2C18" w:rsidRDefault="00284B7F" w:rsidP="00284B7F">
      <w:pPr>
        <w:spacing w:line="360" w:lineRule="auto"/>
        <w:jc w:val="center"/>
        <w:rPr>
          <w:rFonts w:eastAsia="Arial"/>
          <w:b/>
          <w:color w:val="000000" w:themeColor="text1"/>
        </w:rPr>
      </w:pPr>
    </w:p>
    <w:p w14:paraId="4CD73BBE" w14:textId="77777777" w:rsidR="00284B7F" w:rsidRPr="00AB2C18" w:rsidRDefault="00284B7F" w:rsidP="00284B7F">
      <w:pPr>
        <w:spacing w:line="360" w:lineRule="auto"/>
        <w:jc w:val="center"/>
        <w:rPr>
          <w:rFonts w:eastAsia="Arial"/>
          <w:b/>
          <w:color w:val="000000" w:themeColor="text1"/>
        </w:rPr>
      </w:pPr>
    </w:p>
    <w:p w14:paraId="781BCF92" w14:textId="77777777" w:rsidR="00284B7F" w:rsidRPr="00AB2C18" w:rsidRDefault="00284B7F" w:rsidP="00284B7F">
      <w:pPr>
        <w:spacing w:line="360" w:lineRule="auto"/>
        <w:jc w:val="center"/>
        <w:rPr>
          <w:rFonts w:eastAsia="Arial"/>
          <w:b/>
          <w:color w:val="000000" w:themeColor="text1"/>
          <w:lang w:val="pt-PT"/>
        </w:rPr>
      </w:pPr>
    </w:p>
    <w:p w14:paraId="6AF89E75" w14:textId="19C3C12F" w:rsidR="00284B7F" w:rsidRPr="007963A7" w:rsidRDefault="00284B7F" w:rsidP="00284B7F">
      <w:pPr>
        <w:widowControl w:val="0"/>
        <w:suppressAutoHyphens/>
        <w:spacing w:line="360" w:lineRule="auto"/>
        <w:ind w:right="-852"/>
        <w:jc w:val="center"/>
        <w:rPr>
          <w:rFonts w:eastAsia="SimSun"/>
          <w:b/>
          <w:color w:val="000000" w:themeColor="text1"/>
          <w:kern w:val="1"/>
          <w:sz w:val="28"/>
          <w:szCs w:val="28"/>
          <w:lang w:eastAsia="hi-IN" w:bidi="hi-IN"/>
        </w:rPr>
      </w:pPr>
      <w:r w:rsidRPr="007963A7">
        <w:rPr>
          <w:rFonts w:eastAsia="SimSun"/>
          <w:b/>
          <w:color w:val="000000" w:themeColor="text1"/>
          <w:kern w:val="1"/>
          <w:sz w:val="28"/>
          <w:szCs w:val="28"/>
          <w:lang w:eastAsia="hi-IN" w:bidi="hi-IN"/>
        </w:rPr>
        <w:t xml:space="preserve">AVALIAÇÃO DE OITO </w:t>
      </w:r>
      <w:r w:rsidR="00E33785" w:rsidRPr="007963A7">
        <w:rPr>
          <w:rFonts w:eastAsia="SimSun"/>
          <w:b/>
          <w:color w:val="000000" w:themeColor="text1"/>
          <w:kern w:val="1"/>
          <w:sz w:val="28"/>
          <w:szCs w:val="28"/>
          <w:lang w:eastAsia="hi-IN" w:bidi="hi-IN"/>
        </w:rPr>
        <w:t xml:space="preserve">POLIMORFISMOS </w:t>
      </w:r>
      <w:r w:rsidRPr="007963A7">
        <w:rPr>
          <w:rFonts w:eastAsia="SimSun"/>
          <w:b/>
          <w:color w:val="000000" w:themeColor="text1"/>
          <w:kern w:val="1"/>
          <w:sz w:val="28"/>
          <w:szCs w:val="28"/>
          <w:lang w:eastAsia="hi-IN" w:bidi="hi-IN"/>
        </w:rPr>
        <w:t xml:space="preserve">EM GENES CANDIDATOS RELACIONADOS </w:t>
      </w:r>
      <w:r w:rsidR="00493BC8" w:rsidRPr="007963A7">
        <w:rPr>
          <w:rFonts w:eastAsia="SimSun"/>
          <w:b/>
          <w:color w:val="000000" w:themeColor="text1"/>
          <w:kern w:val="1"/>
          <w:sz w:val="28"/>
          <w:szCs w:val="28"/>
          <w:lang w:eastAsia="hi-IN" w:bidi="hi-IN"/>
        </w:rPr>
        <w:t xml:space="preserve">À </w:t>
      </w:r>
      <w:r w:rsidRPr="007963A7">
        <w:rPr>
          <w:rFonts w:eastAsia="SimSun"/>
          <w:b/>
          <w:color w:val="000000" w:themeColor="text1"/>
          <w:kern w:val="1"/>
          <w:sz w:val="28"/>
          <w:szCs w:val="28"/>
          <w:lang w:eastAsia="hi-IN" w:bidi="hi-IN"/>
        </w:rPr>
        <w:t>FUNÇÃO TIREOIDIANA NO IDOSO</w:t>
      </w:r>
    </w:p>
    <w:p w14:paraId="5EE3E1E4" w14:textId="77777777" w:rsidR="00284B7F" w:rsidRPr="00AB2C18" w:rsidRDefault="00284B7F" w:rsidP="00284B7F">
      <w:pPr>
        <w:tabs>
          <w:tab w:val="left" w:pos="-170"/>
          <w:tab w:val="left" w:pos="8547"/>
        </w:tabs>
        <w:spacing w:line="360" w:lineRule="auto"/>
        <w:ind w:left="4536"/>
        <w:jc w:val="center"/>
        <w:rPr>
          <w:bCs/>
          <w:color w:val="000000" w:themeColor="text1"/>
        </w:rPr>
      </w:pPr>
    </w:p>
    <w:p w14:paraId="675DDD8A" w14:textId="77777777" w:rsidR="00284B7F" w:rsidRPr="00AB2C18" w:rsidRDefault="00284B7F" w:rsidP="00284B7F">
      <w:pPr>
        <w:tabs>
          <w:tab w:val="left" w:pos="-170"/>
          <w:tab w:val="left" w:pos="8547"/>
        </w:tabs>
        <w:spacing w:line="360" w:lineRule="auto"/>
        <w:ind w:left="4536"/>
        <w:jc w:val="center"/>
        <w:rPr>
          <w:bCs/>
          <w:color w:val="000000" w:themeColor="text1"/>
        </w:rPr>
      </w:pPr>
    </w:p>
    <w:p w14:paraId="1708DEB0" w14:textId="77777777" w:rsidR="00284B7F" w:rsidRDefault="00284B7F" w:rsidP="00284B7F">
      <w:pPr>
        <w:tabs>
          <w:tab w:val="left" w:pos="-170"/>
          <w:tab w:val="left" w:pos="8547"/>
        </w:tabs>
        <w:spacing w:line="360" w:lineRule="auto"/>
        <w:ind w:left="4536"/>
        <w:jc w:val="center"/>
        <w:rPr>
          <w:bCs/>
          <w:color w:val="000000" w:themeColor="text1"/>
        </w:rPr>
      </w:pPr>
    </w:p>
    <w:p w14:paraId="49CCA94A" w14:textId="77777777" w:rsidR="007963A7" w:rsidRPr="00AB2C18" w:rsidRDefault="007963A7" w:rsidP="00284B7F">
      <w:pPr>
        <w:tabs>
          <w:tab w:val="left" w:pos="-170"/>
          <w:tab w:val="left" w:pos="8547"/>
        </w:tabs>
        <w:spacing w:line="360" w:lineRule="auto"/>
        <w:ind w:left="4536"/>
        <w:jc w:val="center"/>
        <w:rPr>
          <w:bCs/>
          <w:color w:val="000000" w:themeColor="text1"/>
        </w:rPr>
      </w:pPr>
    </w:p>
    <w:p w14:paraId="2B350D83" w14:textId="77777777" w:rsidR="00284B7F" w:rsidRPr="00AB2C18" w:rsidRDefault="00284B7F" w:rsidP="00284B7F">
      <w:pPr>
        <w:tabs>
          <w:tab w:val="left" w:pos="-170"/>
          <w:tab w:val="left" w:pos="8547"/>
        </w:tabs>
        <w:spacing w:line="360" w:lineRule="auto"/>
        <w:ind w:left="4536"/>
        <w:jc w:val="both"/>
        <w:rPr>
          <w:bCs/>
          <w:color w:val="000000" w:themeColor="text1"/>
        </w:rPr>
      </w:pPr>
    </w:p>
    <w:p w14:paraId="2D541B8E" w14:textId="2F749B10" w:rsidR="00284B7F" w:rsidRPr="00AB2C18" w:rsidRDefault="00284B7F" w:rsidP="00493BC8">
      <w:pPr>
        <w:tabs>
          <w:tab w:val="left" w:pos="-170"/>
          <w:tab w:val="left" w:pos="8547"/>
        </w:tabs>
        <w:ind w:left="3969"/>
        <w:jc w:val="both"/>
        <w:rPr>
          <w:bCs/>
          <w:color w:val="000000" w:themeColor="text1"/>
        </w:rPr>
      </w:pPr>
      <w:r w:rsidRPr="00AB2C18">
        <w:rPr>
          <w:bCs/>
          <w:color w:val="000000" w:themeColor="text1"/>
        </w:rPr>
        <w:t>Dissertação</w:t>
      </w:r>
      <w:r w:rsidR="00860A18">
        <w:rPr>
          <w:bCs/>
          <w:color w:val="000000" w:themeColor="text1"/>
        </w:rPr>
        <w:t xml:space="preserve"> </w:t>
      </w:r>
      <w:r w:rsidRPr="00AB2C18">
        <w:rPr>
          <w:bCs/>
          <w:color w:val="000000" w:themeColor="text1"/>
        </w:rPr>
        <w:t>apresentada ao Programa de Pós-graduação Processos Interativos dos Órgãos e Sistemas</w:t>
      </w:r>
      <w:r w:rsidR="00493BC8">
        <w:rPr>
          <w:bCs/>
          <w:color w:val="000000" w:themeColor="text1"/>
        </w:rPr>
        <w:t>,</w:t>
      </w:r>
      <w:r w:rsidRPr="00AB2C18">
        <w:rPr>
          <w:bCs/>
          <w:color w:val="000000" w:themeColor="text1"/>
        </w:rPr>
        <w:t xml:space="preserve"> do Instituto de Ciências da Saúde, </w:t>
      </w:r>
      <w:r w:rsidR="007217C4">
        <w:rPr>
          <w:bCs/>
          <w:color w:val="000000" w:themeColor="text1"/>
        </w:rPr>
        <w:t xml:space="preserve">da </w:t>
      </w:r>
      <w:r w:rsidRPr="00AB2C18">
        <w:rPr>
          <w:bCs/>
          <w:color w:val="000000" w:themeColor="text1"/>
        </w:rPr>
        <w:t>Universidade Federal da Bahia, como requisito parcial para obtenção do grau de Mestre</w:t>
      </w:r>
      <w:r w:rsidR="00493BC8">
        <w:rPr>
          <w:bCs/>
          <w:color w:val="000000" w:themeColor="text1"/>
        </w:rPr>
        <w:t>.</w:t>
      </w:r>
    </w:p>
    <w:p w14:paraId="0EB1DC93" w14:textId="77777777" w:rsidR="00284B7F" w:rsidRPr="00AB2C18" w:rsidRDefault="00284B7F" w:rsidP="00493BC8">
      <w:pPr>
        <w:tabs>
          <w:tab w:val="left" w:pos="-170"/>
          <w:tab w:val="left" w:pos="8547"/>
        </w:tabs>
        <w:ind w:left="4536"/>
        <w:jc w:val="both"/>
        <w:rPr>
          <w:bCs/>
          <w:color w:val="000000" w:themeColor="text1"/>
        </w:rPr>
      </w:pPr>
    </w:p>
    <w:p w14:paraId="56F681E7" w14:textId="7D1FAC8E" w:rsidR="00284B7F" w:rsidRDefault="00284B7F" w:rsidP="00493BC8">
      <w:pPr>
        <w:tabs>
          <w:tab w:val="left" w:pos="-170"/>
          <w:tab w:val="left" w:pos="8547"/>
        </w:tabs>
        <w:ind w:left="3969"/>
        <w:jc w:val="both"/>
        <w:rPr>
          <w:bCs/>
          <w:color w:val="000000" w:themeColor="text1"/>
        </w:rPr>
      </w:pPr>
      <w:r w:rsidRPr="00AB2C18">
        <w:rPr>
          <w:bCs/>
          <w:color w:val="000000" w:themeColor="text1"/>
        </w:rPr>
        <w:t>Orientador: Prof. Dr. Helton Estrela Ram</w:t>
      </w:r>
      <w:r>
        <w:rPr>
          <w:bCs/>
          <w:color w:val="000000" w:themeColor="text1"/>
        </w:rPr>
        <w:t>os</w:t>
      </w:r>
    </w:p>
    <w:p w14:paraId="54D2F2F8" w14:textId="7FD23BD6" w:rsidR="00340EC5" w:rsidRDefault="00340EC5" w:rsidP="00493BC8">
      <w:pPr>
        <w:tabs>
          <w:tab w:val="left" w:pos="-170"/>
          <w:tab w:val="left" w:pos="8547"/>
        </w:tabs>
        <w:ind w:left="3969"/>
        <w:jc w:val="both"/>
        <w:rPr>
          <w:bCs/>
          <w:color w:val="000000" w:themeColor="text1"/>
        </w:rPr>
      </w:pPr>
      <w:r>
        <w:rPr>
          <w:bCs/>
          <w:color w:val="000000" w:themeColor="text1"/>
        </w:rPr>
        <w:t>Coorientador:</w:t>
      </w:r>
      <w:r w:rsidR="00493BC8">
        <w:rPr>
          <w:bCs/>
          <w:color w:val="000000" w:themeColor="text1"/>
        </w:rPr>
        <w:t xml:space="preserve"> </w:t>
      </w:r>
      <w:proofErr w:type="spellStart"/>
      <w:r>
        <w:rPr>
          <w:bCs/>
          <w:color w:val="000000" w:themeColor="text1"/>
        </w:rPr>
        <w:t>Fabyan</w:t>
      </w:r>
      <w:proofErr w:type="spellEnd"/>
      <w:r>
        <w:rPr>
          <w:bCs/>
          <w:color w:val="000000" w:themeColor="text1"/>
        </w:rPr>
        <w:t xml:space="preserve"> Beltrão</w:t>
      </w:r>
    </w:p>
    <w:p w14:paraId="49E253DC" w14:textId="3F4E0735" w:rsidR="00284B7F" w:rsidRDefault="00284B7F" w:rsidP="00284B7F">
      <w:pPr>
        <w:tabs>
          <w:tab w:val="left" w:pos="-170"/>
          <w:tab w:val="left" w:pos="8547"/>
        </w:tabs>
        <w:spacing w:line="360" w:lineRule="auto"/>
        <w:ind w:left="3969"/>
        <w:jc w:val="both"/>
        <w:rPr>
          <w:bCs/>
          <w:color w:val="000000" w:themeColor="text1"/>
        </w:rPr>
      </w:pPr>
    </w:p>
    <w:p w14:paraId="2F774B14" w14:textId="0E881B68" w:rsidR="00C417EE" w:rsidRDefault="00C417EE" w:rsidP="00284B7F">
      <w:pPr>
        <w:tabs>
          <w:tab w:val="left" w:pos="-170"/>
          <w:tab w:val="left" w:pos="8547"/>
        </w:tabs>
        <w:spacing w:line="360" w:lineRule="auto"/>
        <w:ind w:left="3969"/>
        <w:jc w:val="both"/>
        <w:rPr>
          <w:bCs/>
          <w:color w:val="000000" w:themeColor="text1"/>
        </w:rPr>
      </w:pPr>
    </w:p>
    <w:p w14:paraId="16900FCB" w14:textId="2FBA9C43" w:rsidR="00C417EE" w:rsidRDefault="00C417EE" w:rsidP="00284B7F">
      <w:pPr>
        <w:tabs>
          <w:tab w:val="left" w:pos="-170"/>
          <w:tab w:val="left" w:pos="8547"/>
        </w:tabs>
        <w:spacing w:line="360" w:lineRule="auto"/>
        <w:ind w:left="3969"/>
        <w:jc w:val="both"/>
        <w:rPr>
          <w:bCs/>
          <w:color w:val="000000" w:themeColor="text1"/>
        </w:rPr>
      </w:pPr>
    </w:p>
    <w:p w14:paraId="71FB99E2" w14:textId="77777777" w:rsidR="00C417EE" w:rsidRDefault="00C417EE" w:rsidP="00284B7F">
      <w:pPr>
        <w:tabs>
          <w:tab w:val="left" w:pos="-170"/>
          <w:tab w:val="left" w:pos="8547"/>
        </w:tabs>
        <w:spacing w:line="360" w:lineRule="auto"/>
        <w:ind w:left="3969"/>
        <w:jc w:val="both"/>
        <w:rPr>
          <w:bCs/>
          <w:color w:val="000000" w:themeColor="text1"/>
        </w:rPr>
      </w:pPr>
    </w:p>
    <w:p w14:paraId="0AB7E9B4" w14:textId="77777777" w:rsidR="00284B7F" w:rsidRDefault="00284B7F" w:rsidP="00284B7F">
      <w:pPr>
        <w:tabs>
          <w:tab w:val="left" w:pos="-170"/>
          <w:tab w:val="left" w:pos="8547"/>
        </w:tabs>
        <w:spacing w:line="360" w:lineRule="auto"/>
        <w:ind w:left="3969"/>
        <w:jc w:val="both"/>
        <w:rPr>
          <w:bCs/>
          <w:color w:val="000000" w:themeColor="text1"/>
        </w:rPr>
      </w:pPr>
    </w:p>
    <w:p w14:paraId="3F4E6FF0" w14:textId="77777777" w:rsidR="00493BC8" w:rsidRDefault="00493BC8" w:rsidP="00284B7F">
      <w:pPr>
        <w:tabs>
          <w:tab w:val="left" w:pos="-170"/>
          <w:tab w:val="left" w:pos="8547"/>
        </w:tabs>
        <w:spacing w:line="360" w:lineRule="auto"/>
        <w:ind w:left="3969"/>
        <w:rPr>
          <w:rFonts w:eastAsia="Arial"/>
          <w:color w:val="000000" w:themeColor="text1"/>
        </w:rPr>
      </w:pPr>
    </w:p>
    <w:p w14:paraId="3F2912F1" w14:textId="77777777" w:rsidR="00493BC8" w:rsidRDefault="00493BC8" w:rsidP="00284B7F">
      <w:pPr>
        <w:tabs>
          <w:tab w:val="left" w:pos="-170"/>
          <w:tab w:val="left" w:pos="8547"/>
        </w:tabs>
        <w:spacing w:line="360" w:lineRule="auto"/>
        <w:ind w:left="3969"/>
        <w:rPr>
          <w:rFonts w:eastAsia="Arial"/>
          <w:color w:val="000000" w:themeColor="text1"/>
        </w:rPr>
      </w:pPr>
    </w:p>
    <w:p w14:paraId="5B6D81B3" w14:textId="77777777" w:rsidR="00493BC8" w:rsidRDefault="00493BC8" w:rsidP="00284B7F">
      <w:pPr>
        <w:tabs>
          <w:tab w:val="left" w:pos="-170"/>
          <w:tab w:val="left" w:pos="8547"/>
        </w:tabs>
        <w:spacing w:line="360" w:lineRule="auto"/>
        <w:ind w:left="3969"/>
        <w:rPr>
          <w:rFonts w:eastAsia="Arial"/>
          <w:color w:val="000000" w:themeColor="text1"/>
        </w:rPr>
      </w:pPr>
    </w:p>
    <w:p w14:paraId="32035391" w14:textId="77777777" w:rsidR="00686410" w:rsidRDefault="00686410" w:rsidP="00284B7F">
      <w:pPr>
        <w:tabs>
          <w:tab w:val="left" w:pos="-170"/>
          <w:tab w:val="left" w:pos="8547"/>
        </w:tabs>
        <w:spacing w:line="360" w:lineRule="auto"/>
        <w:ind w:left="3969"/>
        <w:rPr>
          <w:rFonts w:eastAsia="Arial"/>
          <w:color w:val="000000" w:themeColor="text1"/>
        </w:rPr>
      </w:pPr>
    </w:p>
    <w:p w14:paraId="44A9B931" w14:textId="77777777" w:rsidR="00686410" w:rsidRDefault="00686410" w:rsidP="00284B7F">
      <w:pPr>
        <w:tabs>
          <w:tab w:val="left" w:pos="-170"/>
          <w:tab w:val="left" w:pos="8547"/>
        </w:tabs>
        <w:spacing w:line="360" w:lineRule="auto"/>
        <w:ind w:left="3969"/>
        <w:rPr>
          <w:rFonts w:eastAsia="Arial"/>
          <w:color w:val="000000" w:themeColor="text1"/>
        </w:rPr>
      </w:pPr>
    </w:p>
    <w:p w14:paraId="4C8D5C81" w14:textId="77777777" w:rsidR="00284B7F" w:rsidRDefault="00284B7F" w:rsidP="00284B7F">
      <w:pPr>
        <w:tabs>
          <w:tab w:val="left" w:pos="-170"/>
          <w:tab w:val="left" w:pos="8547"/>
        </w:tabs>
        <w:spacing w:line="360" w:lineRule="auto"/>
        <w:ind w:left="3969"/>
        <w:rPr>
          <w:bCs/>
          <w:color w:val="000000" w:themeColor="text1"/>
        </w:rPr>
      </w:pPr>
      <w:r w:rsidRPr="00AB2C18">
        <w:rPr>
          <w:rFonts w:eastAsia="Arial"/>
          <w:color w:val="000000" w:themeColor="text1"/>
        </w:rPr>
        <w:t>Salvador</w:t>
      </w:r>
    </w:p>
    <w:p w14:paraId="345817AA" w14:textId="0B04E86D" w:rsidR="004A37B4" w:rsidRPr="004A37B4" w:rsidRDefault="00284B7F" w:rsidP="004A37B4">
      <w:pPr>
        <w:tabs>
          <w:tab w:val="left" w:pos="-170"/>
          <w:tab w:val="left" w:pos="8547"/>
        </w:tabs>
        <w:spacing w:line="360" w:lineRule="auto"/>
        <w:ind w:left="3969"/>
        <w:rPr>
          <w:bCs/>
          <w:color w:val="000000" w:themeColor="text1"/>
        </w:rPr>
      </w:pPr>
      <w:r>
        <w:rPr>
          <w:rFonts w:eastAsia="Arial"/>
          <w:color w:val="000000" w:themeColor="text1"/>
        </w:rPr>
        <w:t xml:space="preserve">   </w:t>
      </w:r>
      <w:r w:rsidRPr="00AB2C18">
        <w:rPr>
          <w:rFonts w:eastAsia="Arial"/>
          <w:color w:val="000000" w:themeColor="text1"/>
        </w:rPr>
        <w:t>202</w:t>
      </w:r>
      <w:r w:rsidR="00C05924">
        <w:rPr>
          <w:rFonts w:eastAsia="Arial"/>
          <w:color w:val="000000" w:themeColor="text1"/>
        </w:rPr>
        <w:t>2</w:t>
      </w:r>
    </w:p>
    <w:p w14:paraId="13159496" w14:textId="77777777" w:rsidR="00493BC8" w:rsidRDefault="00493BC8" w:rsidP="00E33785">
      <w:pPr>
        <w:pStyle w:val="NormalWeb"/>
        <w:shd w:val="clear" w:color="auto" w:fill="FFFFFF"/>
        <w:rPr>
          <w:rFonts w:ascii="TimesNewRomanPS" w:hAnsi="TimesNewRomanPS"/>
          <w:b/>
          <w:bCs/>
        </w:rPr>
      </w:pPr>
    </w:p>
    <w:p w14:paraId="28D27FC1" w14:textId="77777777" w:rsidR="00C05924" w:rsidRDefault="00C05924" w:rsidP="00E33785">
      <w:pPr>
        <w:pStyle w:val="NormalWeb"/>
        <w:shd w:val="clear" w:color="auto" w:fill="FFFFFF"/>
        <w:rPr>
          <w:rFonts w:ascii="TimesNewRomanPS" w:hAnsi="TimesNewRomanPS"/>
          <w:b/>
          <w:bCs/>
        </w:rPr>
      </w:pPr>
    </w:p>
    <w:p w14:paraId="2E7BD7F2" w14:textId="77777777" w:rsidR="00C05924" w:rsidRDefault="00C05924" w:rsidP="00E33785">
      <w:pPr>
        <w:pStyle w:val="NormalWeb"/>
        <w:shd w:val="clear" w:color="auto" w:fill="FFFFFF"/>
        <w:rPr>
          <w:rFonts w:ascii="TimesNewRomanPS" w:hAnsi="TimesNewRomanPS"/>
          <w:b/>
          <w:bCs/>
        </w:rPr>
      </w:pPr>
    </w:p>
    <w:p w14:paraId="601827AB" w14:textId="77777777" w:rsidR="00C05924" w:rsidRDefault="00C05924" w:rsidP="00E33785">
      <w:pPr>
        <w:pStyle w:val="NormalWeb"/>
        <w:shd w:val="clear" w:color="auto" w:fill="FFFFFF"/>
        <w:rPr>
          <w:rFonts w:ascii="TimesNewRomanPS" w:hAnsi="TimesNewRomanPS"/>
          <w:b/>
          <w:bCs/>
        </w:rPr>
      </w:pPr>
    </w:p>
    <w:p w14:paraId="19B6B346" w14:textId="77777777" w:rsidR="00C05924" w:rsidRDefault="00C05924" w:rsidP="00E33785">
      <w:pPr>
        <w:pStyle w:val="NormalWeb"/>
        <w:shd w:val="clear" w:color="auto" w:fill="FFFFFF"/>
        <w:rPr>
          <w:rFonts w:ascii="TimesNewRomanPS" w:hAnsi="TimesNewRomanPS"/>
          <w:b/>
          <w:bCs/>
        </w:rPr>
      </w:pPr>
    </w:p>
    <w:p w14:paraId="11084A57" w14:textId="77777777" w:rsidR="00C05924" w:rsidRDefault="00C05924" w:rsidP="00E33785">
      <w:pPr>
        <w:pStyle w:val="NormalWeb"/>
        <w:shd w:val="clear" w:color="auto" w:fill="FFFFFF"/>
        <w:rPr>
          <w:rFonts w:ascii="TimesNewRomanPS" w:hAnsi="TimesNewRomanPS"/>
          <w:b/>
          <w:bCs/>
        </w:rPr>
      </w:pPr>
    </w:p>
    <w:p w14:paraId="0618B125" w14:textId="77777777" w:rsidR="00C05924" w:rsidRDefault="00C05924" w:rsidP="00E33785">
      <w:pPr>
        <w:pStyle w:val="NormalWeb"/>
        <w:shd w:val="clear" w:color="auto" w:fill="FFFFFF"/>
        <w:rPr>
          <w:rFonts w:ascii="TimesNewRomanPS" w:hAnsi="TimesNewRomanPS"/>
          <w:b/>
          <w:bCs/>
        </w:rPr>
      </w:pPr>
    </w:p>
    <w:p w14:paraId="7C507B21" w14:textId="77777777" w:rsidR="00C05924" w:rsidRDefault="00C05924" w:rsidP="00E33785">
      <w:pPr>
        <w:pStyle w:val="NormalWeb"/>
        <w:shd w:val="clear" w:color="auto" w:fill="FFFFFF"/>
        <w:rPr>
          <w:rFonts w:ascii="TimesNewRomanPS" w:hAnsi="TimesNewRomanPS"/>
          <w:b/>
          <w:bCs/>
        </w:rPr>
      </w:pPr>
    </w:p>
    <w:p w14:paraId="554E017F" w14:textId="77777777" w:rsidR="00C05924" w:rsidRDefault="00C05924" w:rsidP="00E33785">
      <w:pPr>
        <w:pStyle w:val="NormalWeb"/>
        <w:shd w:val="clear" w:color="auto" w:fill="FFFFFF"/>
        <w:rPr>
          <w:rFonts w:ascii="TimesNewRomanPS" w:hAnsi="TimesNewRomanPS"/>
          <w:b/>
          <w:bCs/>
        </w:rPr>
      </w:pPr>
    </w:p>
    <w:p w14:paraId="2C9C3636" w14:textId="77777777" w:rsidR="00C05924" w:rsidRDefault="00C05924" w:rsidP="00E33785">
      <w:pPr>
        <w:pStyle w:val="NormalWeb"/>
        <w:shd w:val="clear" w:color="auto" w:fill="FFFFFF"/>
        <w:rPr>
          <w:rFonts w:ascii="TimesNewRomanPS" w:hAnsi="TimesNewRomanPS"/>
          <w:b/>
          <w:bCs/>
        </w:rPr>
      </w:pPr>
    </w:p>
    <w:p w14:paraId="7FD87D9F" w14:textId="77777777" w:rsidR="00C05924" w:rsidRDefault="00C05924" w:rsidP="00E33785">
      <w:pPr>
        <w:pStyle w:val="NormalWeb"/>
        <w:shd w:val="clear" w:color="auto" w:fill="FFFFFF"/>
        <w:rPr>
          <w:rFonts w:ascii="TimesNewRomanPS" w:hAnsi="TimesNewRomanPS"/>
          <w:b/>
          <w:bCs/>
        </w:rPr>
      </w:pPr>
    </w:p>
    <w:p w14:paraId="2DF7E0A1" w14:textId="77777777" w:rsidR="00C05924" w:rsidRDefault="00C05924" w:rsidP="00E33785">
      <w:pPr>
        <w:pStyle w:val="NormalWeb"/>
        <w:shd w:val="clear" w:color="auto" w:fill="FFFFFF"/>
        <w:rPr>
          <w:rFonts w:ascii="TimesNewRomanPS" w:hAnsi="TimesNewRomanPS"/>
          <w:b/>
          <w:bCs/>
        </w:rPr>
      </w:pPr>
    </w:p>
    <w:p w14:paraId="2F582BF5" w14:textId="77777777" w:rsidR="00C05924" w:rsidRDefault="00C05924" w:rsidP="00E33785">
      <w:pPr>
        <w:pStyle w:val="NormalWeb"/>
        <w:shd w:val="clear" w:color="auto" w:fill="FFFFFF"/>
        <w:rPr>
          <w:rFonts w:ascii="TimesNewRomanPS" w:hAnsi="TimesNewRomanPS"/>
          <w:b/>
          <w:bCs/>
        </w:rPr>
      </w:pPr>
    </w:p>
    <w:p w14:paraId="379DADE5" w14:textId="77777777" w:rsidR="00C05924" w:rsidRDefault="00C05924" w:rsidP="00C05924">
      <w:pPr>
        <w:rPr>
          <w:sz w:val="20"/>
          <w:szCs w:val="20"/>
        </w:rPr>
      </w:pPr>
      <w:r>
        <w:rPr>
          <w:rStyle w:val="pg-1fs2"/>
          <w:color w:val="000000"/>
          <w:sz w:val="18"/>
          <w:szCs w:val="18"/>
          <w:shd w:val="clear" w:color="auto" w:fill="FFFFFF"/>
        </w:rPr>
        <w:t xml:space="preserve">                             Dados Internacionais de Catalogação na Publicação</w:t>
      </w:r>
      <w:r>
        <w:rPr>
          <w:sz w:val="20"/>
          <w:szCs w:val="20"/>
        </w:rPr>
        <w:t xml:space="preserve">  </w:t>
      </w:r>
    </w:p>
    <w:tbl>
      <w:tblPr>
        <w:tblStyle w:val="Tabelacomgrade"/>
        <w:tblW w:w="0" w:type="auto"/>
        <w:tblLook w:val="04A0" w:firstRow="1" w:lastRow="0" w:firstColumn="1" w:lastColumn="0" w:noHBand="0" w:noVBand="1"/>
      </w:tblPr>
      <w:tblGrid>
        <w:gridCol w:w="7088"/>
      </w:tblGrid>
      <w:tr w:rsidR="00C05924" w14:paraId="47D7B2B4" w14:textId="77777777" w:rsidTr="00C05924">
        <w:tc>
          <w:tcPr>
            <w:tcW w:w="7088" w:type="dxa"/>
            <w:tcBorders>
              <w:top w:val="single" w:sz="4" w:space="0" w:color="auto"/>
              <w:left w:val="single" w:sz="4" w:space="0" w:color="auto"/>
              <w:bottom w:val="single" w:sz="4" w:space="0" w:color="auto"/>
              <w:right w:val="single" w:sz="4" w:space="0" w:color="auto"/>
            </w:tcBorders>
          </w:tcPr>
          <w:p w14:paraId="37250142" w14:textId="77777777" w:rsidR="00C05924" w:rsidRDefault="00C05924">
            <w:pPr>
              <w:rPr>
                <w:sz w:val="20"/>
                <w:szCs w:val="20"/>
                <w:lang w:eastAsia="en-US"/>
              </w:rPr>
            </w:pPr>
          </w:p>
          <w:p w14:paraId="21AE1D5E" w14:textId="77777777" w:rsidR="00C05924" w:rsidRDefault="00C05924">
            <w:pPr>
              <w:autoSpaceDE w:val="0"/>
              <w:autoSpaceDN w:val="0"/>
              <w:adjustRightInd w:val="0"/>
              <w:rPr>
                <w:rFonts w:eastAsia="Arial"/>
                <w:bCs/>
                <w:color w:val="000000" w:themeColor="text1"/>
                <w:sz w:val="20"/>
                <w:szCs w:val="20"/>
                <w:lang w:eastAsia="en-US"/>
              </w:rPr>
            </w:pPr>
            <w:r>
              <w:rPr>
                <w:sz w:val="20"/>
                <w:szCs w:val="20"/>
                <w:lang w:eastAsia="en-US"/>
              </w:rPr>
              <w:t xml:space="preserve">        </w:t>
            </w:r>
            <w:r>
              <w:rPr>
                <w:rFonts w:eastAsia="Arial"/>
                <w:bCs/>
                <w:color w:val="000000" w:themeColor="text1"/>
                <w:sz w:val="20"/>
                <w:szCs w:val="20"/>
                <w:lang w:eastAsia="en-US"/>
              </w:rPr>
              <w:t>Aires, Elisa.</w:t>
            </w:r>
          </w:p>
          <w:p w14:paraId="2FA95134" w14:textId="77777777" w:rsidR="00C05924" w:rsidRDefault="00C05924">
            <w:pPr>
              <w:autoSpaceDE w:val="0"/>
              <w:autoSpaceDN w:val="0"/>
              <w:adjustRightInd w:val="0"/>
              <w:rPr>
                <w:rFonts w:eastAsia="SimSun"/>
                <w:color w:val="000000" w:themeColor="text1"/>
                <w:kern w:val="2"/>
                <w:sz w:val="20"/>
                <w:szCs w:val="20"/>
                <w:lang w:eastAsia="hi-IN" w:bidi="hi-IN"/>
              </w:rPr>
            </w:pPr>
            <w:r>
              <w:rPr>
                <w:rFonts w:eastAsia="Arial"/>
                <w:bCs/>
                <w:color w:val="000000" w:themeColor="text1"/>
                <w:sz w:val="20"/>
                <w:szCs w:val="20"/>
                <w:lang w:eastAsia="en-US"/>
              </w:rPr>
              <w:t xml:space="preserve">             </w:t>
            </w:r>
            <w:r>
              <w:rPr>
                <w:rFonts w:eastAsia="SimSun"/>
                <w:color w:val="000000" w:themeColor="text1"/>
                <w:kern w:val="2"/>
                <w:sz w:val="20"/>
                <w:szCs w:val="20"/>
                <w:lang w:eastAsia="hi-IN" w:bidi="hi-IN"/>
              </w:rPr>
              <w:t xml:space="preserve">Avaliação de oito polimorfismos em genes candidatos relacionados à função </w:t>
            </w:r>
          </w:p>
          <w:p w14:paraId="0D9CF842" w14:textId="77777777" w:rsidR="00C05924" w:rsidRDefault="00C05924">
            <w:pPr>
              <w:autoSpaceDE w:val="0"/>
              <w:autoSpaceDN w:val="0"/>
              <w:adjustRightInd w:val="0"/>
              <w:rPr>
                <w:rFonts w:eastAsia="Arial"/>
                <w:bCs/>
                <w:color w:val="000000" w:themeColor="text1"/>
                <w:sz w:val="20"/>
                <w:szCs w:val="20"/>
                <w:lang w:eastAsia="en-US"/>
              </w:rPr>
            </w:pPr>
            <w:r>
              <w:rPr>
                <w:rFonts w:eastAsia="SimSun"/>
                <w:color w:val="000000" w:themeColor="text1"/>
                <w:kern w:val="2"/>
                <w:sz w:val="20"/>
                <w:szCs w:val="20"/>
                <w:lang w:eastAsia="hi-IN" w:bidi="hi-IN"/>
              </w:rPr>
              <w:t xml:space="preserve">        tireoidiana no idoso / </w:t>
            </w:r>
            <w:r>
              <w:rPr>
                <w:rFonts w:eastAsia="Arial"/>
                <w:bCs/>
                <w:color w:val="000000" w:themeColor="text1"/>
                <w:sz w:val="20"/>
                <w:szCs w:val="20"/>
                <w:lang w:eastAsia="en-US"/>
              </w:rPr>
              <w:t>Elisa Aires. - 2022.</w:t>
            </w:r>
          </w:p>
          <w:p w14:paraId="59ECB093" w14:textId="56840154" w:rsidR="00C05924" w:rsidRDefault="00C05924">
            <w:pPr>
              <w:tabs>
                <w:tab w:val="left" w:pos="709"/>
              </w:tabs>
              <w:autoSpaceDE w:val="0"/>
              <w:autoSpaceDN w:val="0"/>
              <w:adjustRightInd w:val="0"/>
              <w:rPr>
                <w:rFonts w:eastAsia="Arial"/>
                <w:bCs/>
                <w:color w:val="000000" w:themeColor="text1"/>
                <w:sz w:val="20"/>
                <w:szCs w:val="20"/>
                <w:lang w:eastAsia="en-US"/>
              </w:rPr>
            </w:pPr>
            <w:r>
              <w:rPr>
                <w:rFonts w:eastAsia="Arial"/>
                <w:bCs/>
                <w:color w:val="000000" w:themeColor="text1"/>
                <w:sz w:val="20"/>
                <w:szCs w:val="20"/>
                <w:lang w:eastAsia="en-US"/>
              </w:rPr>
              <w:t xml:space="preserve">             </w:t>
            </w:r>
            <w:r w:rsidR="005A5C70">
              <w:rPr>
                <w:rFonts w:eastAsia="Arial"/>
                <w:bCs/>
                <w:color w:val="000000" w:themeColor="text1"/>
                <w:sz w:val="20"/>
                <w:szCs w:val="20"/>
                <w:lang w:eastAsia="en-US"/>
              </w:rPr>
              <w:t>80</w:t>
            </w:r>
            <w:r w:rsidR="00405717">
              <w:rPr>
                <w:rFonts w:eastAsia="Arial"/>
                <w:bCs/>
                <w:color w:val="000000" w:themeColor="text1"/>
                <w:sz w:val="20"/>
                <w:szCs w:val="20"/>
                <w:lang w:eastAsia="en-US"/>
              </w:rPr>
              <w:t xml:space="preserve"> </w:t>
            </w:r>
            <w:proofErr w:type="gramStart"/>
            <w:r w:rsidR="00405717">
              <w:rPr>
                <w:rFonts w:eastAsia="Arial"/>
                <w:bCs/>
                <w:color w:val="000000" w:themeColor="text1"/>
                <w:sz w:val="20"/>
                <w:szCs w:val="20"/>
                <w:lang w:eastAsia="en-US"/>
              </w:rPr>
              <w:t xml:space="preserve">f. </w:t>
            </w:r>
            <w:r w:rsidRPr="00C05924">
              <w:rPr>
                <w:rFonts w:eastAsia="Arial"/>
                <w:bCs/>
                <w:color w:val="000000" w:themeColor="text1"/>
                <w:sz w:val="20"/>
                <w:szCs w:val="20"/>
                <w:lang w:eastAsia="en-US"/>
              </w:rPr>
              <w:t>:</w:t>
            </w:r>
            <w:proofErr w:type="gramEnd"/>
            <w:r w:rsidRPr="00C05924">
              <w:rPr>
                <w:rFonts w:eastAsia="Arial"/>
                <w:bCs/>
                <w:color w:val="000000" w:themeColor="text1"/>
                <w:sz w:val="20"/>
                <w:szCs w:val="20"/>
                <w:lang w:eastAsia="en-US"/>
              </w:rPr>
              <w:t xml:space="preserve"> il.</w:t>
            </w:r>
            <w:r>
              <w:rPr>
                <w:rFonts w:eastAsia="Arial"/>
                <w:bCs/>
                <w:color w:val="000000" w:themeColor="text1"/>
                <w:sz w:val="20"/>
                <w:szCs w:val="20"/>
                <w:lang w:eastAsia="en-US"/>
              </w:rPr>
              <w:t xml:space="preserve"> </w:t>
            </w:r>
          </w:p>
          <w:p w14:paraId="683EE4DF" w14:textId="77777777" w:rsidR="00C05924" w:rsidRDefault="00C05924">
            <w:pPr>
              <w:autoSpaceDE w:val="0"/>
              <w:autoSpaceDN w:val="0"/>
              <w:adjustRightInd w:val="0"/>
              <w:rPr>
                <w:rFonts w:eastAsia="Arial"/>
                <w:bCs/>
                <w:color w:val="000000" w:themeColor="text1"/>
                <w:sz w:val="20"/>
                <w:szCs w:val="20"/>
                <w:lang w:eastAsia="en-US"/>
              </w:rPr>
            </w:pPr>
          </w:p>
          <w:p w14:paraId="4FDF2750" w14:textId="77777777" w:rsidR="00C05924" w:rsidRDefault="00C05924">
            <w:pPr>
              <w:tabs>
                <w:tab w:val="left" w:pos="-170"/>
                <w:tab w:val="left" w:pos="709"/>
                <w:tab w:val="left" w:pos="8547"/>
              </w:tabs>
              <w:jc w:val="both"/>
              <w:rPr>
                <w:bCs/>
                <w:color w:val="000000" w:themeColor="text1"/>
                <w:sz w:val="20"/>
                <w:szCs w:val="20"/>
                <w:lang w:eastAsia="en-US"/>
              </w:rPr>
            </w:pPr>
            <w:r>
              <w:rPr>
                <w:rFonts w:eastAsia="Arial"/>
                <w:bCs/>
                <w:color w:val="000000" w:themeColor="text1"/>
                <w:sz w:val="20"/>
                <w:szCs w:val="20"/>
                <w:lang w:eastAsia="en-US"/>
              </w:rPr>
              <w:t xml:space="preserve">            </w:t>
            </w:r>
            <w:r>
              <w:rPr>
                <w:bCs/>
                <w:color w:val="000000" w:themeColor="text1"/>
                <w:sz w:val="20"/>
                <w:szCs w:val="20"/>
                <w:lang w:eastAsia="en-US"/>
              </w:rPr>
              <w:t>Orientador: Prof. Dr. Helton Estrela Ramos.</w:t>
            </w:r>
          </w:p>
          <w:p w14:paraId="3EF3FBE8" w14:textId="297FAAE5" w:rsidR="00C05924" w:rsidRDefault="00C05924">
            <w:pPr>
              <w:shd w:val="clear" w:color="auto" w:fill="FFFFFF"/>
              <w:tabs>
                <w:tab w:val="left" w:pos="709"/>
              </w:tabs>
              <w:textAlignment w:val="baseline"/>
              <w:outlineLvl w:val="1"/>
              <w:rPr>
                <w:bCs/>
                <w:sz w:val="20"/>
                <w:szCs w:val="20"/>
                <w:lang w:eastAsia="en-US"/>
              </w:rPr>
            </w:pPr>
            <w:r>
              <w:rPr>
                <w:bCs/>
                <w:color w:val="000000" w:themeColor="text1"/>
                <w:sz w:val="20"/>
                <w:szCs w:val="20"/>
                <w:lang w:eastAsia="en-US"/>
              </w:rPr>
              <w:t xml:space="preserve">            Coorientador: Prof. Dr. </w:t>
            </w:r>
            <w:proofErr w:type="spellStart"/>
            <w:r>
              <w:rPr>
                <w:bCs/>
                <w:sz w:val="20"/>
                <w:szCs w:val="20"/>
                <w:lang w:eastAsia="en-US"/>
              </w:rPr>
              <w:t>Fabyan</w:t>
            </w:r>
            <w:proofErr w:type="spellEnd"/>
            <w:r>
              <w:rPr>
                <w:bCs/>
                <w:sz w:val="20"/>
                <w:szCs w:val="20"/>
                <w:lang w:eastAsia="en-US"/>
              </w:rPr>
              <w:t xml:space="preserve"> </w:t>
            </w:r>
            <w:proofErr w:type="spellStart"/>
            <w:r>
              <w:rPr>
                <w:bCs/>
                <w:sz w:val="20"/>
                <w:szCs w:val="20"/>
                <w:lang w:eastAsia="en-US"/>
              </w:rPr>
              <w:t>Esberard</w:t>
            </w:r>
            <w:proofErr w:type="spellEnd"/>
            <w:r>
              <w:rPr>
                <w:bCs/>
                <w:sz w:val="20"/>
                <w:szCs w:val="20"/>
                <w:lang w:eastAsia="en-US"/>
              </w:rPr>
              <w:t xml:space="preserve"> de Lima Beltrão.</w:t>
            </w:r>
          </w:p>
          <w:p w14:paraId="3113D6F0" w14:textId="21CBD847" w:rsidR="00C05924" w:rsidRDefault="00C05924">
            <w:pPr>
              <w:tabs>
                <w:tab w:val="left" w:pos="403"/>
                <w:tab w:val="left" w:pos="741"/>
              </w:tabs>
              <w:rPr>
                <w:sz w:val="20"/>
                <w:szCs w:val="20"/>
                <w:lang w:eastAsia="en-US"/>
              </w:rPr>
            </w:pPr>
            <w:r>
              <w:rPr>
                <w:bCs/>
                <w:sz w:val="20"/>
                <w:szCs w:val="20"/>
                <w:lang w:eastAsia="en-US"/>
              </w:rPr>
              <w:t xml:space="preserve">            </w:t>
            </w:r>
            <w:r>
              <w:rPr>
                <w:sz w:val="20"/>
                <w:szCs w:val="20"/>
                <w:lang w:eastAsia="en-US"/>
              </w:rPr>
              <w:t xml:space="preserve">Dissertação (mestrado) - Universidade Federal da Bahia. Instituto de </w:t>
            </w:r>
          </w:p>
          <w:p w14:paraId="61297EFD" w14:textId="77777777" w:rsidR="00C05924" w:rsidRDefault="00C05924">
            <w:pPr>
              <w:tabs>
                <w:tab w:val="left" w:pos="704"/>
              </w:tabs>
              <w:rPr>
                <w:sz w:val="20"/>
                <w:szCs w:val="20"/>
                <w:lang w:eastAsia="en-US"/>
              </w:rPr>
            </w:pPr>
            <w:r>
              <w:rPr>
                <w:sz w:val="20"/>
                <w:szCs w:val="20"/>
                <w:lang w:eastAsia="en-US"/>
              </w:rPr>
              <w:t xml:space="preserve">        Ciências da Saúde. Programa de Pós-Graduação em Processos Interativos dos </w:t>
            </w:r>
          </w:p>
          <w:p w14:paraId="0FF9ACE5" w14:textId="77777777" w:rsidR="00C05924" w:rsidRDefault="00C05924">
            <w:pPr>
              <w:pStyle w:val="Padro"/>
              <w:tabs>
                <w:tab w:val="left" w:pos="597"/>
                <w:tab w:val="left" w:pos="739"/>
              </w:tabs>
              <w:spacing w:after="0" w:line="240" w:lineRule="auto"/>
              <w:rPr>
                <w:rFonts w:ascii="Times New Roman" w:hAnsi="Times New Roman"/>
                <w:sz w:val="20"/>
                <w:szCs w:val="20"/>
              </w:rPr>
            </w:pPr>
            <w:r>
              <w:rPr>
                <w:rFonts w:ascii="Times New Roman" w:hAnsi="Times New Roman"/>
                <w:sz w:val="20"/>
                <w:szCs w:val="20"/>
              </w:rPr>
              <w:t xml:space="preserve">        Órgãos e Sistemas, Salvador, 2022.</w:t>
            </w:r>
          </w:p>
          <w:p w14:paraId="786A7FC4" w14:textId="77777777" w:rsidR="00C05924" w:rsidRDefault="00C05924">
            <w:pPr>
              <w:tabs>
                <w:tab w:val="left" w:pos="426"/>
                <w:tab w:val="left" w:pos="709"/>
              </w:tabs>
              <w:autoSpaceDE w:val="0"/>
              <w:autoSpaceDN w:val="0"/>
              <w:adjustRightInd w:val="0"/>
              <w:rPr>
                <w:rFonts w:eastAsia="Arial"/>
                <w:bCs/>
                <w:color w:val="000000" w:themeColor="text1"/>
                <w:sz w:val="20"/>
                <w:szCs w:val="20"/>
                <w:lang w:eastAsia="en-US"/>
              </w:rPr>
            </w:pPr>
          </w:p>
          <w:p w14:paraId="28B47359" w14:textId="1BB7FC72" w:rsidR="00C05924" w:rsidRDefault="00C05924">
            <w:pPr>
              <w:rPr>
                <w:sz w:val="20"/>
                <w:szCs w:val="20"/>
                <w:lang w:eastAsia="en-US"/>
              </w:rPr>
            </w:pPr>
            <w:r>
              <w:rPr>
                <w:rFonts w:eastAsia="Arial"/>
                <w:bCs/>
                <w:color w:val="000000" w:themeColor="text1"/>
                <w:sz w:val="20"/>
                <w:szCs w:val="20"/>
                <w:lang w:eastAsia="en-US"/>
              </w:rPr>
              <w:t xml:space="preserve">             1. </w:t>
            </w:r>
            <w:r>
              <w:rPr>
                <w:sz w:val="20"/>
                <w:szCs w:val="20"/>
                <w:lang w:eastAsia="en-US"/>
              </w:rPr>
              <w:t xml:space="preserve">Glândula tireoide. 2. </w:t>
            </w:r>
            <w:proofErr w:type="spellStart"/>
            <w:r>
              <w:rPr>
                <w:sz w:val="20"/>
                <w:szCs w:val="20"/>
                <w:lang w:eastAsia="en-US"/>
              </w:rPr>
              <w:t>Tri-Iodotironina</w:t>
            </w:r>
            <w:proofErr w:type="spellEnd"/>
            <w:r>
              <w:rPr>
                <w:sz w:val="20"/>
                <w:szCs w:val="20"/>
                <w:lang w:eastAsia="en-US"/>
              </w:rPr>
              <w:t xml:space="preserve">. 3. Tiroxina. 4. </w:t>
            </w:r>
            <w:proofErr w:type="spellStart"/>
            <w:r>
              <w:rPr>
                <w:sz w:val="20"/>
                <w:szCs w:val="20"/>
                <w:lang w:eastAsia="en-US"/>
              </w:rPr>
              <w:t>Tireotropina</w:t>
            </w:r>
            <w:proofErr w:type="spellEnd"/>
            <w:r>
              <w:rPr>
                <w:sz w:val="20"/>
                <w:szCs w:val="20"/>
                <w:lang w:eastAsia="en-US"/>
              </w:rPr>
              <w:t xml:space="preserve">. 5. </w:t>
            </w:r>
          </w:p>
          <w:p w14:paraId="2DB9DB99" w14:textId="77777777" w:rsidR="00C05924" w:rsidRDefault="00C05924">
            <w:pPr>
              <w:tabs>
                <w:tab w:val="left" w:pos="426"/>
              </w:tabs>
              <w:rPr>
                <w:bCs/>
                <w:color w:val="000000" w:themeColor="text1"/>
                <w:sz w:val="20"/>
                <w:szCs w:val="20"/>
                <w:lang w:eastAsia="en-US"/>
              </w:rPr>
            </w:pPr>
            <w:r>
              <w:rPr>
                <w:sz w:val="20"/>
                <w:szCs w:val="20"/>
                <w:lang w:eastAsia="en-US"/>
              </w:rPr>
              <w:t xml:space="preserve">        Envelhecimento. 6. Polimorfismo de nucleotídeo único. I. </w:t>
            </w:r>
            <w:r>
              <w:rPr>
                <w:bCs/>
                <w:color w:val="000000" w:themeColor="text1"/>
                <w:sz w:val="20"/>
                <w:szCs w:val="20"/>
                <w:lang w:eastAsia="en-US"/>
              </w:rPr>
              <w:t xml:space="preserve">Ramos, Helton </w:t>
            </w:r>
          </w:p>
          <w:p w14:paraId="4E2A543F" w14:textId="77777777" w:rsidR="00C05924" w:rsidRDefault="00C05924">
            <w:pPr>
              <w:tabs>
                <w:tab w:val="left" w:pos="426"/>
                <w:tab w:val="left" w:pos="709"/>
              </w:tabs>
              <w:rPr>
                <w:sz w:val="20"/>
                <w:szCs w:val="20"/>
                <w:lang w:eastAsia="en-US"/>
              </w:rPr>
            </w:pPr>
            <w:r>
              <w:rPr>
                <w:bCs/>
                <w:color w:val="000000" w:themeColor="text1"/>
                <w:sz w:val="20"/>
                <w:szCs w:val="20"/>
                <w:lang w:eastAsia="en-US"/>
              </w:rPr>
              <w:t xml:space="preserve">        Estrela. II. </w:t>
            </w:r>
            <w:r>
              <w:rPr>
                <w:bCs/>
                <w:sz w:val="20"/>
                <w:szCs w:val="20"/>
                <w:lang w:eastAsia="en-US"/>
              </w:rPr>
              <w:t xml:space="preserve">Beltrão, </w:t>
            </w:r>
            <w:proofErr w:type="spellStart"/>
            <w:r>
              <w:rPr>
                <w:bCs/>
                <w:sz w:val="20"/>
                <w:szCs w:val="20"/>
                <w:lang w:eastAsia="en-US"/>
              </w:rPr>
              <w:t>Fabyan</w:t>
            </w:r>
            <w:proofErr w:type="spellEnd"/>
            <w:r>
              <w:rPr>
                <w:bCs/>
                <w:sz w:val="20"/>
                <w:szCs w:val="20"/>
                <w:lang w:eastAsia="en-US"/>
              </w:rPr>
              <w:t xml:space="preserve"> </w:t>
            </w:r>
            <w:proofErr w:type="spellStart"/>
            <w:r>
              <w:rPr>
                <w:bCs/>
                <w:sz w:val="20"/>
                <w:szCs w:val="20"/>
                <w:lang w:eastAsia="en-US"/>
              </w:rPr>
              <w:t>Esberard</w:t>
            </w:r>
            <w:proofErr w:type="spellEnd"/>
            <w:r>
              <w:rPr>
                <w:bCs/>
                <w:sz w:val="20"/>
                <w:szCs w:val="20"/>
                <w:lang w:eastAsia="en-US"/>
              </w:rPr>
              <w:t xml:space="preserve"> de Lima. III. </w:t>
            </w:r>
            <w:r>
              <w:rPr>
                <w:sz w:val="20"/>
                <w:szCs w:val="20"/>
                <w:lang w:eastAsia="en-US"/>
              </w:rPr>
              <w:t xml:space="preserve">Universidade Federal da </w:t>
            </w:r>
          </w:p>
          <w:p w14:paraId="48EEE2A8" w14:textId="77777777" w:rsidR="00C05924" w:rsidRDefault="00C05924">
            <w:pPr>
              <w:rPr>
                <w:sz w:val="20"/>
                <w:szCs w:val="20"/>
                <w:lang w:eastAsia="en-US"/>
              </w:rPr>
            </w:pPr>
            <w:r>
              <w:rPr>
                <w:sz w:val="20"/>
                <w:szCs w:val="20"/>
                <w:lang w:eastAsia="en-US"/>
              </w:rPr>
              <w:t xml:space="preserve">        Bahia. Instituto de Ciências da Saúde. Programa de Pós-Graduação em </w:t>
            </w:r>
          </w:p>
          <w:p w14:paraId="0F7A24D8" w14:textId="77777777" w:rsidR="00C05924" w:rsidRDefault="00C05924">
            <w:pPr>
              <w:rPr>
                <w:sz w:val="20"/>
                <w:szCs w:val="20"/>
                <w:lang w:eastAsia="en-US"/>
              </w:rPr>
            </w:pPr>
            <w:r>
              <w:rPr>
                <w:sz w:val="20"/>
                <w:szCs w:val="20"/>
                <w:lang w:eastAsia="en-US"/>
              </w:rPr>
              <w:t xml:space="preserve">        Processos Interativos dos Órgãos e Sistemas. IV. Título. </w:t>
            </w:r>
          </w:p>
          <w:p w14:paraId="5BE435D4" w14:textId="77777777" w:rsidR="00C05924" w:rsidRDefault="00C05924">
            <w:pPr>
              <w:tabs>
                <w:tab w:val="left" w:pos="426"/>
                <w:tab w:val="left" w:pos="709"/>
              </w:tabs>
              <w:jc w:val="both"/>
              <w:rPr>
                <w:sz w:val="20"/>
                <w:szCs w:val="20"/>
                <w:lang w:eastAsia="en-US"/>
              </w:rPr>
            </w:pPr>
          </w:p>
          <w:p w14:paraId="5CF1EB2B" w14:textId="77777777" w:rsidR="00C05924" w:rsidRDefault="00C05924">
            <w:pPr>
              <w:tabs>
                <w:tab w:val="left" w:pos="426"/>
                <w:tab w:val="left" w:pos="709"/>
              </w:tabs>
              <w:jc w:val="both"/>
              <w:rPr>
                <w:sz w:val="20"/>
                <w:szCs w:val="20"/>
                <w:lang w:eastAsia="en-US"/>
              </w:rPr>
            </w:pPr>
            <w:r>
              <w:rPr>
                <w:sz w:val="20"/>
                <w:szCs w:val="20"/>
                <w:lang w:eastAsia="en-US"/>
              </w:rPr>
              <w:t xml:space="preserve">                                               CDD 616.44 - 23. ed.</w:t>
            </w:r>
          </w:p>
        </w:tc>
      </w:tr>
    </w:tbl>
    <w:p w14:paraId="38EF7450" w14:textId="77777777" w:rsidR="00C05924" w:rsidRDefault="00C05924" w:rsidP="00C05924">
      <w:pPr>
        <w:rPr>
          <w:sz w:val="18"/>
          <w:szCs w:val="18"/>
        </w:rPr>
      </w:pPr>
      <w:r>
        <w:rPr>
          <w:sz w:val="18"/>
          <w:szCs w:val="18"/>
        </w:rPr>
        <w:t xml:space="preserve">                    Elaborada por Maria Auxiliadora da Silva Lopes - CRB-5/1524</w:t>
      </w:r>
    </w:p>
    <w:p w14:paraId="25002183" w14:textId="77777777" w:rsidR="00C05924" w:rsidRDefault="00C05924" w:rsidP="00E33785">
      <w:pPr>
        <w:pStyle w:val="NormalWeb"/>
        <w:shd w:val="clear" w:color="auto" w:fill="FFFFFF"/>
        <w:rPr>
          <w:rFonts w:ascii="TimesNewRomanPS" w:hAnsi="TimesNewRomanPS"/>
          <w:b/>
          <w:bCs/>
        </w:rPr>
      </w:pPr>
    </w:p>
    <w:p w14:paraId="3DF1E8D4" w14:textId="77777777" w:rsidR="00493BC8" w:rsidRDefault="00493BC8" w:rsidP="00E33785">
      <w:pPr>
        <w:pStyle w:val="NormalWeb"/>
        <w:shd w:val="clear" w:color="auto" w:fill="FFFFFF"/>
        <w:rPr>
          <w:rFonts w:ascii="TimesNewRomanPS" w:hAnsi="TimesNewRomanPS"/>
          <w:b/>
          <w:bCs/>
        </w:rPr>
      </w:pPr>
    </w:p>
    <w:p w14:paraId="047DD88C" w14:textId="77777777" w:rsidR="00493BC8" w:rsidRDefault="00493BC8" w:rsidP="00E33785">
      <w:pPr>
        <w:pStyle w:val="NormalWeb"/>
        <w:shd w:val="clear" w:color="auto" w:fill="FFFFFF"/>
        <w:rPr>
          <w:rFonts w:ascii="TimesNewRomanPS" w:hAnsi="TimesNewRomanPS"/>
          <w:b/>
          <w:bCs/>
        </w:rPr>
      </w:pPr>
    </w:p>
    <w:p w14:paraId="2E93B9D9" w14:textId="77777777" w:rsidR="00405717" w:rsidRDefault="00405717" w:rsidP="00FF3735">
      <w:pPr>
        <w:pStyle w:val="NormalWeb"/>
        <w:shd w:val="clear" w:color="auto" w:fill="FFFFFF"/>
        <w:jc w:val="center"/>
        <w:rPr>
          <w:rFonts w:ascii="TimesNewRomanPS" w:hAnsi="TimesNewRomanPS"/>
          <w:b/>
          <w:bCs/>
          <w:sz w:val="28"/>
          <w:szCs w:val="28"/>
        </w:rPr>
      </w:pPr>
    </w:p>
    <w:p w14:paraId="744D8FEC" w14:textId="77777777" w:rsidR="00405717" w:rsidRDefault="00405717" w:rsidP="00FF3735">
      <w:pPr>
        <w:pStyle w:val="NormalWeb"/>
        <w:shd w:val="clear" w:color="auto" w:fill="FFFFFF"/>
        <w:jc w:val="center"/>
        <w:rPr>
          <w:rFonts w:ascii="TimesNewRomanPS" w:hAnsi="TimesNewRomanPS"/>
          <w:b/>
          <w:bCs/>
          <w:sz w:val="28"/>
          <w:szCs w:val="28"/>
        </w:rPr>
      </w:pPr>
    </w:p>
    <w:p w14:paraId="617E0245" w14:textId="77777777" w:rsidR="00FF3735" w:rsidRPr="00EF787F" w:rsidRDefault="00FF3735" w:rsidP="00FF3735">
      <w:pPr>
        <w:pStyle w:val="NormalWeb"/>
        <w:shd w:val="clear" w:color="auto" w:fill="FFFFFF"/>
        <w:jc w:val="center"/>
        <w:rPr>
          <w:rFonts w:ascii="TimesNewRomanPS" w:hAnsi="TimesNewRomanPS"/>
          <w:b/>
          <w:bCs/>
          <w:sz w:val="28"/>
          <w:szCs w:val="28"/>
        </w:rPr>
      </w:pPr>
      <w:r w:rsidRPr="00EF787F">
        <w:rPr>
          <w:rFonts w:ascii="TimesNewRomanPS" w:hAnsi="TimesNewRomanPS"/>
          <w:b/>
          <w:bCs/>
          <w:sz w:val="28"/>
          <w:szCs w:val="28"/>
        </w:rPr>
        <w:lastRenderedPageBreak/>
        <w:t>ELISA AIRES</w:t>
      </w:r>
    </w:p>
    <w:p w14:paraId="61645782" w14:textId="77777777" w:rsidR="00FF3735" w:rsidRDefault="00FF3735" w:rsidP="00EF787F">
      <w:pPr>
        <w:pStyle w:val="NormalWeb"/>
        <w:shd w:val="clear" w:color="auto" w:fill="FFFFFF"/>
        <w:jc w:val="center"/>
        <w:rPr>
          <w:rFonts w:ascii="TimesNewRomanPS" w:hAnsi="TimesNewRomanPS"/>
          <w:b/>
          <w:bCs/>
        </w:rPr>
      </w:pPr>
    </w:p>
    <w:p w14:paraId="0EDF5D76" w14:textId="13B748B7" w:rsidR="00E33785" w:rsidRPr="00EF787F" w:rsidRDefault="00934D77" w:rsidP="00EF787F">
      <w:pPr>
        <w:pStyle w:val="NormalWeb"/>
        <w:shd w:val="clear" w:color="auto" w:fill="FFFFFF"/>
        <w:jc w:val="center"/>
        <w:rPr>
          <w:rFonts w:ascii="TimesNewRomanPS" w:hAnsi="TimesNewRomanPS"/>
          <w:b/>
          <w:bCs/>
          <w:sz w:val="28"/>
          <w:szCs w:val="28"/>
        </w:rPr>
      </w:pPr>
      <w:r w:rsidRPr="00934D77">
        <w:rPr>
          <w:rFonts w:ascii="TimesNewRomanPS" w:hAnsi="TimesNewRomanPS"/>
          <w:b/>
          <w:bCs/>
          <w:sz w:val="28"/>
          <w:szCs w:val="28"/>
        </w:rPr>
        <w:t>AVALIA</w:t>
      </w:r>
      <w:r w:rsidRPr="00934D77">
        <w:rPr>
          <w:rFonts w:ascii="TimesNewRomanPS" w:hAnsi="TimesNewRomanPS" w:hint="eastAsia"/>
          <w:b/>
          <w:bCs/>
          <w:sz w:val="28"/>
          <w:szCs w:val="28"/>
        </w:rPr>
        <w:t>ÇÃ</w:t>
      </w:r>
      <w:r w:rsidRPr="00934D77">
        <w:rPr>
          <w:rFonts w:ascii="TimesNewRomanPS" w:hAnsi="TimesNewRomanPS"/>
          <w:b/>
          <w:bCs/>
          <w:sz w:val="28"/>
          <w:szCs w:val="28"/>
        </w:rPr>
        <w:t xml:space="preserve">O DE OITO POLIMORFISMOS EM GENES CANDIDATOS RELACIONADOS </w:t>
      </w:r>
      <w:r>
        <w:rPr>
          <w:rFonts w:ascii="TimesNewRomanPS" w:hAnsi="TimesNewRomanPS"/>
          <w:b/>
          <w:bCs/>
          <w:sz w:val="28"/>
          <w:szCs w:val="28"/>
        </w:rPr>
        <w:t>À</w:t>
      </w:r>
      <w:r w:rsidRPr="00934D77">
        <w:rPr>
          <w:rFonts w:ascii="TimesNewRomanPS" w:hAnsi="TimesNewRomanPS"/>
          <w:b/>
          <w:bCs/>
          <w:sz w:val="28"/>
          <w:szCs w:val="28"/>
        </w:rPr>
        <w:t xml:space="preserve"> FUN</w:t>
      </w:r>
      <w:r w:rsidRPr="00934D77">
        <w:rPr>
          <w:rFonts w:ascii="TimesNewRomanPS" w:hAnsi="TimesNewRomanPS" w:hint="eastAsia"/>
          <w:b/>
          <w:bCs/>
          <w:sz w:val="28"/>
          <w:szCs w:val="28"/>
        </w:rPr>
        <w:t>ÇÃ</w:t>
      </w:r>
      <w:r w:rsidRPr="00934D77">
        <w:rPr>
          <w:rFonts w:ascii="TimesNewRomanPS" w:hAnsi="TimesNewRomanPS"/>
          <w:b/>
          <w:bCs/>
          <w:sz w:val="28"/>
          <w:szCs w:val="28"/>
        </w:rPr>
        <w:t>O TIREOIDIANA NO IDOSO</w:t>
      </w:r>
    </w:p>
    <w:p w14:paraId="54523C4E" w14:textId="77777777" w:rsidR="00FF3735" w:rsidRDefault="00FF3735" w:rsidP="00E33785">
      <w:pPr>
        <w:pStyle w:val="NormalWeb"/>
        <w:shd w:val="clear" w:color="auto" w:fill="FFFFFF"/>
        <w:jc w:val="center"/>
        <w:rPr>
          <w:rFonts w:ascii="TimesNewRomanPS" w:hAnsi="TimesNewRomanPS"/>
          <w:b/>
          <w:bCs/>
        </w:rPr>
      </w:pPr>
    </w:p>
    <w:p w14:paraId="5ACFC6B4" w14:textId="77777777" w:rsidR="00C05924" w:rsidRDefault="00C05924" w:rsidP="00E33785">
      <w:pPr>
        <w:pStyle w:val="NormalWeb"/>
        <w:shd w:val="clear" w:color="auto" w:fill="FFFFFF"/>
        <w:jc w:val="center"/>
        <w:rPr>
          <w:rFonts w:ascii="TimesNewRomanPS" w:hAnsi="TimesNewRomanPS"/>
          <w:b/>
          <w:bCs/>
        </w:rPr>
      </w:pPr>
    </w:p>
    <w:p w14:paraId="37DC3984" w14:textId="0A11D2FE" w:rsidR="00E33785" w:rsidRDefault="00E33785" w:rsidP="009C674D">
      <w:pPr>
        <w:pStyle w:val="NormalWeb"/>
        <w:shd w:val="clear" w:color="auto" w:fill="FFFFFF"/>
        <w:spacing w:before="0" w:beforeAutospacing="0" w:after="0" w:afterAutospacing="0"/>
        <w:ind w:left="2835"/>
        <w:jc w:val="both"/>
        <w:rPr>
          <w:rFonts w:ascii="TimesNewRomanPSMT" w:hAnsi="TimesNewRomanPSMT"/>
        </w:rPr>
      </w:pPr>
      <w:r>
        <w:rPr>
          <w:rFonts w:ascii="TimesNewRomanPSMT" w:hAnsi="TimesNewRomanPSMT"/>
        </w:rPr>
        <w:t xml:space="preserve">Dissertação </w:t>
      </w:r>
      <w:r w:rsidR="00FF3735">
        <w:rPr>
          <w:rFonts w:ascii="TimesNewRomanPSMT" w:hAnsi="TimesNewRomanPSMT"/>
        </w:rPr>
        <w:t>apresentada como requisito parcial para obtenção do título de Mestr</w:t>
      </w:r>
      <w:r w:rsidR="009C674D">
        <w:rPr>
          <w:rFonts w:ascii="TimesNewRomanPSMT" w:hAnsi="TimesNewRomanPSMT"/>
        </w:rPr>
        <w:t>e em</w:t>
      </w:r>
      <w:r>
        <w:rPr>
          <w:rFonts w:ascii="TimesNewRomanPSMT" w:hAnsi="TimesNewRomanPSMT"/>
        </w:rPr>
        <w:t xml:space="preserve"> Processos Interativos dos Órgãos e Sistemas</w:t>
      </w:r>
      <w:r w:rsidR="00EF787F">
        <w:rPr>
          <w:rFonts w:ascii="TimesNewRomanPSMT" w:hAnsi="TimesNewRomanPSMT"/>
        </w:rPr>
        <w:t>,</w:t>
      </w:r>
      <w:r>
        <w:rPr>
          <w:rFonts w:ascii="TimesNewRomanPSMT" w:hAnsi="TimesNewRomanPSMT"/>
        </w:rPr>
        <w:t xml:space="preserve"> </w:t>
      </w:r>
      <w:r w:rsidR="00EF787F">
        <w:rPr>
          <w:rFonts w:ascii="TimesNewRomanPSMT" w:hAnsi="TimesNewRomanPSMT"/>
        </w:rPr>
        <w:t>pelo</w:t>
      </w:r>
      <w:r>
        <w:rPr>
          <w:rFonts w:ascii="TimesNewRomanPSMT" w:hAnsi="TimesNewRomanPSMT"/>
        </w:rPr>
        <w:t xml:space="preserve"> Instituto de Ciências da Saúde, </w:t>
      </w:r>
      <w:r w:rsidR="009C674D">
        <w:rPr>
          <w:rFonts w:ascii="TimesNewRomanPSMT" w:hAnsi="TimesNewRomanPSMT"/>
        </w:rPr>
        <w:t xml:space="preserve">da </w:t>
      </w:r>
      <w:r>
        <w:rPr>
          <w:rFonts w:ascii="TimesNewRomanPSMT" w:hAnsi="TimesNewRomanPSMT"/>
        </w:rPr>
        <w:t>Universidade Federal da Bahia</w:t>
      </w:r>
      <w:r w:rsidR="009C674D">
        <w:rPr>
          <w:rFonts w:ascii="TimesNewRomanPSMT" w:hAnsi="TimesNewRomanPSMT"/>
        </w:rPr>
        <w:t>.</w:t>
      </w:r>
      <w:r>
        <w:rPr>
          <w:rFonts w:ascii="TimesNewRomanPSMT" w:hAnsi="TimesNewRomanPSMT"/>
        </w:rPr>
        <w:t xml:space="preserve"> </w:t>
      </w:r>
    </w:p>
    <w:p w14:paraId="7006BEC1" w14:textId="77777777" w:rsidR="00C05924" w:rsidRDefault="00FF3735" w:rsidP="00C05924">
      <w:pPr>
        <w:pStyle w:val="NormalWeb"/>
        <w:shd w:val="clear" w:color="auto" w:fill="FFFFFF"/>
        <w:jc w:val="right"/>
        <w:rPr>
          <w:rFonts w:ascii="TimesNewRomanPSMT" w:hAnsi="TimesNewRomanPSMT"/>
        </w:rPr>
      </w:pPr>
      <w:r>
        <w:rPr>
          <w:rFonts w:ascii="TimesNewRomanPSMT" w:hAnsi="TimesNewRomanPSMT"/>
        </w:rPr>
        <w:t xml:space="preserve">           </w:t>
      </w:r>
      <w:r w:rsidR="00EF787F">
        <w:rPr>
          <w:rFonts w:ascii="TimesNewRomanPSMT" w:hAnsi="TimesNewRomanPSMT"/>
        </w:rPr>
        <w:t xml:space="preserve">     </w:t>
      </w:r>
    </w:p>
    <w:p w14:paraId="68166336" w14:textId="010D8310" w:rsidR="00E33785" w:rsidRDefault="00FF3735" w:rsidP="00C05924">
      <w:pPr>
        <w:pStyle w:val="NormalWeb"/>
        <w:shd w:val="clear" w:color="auto" w:fill="FFFFFF"/>
        <w:jc w:val="right"/>
        <w:rPr>
          <w:rFonts w:ascii="TimesNewRomanPSMT" w:hAnsi="TimesNewRomanPSMT"/>
        </w:rPr>
      </w:pPr>
      <w:r>
        <w:rPr>
          <w:rFonts w:ascii="TimesNewRomanPSMT" w:hAnsi="TimesNewRomanPSMT"/>
        </w:rPr>
        <w:t xml:space="preserve">Salvador, </w:t>
      </w:r>
      <w:r w:rsidR="00C05924">
        <w:rPr>
          <w:rFonts w:ascii="TimesNewRomanPSMT" w:hAnsi="TimesNewRomanPSMT"/>
        </w:rPr>
        <w:t>12</w:t>
      </w:r>
      <w:r>
        <w:rPr>
          <w:rFonts w:ascii="TimesNewRomanPSMT" w:hAnsi="TimesNewRomanPSMT"/>
        </w:rPr>
        <w:t xml:space="preserve"> </w:t>
      </w:r>
      <w:r w:rsidR="00C05924">
        <w:rPr>
          <w:rFonts w:ascii="TimesNewRomanPSMT" w:hAnsi="TimesNewRomanPSMT"/>
        </w:rPr>
        <w:t>dezembro</w:t>
      </w:r>
      <w:r>
        <w:rPr>
          <w:rFonts w:ascii="TimesNewRomanPSMT" w:hAnsi="TimesNewRomanPSMT"/>
        </w:rPr>
        <w:t xml:space="preserve"> de 202</w:t>
      </w:r>
      <w:r w:rsidR="00C05924">
        <w:rPr>
          <w:rFonts w:ascii="TimesNewRomanPSMT" w:hAnsi="TimesNewRomanPSMT"/>
        </w:rPr>
        <w:t>2</w:t>
      </w:r>
      <w:r>
        <w:rPr>
          <w:rFonts w:ascii="TimesNewRomanPSMT" w:hAnsi="TimesNewRomanPSMT"/>
        </w:rPr>
        <w:t>.</w:t>
      </w:r>
    </w:p>
    <w:p w14:paraId="62BC2CE1" w14:textId="77777777" w:rsidR="00C05924" w:rsidRDefault="00C05924" w:rsidP="00C05924">
      <w:pPr>
        <w:pStyle w:val="NormalWeb"/>
        <w:shd w:val="clear" w:color="auto" w:fill="FFFFFF"/>
        <w:jc w:val="right"/>
        <w:rPr>
          <w:rFonts w:ascii="TimesNewRomanPSMT" w:hAnsi="TimesNewRomanPSMT"/>
        </w:rPr>
      </w:pPr>
    </w:p>
    <w:p w14:paraId="6BFD080C" w14:textId="77777777" w:rsidR="00934D77" w:rsidRDefault="00934D77" w:rsidP="00E33785">
      <w:pPr>
        <w:pStyle w:val="NormalWeb"/>
        <w:shd w:val="clear" w:color="auto" w:fill="FFFFFF"/>
        <w:rPr>
          <w:rFonts w:ascii="TimesNewRomanPSMT" w:hAnsi="TimesNewRomanPSMT"/>
        </w:rPr>
      </w:pPr>
    </w:p>
    <w:p w14:paraId="7ECC8E79" w14:textId="37D75A29" w:rsidR="00FF3735" w:rsidRDefault="00FF3735" w:rsidP="00EF787F">
      <w:pPr>
        <w:pStyle w:val="NormalWeb"/>
        <w:shd w:val="clear" w:color="auto" w:fill="FFFFFF"/>
        <w:spacing w:before="0" w:beforeAutospacing="0" w:after="0" w:afterAutospacing="0"/>
        <w:rPr>
          <w:bCs/>
          <w:color w:val="000000" w:themeColor="text1"/>
        </w:rPr>
      </w:pPr>
      <w:r w:rsidRPr="00EF787F">
        <w:rPr>
          <w:b/>
          <w:bCs/>
          <w:color w:val="000000" w:themeColor="text1"/>
        </w:rPr>
        <w:t>Helton Estrela Ramos</w:t>
      </w:r>
      <w:r w:rsidR="004B5273">
        <w:rPr>
          <w:b/>
          <w:bCs/>
          <w:color w:val="000000" w:themeColor="text1"/>
        </w:rPr>
        <w:t xml:space="preserve"> - </w:t>
      </w:r>
      <w:r>
        <w:rPr>
          <w:bCs/>
          <w:color w:val="000000" w:themeColor="text1"/>
        </w:rPr>
        <w:t xml:space="preserve">Orientador </w:t>
      </w:r>
      <w:r w:rsidR="00BC3558">
        <w:rPr>
          <w:bCs/>
          <w:color w:val="000000" w:themeColor="text1"/>
        </w:rPr>
        <w:t>_____________________________________________</w:t>
      </w:r>
    </w:p>
    <w:p w14:paraId="4A87E5B1" w14:textId="57B63009" w:rsidR="00FF3735" w:rsidRPr="00EF787F" w:rsidRDefault="00FF3735" w:rsidP="004B5273">
      <w:pPr>
        <w:pStyle w:val="NormalWeb"/>
        <w:shd w:val="clear" w:color="auto" w:fill="FFFFFF"/>
        <w:spacing w:before="0" w:beforeAutospacing="0" w:after="0" w:afterAutospacing="0"/>
        <w:rPr>
          <w:rFonts w:ascii="TimesNewRomanPSMT" w:hAnsi="TimesNewRomanPSMT"/>
          <w:sz w:val="22"/>
          <w:szCs w:val="22"/>
        </w:rPr>
      </w:pPr>
      <w:r w:rsidRPr="004B5273">
        <w:rPr>
          <w:bCs/>
          <w:color w:val="000000" w:themeColor="text1"/>
          <w:sz w:val="22"/>
          <w:szCs w:val="22"/>
        </w:rPr>
        <w:t xml:space="preserve">Doutor em </w:t>
      </w:r>
      <w:r w:rsidR="004B5273" w:rsidRPr="004B5273">
        <w:rPr>
          <w:bCs/>
          <w:color w:val="000000" w:themeColor="text1"/>
          <w:sz w:val="22"/>
          <w:szCs w:val="22"/>
        </w:rPr>
        <w:t>medicina (</w:t>
      </w:r>
      <w:r w:rsidR="00441C54" w:rsidRPr="004B5273">
        <w:rPr>
          <w:bCs/>
          <w:color w:val="000000" w:themeColor="text1"/>
          <w:sz w:val="22"/>
          <w:szCs w:val="22"/>
        </w:rPr>
        <w:t>endocrinologia</w:t>
      </w:r>
      <w:r w:rsidR="004B5273" w:rsidRPr="004B5273">
        <w:rPr>
          <w:bCs/>
          <w:color w:val="000000" w:themeColor="text1"/>
          <w:sz w:val="22"/>
          <w:szCs w:val="22"/>
        </w:rPr>
        <w:t xml:space="preserve"> clínica)</w:t>
      </w:r>
      <w:r w:rsidR="00441C54" w:rsidRPr="004B5273">
        <w:rPr>
          <w:bCs/>
          <w:color w:val="000000" w:themeColor="text1"/>
          <w:sz w:val="22"/>
          <w:szCs w:val="22"/>
        </w:rPr>
        <w:t>,</w:t>
      </w:r>
      <w:r w:rsidRPr="004B5273">
        <w:rPr>
          <w:bCs/>
          <w:color w:val="000000" w:themeColor="text1"/>
          <w:sz w:val="22"/>
          <w:szCs w:val="22"/>
        </w:rPr>
        <w:t xml:space="preserve"> pela Universidade</w:t>
      </w:r>
      <w:r w:rsidR="004B5273" w:rsidRPr="004B5273">
        <w:rPr>
          <w:bCs/>
          <w:color w:val="000000" w:themeColor="text1"/>
          <w:sz w:val="22"/>
          <w:szCs w:val="22"/>
        </w:rPr>
        <w:t xml:space="preserve"> Federal de são Paulo (2008)</w:t>
      </w:r>
      <w:r w:rsidRPr="004B5273">
        <w:rPr>
          <w:bCs/>
          <w:color w:val="000000" w:themeColor="text1"/>
          <w:sz w:val="22"/>
          <w:szCs w:val="22"/>
        </w:rPr>
        <w:t xml:space="preserve"> </w:t>
      </w:r>
    </w:p>
    <w:p w14:paraId="79BDFAA2" w14:textId="77777777" w:rsidR="009C674D" w:rsidRDefault="009C674D" w:rsidP="00EF787F">
      <w:pPr>
        <w:pStyle w:val="NormalWeb"/>
        <w:shd w:val="clear" w:color="auto" w:fill="FFFFFF"/>
        <w:spacing w:before="0" w:beforeAutospacing="0" w:after="0" w:afterAutospacing="0"/>
        <w:rPr>
          <w:rFonts w:ascii="TimesNewRomanPSMT" w:hAnsi="TimesNewRomanPSMT"/>
          <w:b/>
        </w:rPr>
      </w:pPr>
    </w:p>
    <w:p w14:paraId="5C5DD129" w14:textId="77777777" w:rsidR="009C674D" w:rsidRDefault="009C674D" w:rsidP="00EF787F">
      <w:pPr>
        <w:pStyle w:val="NormalWeb"/>
        <w:shd w:val="clear" w:color="auto" w:fill="FFFFFF"/>
        <w:spacing w:before="0" w:beforeAutospacing="0" w:after="0" w:afterAutospacing="0"/>
        <w:rPr>
          <w:rFonts w:ascii="TimesNewRomanPSMT" w:hAnsi="TimesNewRomanPSMT"/>
          <w:b/>
        </w:rPr>
      </w:pPr>
    </w:p>
    <w:p w14:paraId="3CBBA76D" w14:textId="3D98B5FD" w:rsidR="009C674D" w:rsidRDefault="009C674D" w:rsidP="00EF787F">
      <w:pPr>
        <w:pStyle w:val="NormalWeb"/>
        <w:shd w:val="clear" w:color="auto" w:fill="FFFFFF"/>
        <w:spacing w:before="0" w:beforeAutospacing="0" w:after="0" w:afterAutospacing="0"/>
      </w:pPr>
      <w:r w:rsidRPr="00EF787F">
        <w:rPr>
          <w:rFonts w:ascii="TimesNewRomanPSMT" w:hAnsi="TimesNewRomanPSMT"/>
          <w:b/>
        </w:rPr>
        <w:t>Laura Ward</w:t>
      </w:r>
      <w:r w:rsidR="00BC3558">
        <w:rPr>
          <w:rFonts w:ascii="TimesNewRomanPSMT" w:hAnsi="TimesNewRomanPSMT"/>
          <w:b/>
        </w:rPr>
        <w:t xml:space="preserve"> _______________________________________________________________</w:t>
      </w:r>
    </w:p>
    <w:p w14:paraId="02EB65E2" w14:textId="77777777" w:rsidR="004B5273" w:rsidRPr="004B5273" w:rsidRDefault="009C674D" w:rsidP="009C674D">
      <w:pPr>
        <w:pStyle w:val="NormalWeb"/>
        <w:shd w:val="clear" w:color="auto" w:fill="FFFFFF"/>
        <w:spacing w:before="0" w:beforeAutospacing="0" w:after="0" w:afterAutospacing="0"/>
        <w:rPr>
          <w:bCs/>
          <w:color w:val="000000" w:themeColor="text1"/>
          <w:sz w:val="22"/>
          <w:szCs w:val="22"/>
        </w:rPr>
      </w:pPr>
      <w:r w:rsidRPr="004B5273">
        <w:rPr>
          <w:bCs/>
          <w:color w:val="000000" w:themeColor="text1"/>
          <w:sz w:val="22"/>
          <w:szCs w:val="22"/>
        </w:rPr>
        <w:t xml:space="preserve">Doutora em </w:t>
      </w:r>
      <w:r w:rsidR="004B5273" w:rsidRPr="004B5273">
        <w:rPr>
          <w:bCs/>
          <w:color w:val="000000" w:themeColor="text1"/>
          <w:sz w:val="22"/>
          <w:szCs w:val="22"/>
        </w:rPr>
        <w:t>medicina (endocrinologia clínica)</w:t>
      </w:r>
      <w:r w:rsidRPr="004B5273">
        <w:rPr>
          <w:bCs/>
          <w:color w:val="000000" w:themeColor="text1"/>
          <w:sz w:val="22"/>
          <w:szCs w:val="22"/>
        </w:rPr>
        <w:t xml:space="preserve"> pela Universidade </w:t>
      </w:r>
      <w:r w:rsidR="004B5273" w:rsidRPr="004B5273">
        <w:rPr>
          <w:bCs/>
          <w:color w:val="000000" w:themeColor="text1"/>
          <w:sz w:val="22"/>
          <w:szCs w:val="22"/>
        </w:rPr>
        <w:t>Federal de São Paulo (1992)</w:t>
      </w:r>
    </w:p>
    <w:p w14:paraId="22EAA934" w14:textId="77777777" w:rsidR="009C674D" w:rsidRPr="00EF787F" w:rsidRDefault="009C674D" w:rsidP="00EF787F">
      <w:pPr>
        <w:pStyle w:val="NormalWeb"/>
        <w:shd w:val="clear" w:color="auto" w:fill="FFFFFF"/>
        <w:spacing w:before="0" w:beforeAutospacing="0" w:after="0" w:afterAutospacing="0"/>
      </w:pPr>
    </w:p>
    <w:p w14:paraId="0F2313EB" w14:textId="77777777" w:rsidR="009C674D" w:rsidRDefault="009C674D" w:rsidP="00EF787F">
      <w:pPr>
        <w:pStyle w:val="NormalWeb"/>
        <w:shd w:val="clear" w:color="auto" w:fill="FFFFFF"/>
        <w:spacing w:before="0" w:beforeAutospacing="0" w:after="0" w:afterAutospacing="0"/>
        <w:rPr>
          <w:rFonts w:ascii="TimesNewRomanPSMT" w:hAnsi="TimesNewRomanPSMT"/>
          <w:b/>
        </w:rPr>
      </w:pPr>
    </w:p>
    <w:p w14:paraId="3C17CDED" w14:textId="290E22B4" w:rsidR="00E33785" w:rsidRDefault="009C674D" w:rsidP="00EF787F">
      <w:pPr>
        <w:pStyle w:val="NormalWeb"/>
        <w:shd w:val="clear" w:color="auto" w:fill="FFFFFF"/>
        <w:spacing w:before="0" w:beforeAutospacing="0" w:after="0" w:afterAutospacing="0"/>
        <w:rPr>
          <w:rFonts w:ascii="TimesNewRomanPSMT" w:hAnsi="TimesNewRomanPSMT"/>
          <w:b/>
        </w:rPr>
      </w:pPr>
      <w:r w:rsidRPr="00EF787F">
        <w:rPr>
          <w:rFonts w:ascii="TimesNewRomanPSMT" w:hAnsi="TimesNewRomanPSMT"/>
          <w:b/>
        </w:rPr>
        <w:t xml:space="preserve">Fernando </w:t>
      </w:r>
      <w:proofErr w:type="spellStart"/>
      <w:r w:rsidRPr="00EF787F">
        <w:rPr>
          <w:rFonts w:ascii="TimesNewRomanPSMT" w:hAnsi="TimesNewRomanPSMT"/>
          <w:b/>
        </w:rPr>
        <w:t>Giufrida</w:t>
      </w:r>
      <w:proofErr w:type="spellEnd"/>
      <w:r w:rsidR="00BC3558">
        <w:rPr>
          <w:rFonts w:ascii="TimesNewRomanPSMT" w:hAnsi="TimesNewRomanPSMT"/>
          <w:b/>
        </w:rPr>
        <w:t xml:space="preserve"> _________________________________________________________</w:t>
      </w:r>
    </w:p>
    <w:p w14:paraId="46C2E45F" w14:textId="77777777" w:rsidR="004B5273" w:rsidRPr="00EF787F" w:rsidRDefault="004B5273" w:rsidP="004B5273">
      <w:pPr>
        <w:pStyle w:val="NormalWeb"/>
        <w:shd w:val="clear" w:color="auto" w:fill="FFFFFF"/>
        <w:spacing w:before="0" w:beforeAutospacing="0" w:after="0" w:afterAutospacing="0"/>
        <w:rPr>
          <w:rFonts w:ascii="TimesNewRomanPSMT" w:hAnsi="TimesNewRomanPSMT"/>
          <w:sz w:val="22"/>
          <w:szCs w:val="22"/>
        </w:rPr>
      </w:pPr>
      <w:r w:rsidRPr="004B5273">
        <w:rPr>
          <w:bCs/>
          <w:color w:val="000000" w:themeColor="text1"/>
          <w:sz w:val="22"/>
          <w:szCs w:val="22"/>
        </w:rPr>
        <w:t xml:space="preserve">Doutor em medicina (endocrinologia clínica), pela Universidade Federal de são Paulo (2008) </w:t>
      </w:r>
    </w:p>
    <w:p w14:paraId="162E0164" w14:textId="77777777" w:rsidR="009C674D" w:rsidRPr="00EF787F" w:rsidRDefault="009C674D" w:rsidP="00EF787F">
      <w:pPr>
        <w:pStyle w:val="NormalWeb"/>
        <w:shd w:val="clear" w:color="auto" w:fill="FFFFFF"/>
        <w:spacing w:before="0" w:beforeAutospacing="0" w:after="0" w:afterAutospacing="0"/>
        <w:rPr>
          <w:b/>
        </w:rPr>
      </w:pPr>
    </w:p>
    <w:p w14:paraId="5D4ECA38" w14:textId="77777777" w:rsidR="00E33785" w:rsidRDefault="00E33785" w:rsidP="00E33785">
      <w:pPr>
        <w:pStyle w:val="NormalWeb"/>
        <w:shd w:val="clear" w:color="auto" w:fill="FFFFFF"/>
        <w:jc w:val="center"/>
      </w:pPr>
    </w:p>
    <w:p w14:paraId="34F4B5FF" w14:textId="7C3A2E37" w:rsidR="00E33785" w:rsidRDefault="00E33785" w:rsidP="00E33785">
      <w:pPr>
        <w:pStyle w:val="NormalWeb"/>
        <w:shd w:val="clear" w:color="auto" w:fill="FFFFFF"/>
        <w:rPr>
          <w:rFonts w:ascii="TimesNewRomanPSMT" w:hAnsi="TimesNewRomanPSMT"/>
        </w:rPr>
      </w:pPr>
      <w:r>
        <w:rPr>
          <w:rFonts w:ascii="TimesNewRomanPSMT" w:hAnsi="TimesNewRomanPSMT"/>
        </w:rPr>
        <w:br/>
      </w:r>
    </w:p>
    <w:p w14:paraId="55E993DE" w14:textId="77777777" w:rsidR="00E33785" w:rsidRDefault="00E33785" w:rsidP="00E33785">
      <w:pPr>
        <w:pStyle w:val="NormalWeb"/>
        <w:shd w:val="clear" w:color="auto" w:fill="FFFFFF"/>
        <w:rPr>
          <w:rFonts w:ascii="TimesNewRomanPSMT" w:hAnsi="TimesNewRomanPSMT"/>
        </w:rPr>
      </w:pPr>
    </w:p>
    <w:p w14:paraId="10B60EEF" w14:textId="77777777" w:rsidR="00860A18" w:rsidRDefault="00860A18" w:rsidP="00A10597">
      <w:pPr>
        <w:spacing w:before="30" w:line="360" w:lineRule="auto"/>
        <w:jc w:val="both"/>
        <w:rPr>
          <w:b/>
        </w:rPr>
      </w:pPr>
    </w:p>
    <w:p w14:paraId="13E99942" w14:textId="77777777" w:rsidR="002A4F84" w:rsidRDefault="002A4F84" w:rsidP="00A10597">
      <w:pPr>
        <w:spacing w:before="30" w:line="360" w:lineRule="auto"/>
        <w:jc w:val="both"/>
        <w:rPr>
          <w:b/>
        </w:rPr>
      </w:pPr>
    </w:p>
    <w:p w14:paraId="0F376BFE" w14:textId="77777777" w:rsidR="002A4F84" w:rsidRDefault="002A4F84" w:rsidP="00A10597">
      <w:pPr>
        <w:spacing w:before="30" w:line="360" w:lineRule="auto"/>
        <w:jc w:val="both"/>
        <w:rPr>
          <w:b/>
        </w:rPr>
      </w:pPr>
    </w:p>
    <w:p w14:paraId="38648208" w14:textId="77777777" w:rsidR="002A4F84" w:rsidRDefault="002A4F84" w:rsidP="00A10597">
      <w:pPr>
        <w:spacing w:before="30" w:line="360" w:lineRule="auto"/>
        <w:jc w:val="both"/>
        <w:rPr>
          <w:b/>
        </w:rPr>
      </w:pPr>
    </w:p>
    <w:p w14:paraId="7F1DB17A" w14:textId="77777777" w:rsidR="002A4F84" w:rsidRDefault="002A4F84" w:rsidP="00A10597">
      <w:pPr>
        <w:spacing w:before="30" w:line="360" w:lineRule="auto"/>
        <w:jc w:val="both"/>
        <w:rPr>
          <w:b/>
        </w:rPr>
      </w:pPr>
    </w:p>
    <w:p w14:paraId="617ED1B3" w14:textId="77777777" w:rsidR="002A4F84" w:rsidRDefault="002A4F84" w:rsidP="00A10597">
      <w:pPr>
        <w:spacing w:before="30" w:line="360" w:lineRule="auto"/>
        <w:jc w:val="both"/>
        <w:rPr>
          <w:b/>
        </w:rPr>
      </w:pPr>
    </w:p>
    <w:p w14:paraId="77A58F54" w14:textId="77777777" w:rsidR="002A4F84" w:rsidRDefault="002A4F84" w:rsidP="00A10597">
      <w:pPr>
        <w:spacing w:before="30" w:line="360" w:lineRule="auto"/>
        <w:jc w:val="both"/>
        <w:rPr>
          <w:b/>
        </w:rPr>
      </w:pPr>
    </w:p>
    <w:p w14:paraId="185CF6CE" w14:textId="77777777" w:rsidR="002A4F84" w:rsidRDefault="002A4F84" w:rsidP="00A10597">
      <w:pPr>
        <w:spacing w:before="30" w:line="360" w:lineRule="auto"/>
        <w:jc w:val="both"/>
        <w:rPr>
          <w:b/>
        </w:rPr>
      </w:pPr>
    </w:p>
    <w:p w14:paraId="3D4B2936" w14:textId="77777777" w:rsidR="002A4F84" w:rsidRDefault="002A4F84" w:rsidP="00A10597">
      <w:pPr>
        <w:spacing w:before="30" w:line="360" w:lineRule="auto"/>
        <w:jc w:val="both"/>
        <w:rPr>
          <w:b/>
        </w:rPr>
      </w:pPr>
    </w:p>
    <w:p w14:paraId="3FFF0CBD" w14:textId="77777777" w:rsidR="002A4F84" w:rsidRDefault="002A4F84" w:rsidP="00A10597">
      <w:pPr>
        <w:spacing w:before="30" w:line="360" w:lineRule="auto"/>
        <w:jc w:val="both"/>
        <w:rPr>
          <w:b/>
        </w:rPr>
      </w:pPr>
    </w:p>
    <w:p w14:paraId="151E03A6" w14:textId="77777777" w:rsidR="002A4F84" w:rsidRDefault="002A4F84" w:rsidP="00A10597">
      <w:pPr>
        <w:spacing w:before="30" w:line="360" w:lineRule="auto"/>
        <w:jc w:val="both"/>
        <w:rPr>
          <w:b/>
        </w:rPr>
      </w:pPr>
    </w:p>
    <w:p w14:paraId="06BADD33" w14:textId="77777777" w:rsidR="002A4F84" w:rsidRDefault="002A4F84" w:rsidP="00A10597">
      <w:pPr>
        <w:spacing w:before="30" w:line="360" w:lineRule="auto"/>
        <w:jc w:val="both"/>
        <w:rPr>
          <w:b/>
        </w:rPr>
      </w:pPr>
    </w:p>
    <w:p w14:paraId="19CB793C" w14:textId="77777777" w:rsidR="002A4F84" w:rsidRDefault="002A4F84" w:rsidP="00A10597">
      <w:pPr>
        <w:spacing w:before="30" w:line="360" w:lineRule="auto"/>
        <w:jc w:val="both"/>
        <w:rPr>
          <w:b/>
        </w:rPr>
      </w:pPr>
    </w:p>
    <w:p w14:paraId="69B78436" w14:textId="77777777" w:rsidR="002A4F84" w:rsidRDefault="002A4F84" w:rsidP="00A10597">
      <w:pPr>
        <w:spacing w:before="30" w:line="360" w:lineRule="auto"/>
        <w:jc w:val="both"/>
        <w:rPr>
          <w:b/>
        </w:rPr>
      </w:pPr>
    </w:p>
    <w:p w14:paraId="0C31EFD2" w14:textId="77777777" w:rsidR="002A4F84" w:rsidRDefault="002A4F84" w:rsidP="00A10597">
      <w:pPr>
        <w:spacing w:before="30" w:line="360" w:lineRule="auto"/>
        <w:jc w:val="both"/>
        <w:rPr>
          <w:b/>
        </w:rPr>
      </w:pPr>
    </w:p>
    <w:p w14:paraId="486AEBF4" w14:textId="77777777" w:rsidR="002A4F84" w:rsidRDefault="002A4F84" w:rsidP="00A10597">
      <w:pPr>
        <w:spacing w:before="30" w:line="360" w:lineRule="auto"/>
        <w:jc w:val="both"/>
        <w:rPr>
          <w:b/>
        </w:rPr>
      </w:pPr>
    </w:p>
    <w:p w14:paraId="7520243F" w14:textId="77777777" w:rsidR="002A4F84" w:rsidRDefault="002A4F84" w:rsidP="00A10597">
      <w:pPr>
        <w:spacing w:before="30" w:line="360" w:lineRule="auto"/>
        <w:jc w:val="both"/>
        <w:rPr>
          <w:b/>
        </w:rPr>
      </w:pPr>
    </w:p>
    <w:p w14:paraId="50DC76FC" w14:textId="77777777" w:rsidR="002A4F84" w:rsidRDefault="002A4F84" w:rsidP="00A10597">
      <w:pPr>
        <w:spacing w:before="30" w:line="360" w:lineRule="auto"/>
        <w:jc w:val="both"/>
        <w:rPr>
          <w:b/>
        </w:rPr>
      </w:pPr>
    </w:p>
    <w:p w14:paraId="4BD501AF" w14:textId="77777777" w:rsidR="002A4F84" w:rsidRDefault="002A4F84" w:rsidP="00A10597">
      <w:pPr>
        <w:spacing w:before="30" w:line="360" w:lineRule="auto"/>
        <w:jc w:val="both"/>
        <w:rPr>
          <w:b/>
        </w:rPr>
      </w:pPr>
    </w:p>
    <w:p w14:paraId="5379BD62" w14:textId="77777777" w:rsidR="002A4F84" w:rsidRDefault="002A4F84" w:rsidP="00A10597">
      <w:pPr>
        <w:spacing w:before="30" w:line="360" w:lineRule="auto"/>
        <w:jc w:val="both"/>
        <w:rPr>
          <w:b/>
        </w:rPr>
      </w:pPr>
    </w:p>
    <w:p w14:paraId="77343A7F" w14:textId="77777777" w:rsidR="002A4F84" w:rsidRDefault="002A4F84" w:rsidP="00A10597">
      <w:pPr>
        <w:spacing w:before="30" w:line="360" w:lineRule="auto"/>
        <w:jc w:val="both"/>
        <w:rPr>
          <w:b/>
        </w:rPr>
      </w:pPr>
    </w:p>
    <w:p w14:paraId="244A5588" w14:textId="77777777" w:rsidR="002A4F84" w:rsidRDefault="002A4F84" w:rsidP="00A10597">
      <w:pPr>
        <w:spacing w:before="30" w:line="360" w:lineRule="auto"/>
        <w:jc w:val="both"/>
        <w:rPr>
          <w:b/>
        </w:rPr>
      </w:pPr>
    </w:p>
    <w:p w14:paraId="4F2AC530" w14:textId="77777777" w:rsidR="00556736" w:rsidRDefault="00556736" w:rsidP="00556736">
      <w:pPr>
        <w:spacing w:before="30" w:line="360" w:lineRule="auto"/>
        <w:jc w:val="right"/>
        <w:rPr>
          <w:bCs/>
        </w:rPr>
      </w:pPr>
    </w:p>
    <w:p w14:paraId="208E9269" w14:textId="77777777" w:rsidR="00556736" w:rsidRDefault="00556736" w:rsidP="00556736">
      <w:pPr>
        <w:spacing w:before="30" w:line="360" w:lineRule="auto"/>
        <w:jc w:val="right"/>
        <w:rPr>
          <w:bCs/>
        </w:rPr>
      </w:pPr>
    </w:p>
    <w:p w14:paraId="6D06B66C" w14:textId="77777777" w:rsidR="00556736" w:rsidRDefault="00556736" w:rsidP="00556736">
      <w:pPr>
        <w:spacing w:before="30" w:line="360" w:lineRule="auto"/>
        <w:jc w:val="right"/>
        <w:rPr>
          <w:bCs/>
        </w:rPr>
      </w:pPr>
    </w:p>
    <w:p w14:paraId="7052C077" w14:textId="77777777" w:rsidR="00EF787F" w:rsidRDefault="00EF787F" w:rsidP="00556736">
      <w:pPr>
        <w:spacing w:before="30" w:line="360" w:lineRule="auto"/>
        <w:jc w:val="right"/>
        <w:rPr>
          <w:bCs/>
          <w:sz w:val="28"/>
          <w:szCs w:val="28"/>
        </w:rPr>
      </w:pPr>
    </w:p>
    <w:p w14:paraId="31AE95E2" w14:textId="77777777" w:rsidR="00EF787F" w:rsidRDefault="00EF787F" w:rsidP="00556736">
      <w:pPr>
        <w:spacing w:before="30" w:line="360" w:lineRule="auto"/>
        <w:jc w:val="right"/>
        <w:rPr>
          <w:bCs/>
          <w:sz w:val="28"/>
          <w:szCs w:val="28"/>
        </w:rPr>
      </w:pPr>
    </w:p>
    <w:p w14:paraId="276D7434" w14:textId="77777777" w:rsidR="007217C4" w:rsidRDefault="007217C4" w:rsidP="00556736">
      <w:pPr>
        <w:spacing w:before="30" w:line="360" w:lineRule="auto"/>
        <w:jc w:val="right"/>
        <w:rPr>
          <w:bCs/>
          <w:sz w:val="28"/>
          <w:szCs w:val="28"/>
        </w:rPr>
      </w:pPr>
    </w:p>
    <w:p w14:paraId="2D0FBBFE" w14:textId="77777777" w:rsidR="007217C4" w:rsidRDefault="007217C4" w:rsidP="00556736">
      <w:pPr>
        <w:spacing w:before="30" w:line="360" w:lineRule="auto"/>
        <w:jc w:val="right"/>
        <w:rPr>
          <w:bCs/>
          <w:sz w:val="28"/>
          <w:szCs w:val="28"/>
        </w:rPr>
      </w:pPr>
    </w:p>
    <w:p w14:paraId="1589A66A" w14:textId="18937BF2" w:rsidR="00556736" w:rsidRPr="00EF787F" w:rsidRDefault="002A4F84" w:rsidP="00556736">
      <w:pPr>
        <w:spacing w:before="30" w:line="360" w:lineRule="auto"/>
        <w:jc w:val="right"/>
        <w:rPr>
          <w:bCs/>
          <w:sz w:val="28"/>
          <w:szCs w:val="28"/>
        </w:rPr>
      </w:pPr>
      <w:r w:rsidRPr="00EF787F">
        <w:rPr>
          <w:bCs/>
          <w:sz w:val="28"/>
          <w:szCs w:val="28"/>
        </w:rPr>
        <w:t xml:space="preserve">Para </w:t>
      </w:r>
      <w:r w:rsidR="00556736" w:rsidRPr="00EF787F">
        <w:rPr>
          <w:bCs/>
          <w:sz w:val="28"/>
          <w:szCs w:val="28"/>
        </w:rPr>
        <w:t>minha família.</w:t>
      </w:r>
    </w:p>
    <w:p w14:paraId="09EE2547" w14:textId="3DBFEEC6" w:rsidR="002A4F84" w:rsidRDefault="002A4F84" w:rsidP="00A10597">
      <w:pPr>
        <w:spacing w:before="30" w:line="360" w:lineRule="auto"/>
        <w:jc w:val="both"/>
        <w:rPr>
          <w:b/>
        </w:rPr>
      </w:pPr>
    </w:p>
    <w:p w14:paraId="0737E8BE" w14:textId="06E86717" w:rsidR="004B5273" w:rsidRDefault="004B5273" w:rsidP="00A10597">
      <w:pPr>
        <w:spacing w:before="30" w:line="360" w:lineRule="auto"/>
        <w:jc w:val="both"/>
        <w:rPr>
          <w:b/>
        </w:rPr>
      </w:pPr>
    </w:p>
    <w:p w14:paraId="1CC79B53" w14:textId="309E7AF2" w:rsidR="004B5273" w:rsidRDefault="004B5273" w:rsidP="00A10597">
      <w:pPr>
        <w:spacing w:before="30" w:line="360" w:lineRule="auto"/>
        <w:jc w:val="both"/>
        <w:rPr>
          <w:b/>
        </w:rPr>
      </w:pPr>
    </w:p>
    <w:p w14:paraId="4ADF6DCE" w14:textId="77777777" w:rsidR="004B5273" w:rsidRDefault="004B5273" w:rsidP="00A10597">
      <w:pPr>
        <w:spacing w:before="30" w:line="360" w:lineRule="auto"/>
        <w:jc w:val="both"/>
        <w:rPr>
          <w:b/>
        </w:rPr>
      </w:pPr>
    </w:p>
    <w:p w14:paraId="210179AA" w14:textId="77777777" w:rsidR="002A4F84" w:rsidRDefault="002A4F84" w:rsidP="00A10597">
      <w:pPr>
        <w:spacing w:before="30" w:line="360" w:lineRule="auto"/>
        <w:jc w:val="both"/>
        <w:rPr>
          <w:b/>
        </w:rPr>
      </w:pPr>
    </w:p>
    <w:p w14:paraId="49D3E9BE" w14:textId="2D5DD198" w:rsidR="002A4F84" w:rsidRDefault="009C674D" w:rsidP="00556736">
      <w:pPr>
        <w:spacing w:before="30" w:line="360" w:lineRule="auto"/>
        <w:jc w:val="center"/>
        <w:rPr>
          <w:b/>
        </w:rPr>
      </w:pPr>
      <w:r>
        <w:rPr>
          <w:b/>
        </w:rPr>
        <w:lastRenderedPageBreak/>
        <w:t>AGRADECIMENTOS</w:t>
      </w:r>
    </w:p>
    <w:p w14:paraId="73FEFD16" w14:textId="77777777" w:rsidR="00C56139" w:rsidRDefault="00C56139" w:rsidP="00556736">
      <w:pPr>
        <w:spacing w:before="30" w:line="360" w:lineRule="auto"/>
        <w:jc w:val="both"/>
        <w:rPr>
          <w:b/>
        </w:rPr>
      </w:pPr>
    </w:p>
    <w:p w14:paraId="2CF27E6D" w14:textId="77777777" w:rsidR="00EF787F" w:rsidRDefault="00EF787F" w:rsidP="00556736">
      <w:pPr>
        <w:spacing w:before="30" w:line="360" w:lineRule="auto"/>
        <w:jc w:val="both"/>
        <w:rPr>
          <w:b/>
        </w:rPr>
      </w:pPr>
    </w:p>
    <w:p w14:paraId="79835D5D" w14:textId="0C9ECE69" w:rsidR="00556736" w:rsidRDefault="009C674D" w:rsidP="00EF787F">
      <w:pPr>
        <w:spacing w:before="30" w:line="360" w:lineRule="auto"/>
        <w:ind w:firstLine="708"/>
        <w:jc w:val="both"/>
        <w:rPr>
          <w:bCs/>
        </w:rPr>
      </w:pPr>
      <w:r>
        <w:rPr>
          <w:bCs/>
        </w:rPr>
        <w:t>A</w:t>
      </w:r>
      <w:r w:rsidR="00556736">
        <w:rPr>
          <w:bCs/>
        </w:rPr>
        <w:t>o meu orientador</w:t>
      </w:r>
      <w:r>
        <w:rPr>
          <w:bCs/>
        </w:rPr>
        <w:t>,</w:t>
      </w:r>
      <w:r w:rsidR="00556736">
        <w:rPr>
          <w:bCs/>
        </w:rPr>
        <w:t xml:space="preserve"> Dr</w:t>
      </w:r>
      <w:r w:rsidR="006560FA">
        <w:rPr>
          <w:bCs/>
        </w:rPr>
        <w:t>.</w:t>
      </w:r>
      <w:r w:rsidR="00556736">
        <w:rPr>
          <w:bCs/>
        </w:rPr>
        <w:t xml:space="preserve"> Helton Ramos</w:t>
      </w:r>
      <w:r>
        <w:rPr>
          <w:bCs/>
        </w:rPr>
        <w:t>,</w:t>
      </w:r>
      <w:r w:rsidR="00556736">
        <w:rPr>
          <w:bCs/>
        </w:rPr>
        <w:t xml:space="preserve"> por ser a força propulsora necessária nes</w:t>
      </w:r>
      <w:r>
        <w:rPr>
          <w:bCs/>
        </w:rPr>
        <w:t>t</w:t>
      </w:r>
      <w:r w:rsidR="00556736">
        <w:rPr>
          <w:bCs/>
        </w:rPr>
        <w:t xml:space="preserve">a jornada. Agradeço pelos inúmeros ensinamentos, paciência e dedicação durante estes anos. </w:t>
      </w:r>
      <w:r>
        <w:rPr>
          <w:bCs/>
        </w:rPr>
        <w:t>Ele i</w:t>
      </w:r>
      <w:r w:rsidR="009E678F">
        <w:rPr>
          <w:bCs/>
        </w:rPr>
        <w:t>mprime a marca da excelência e ética em tudo o que faz. Exemplifica com a sua vida que tudo podemos. Isso inspira e provoca grandes pequenas revoluções internas.</w:t>
      </w:r>
    </w:p>
    <w:p w14:paraId="11A16E3D" w14:textId="43614E50" w:rsidR="00832762" w:rsidRDefault="00692109" w:rsidP="00EF787F">
      <w:pPr>
        <w:spacing w:before="30" w:line="360" w:lineRule="auto"/>
        <w:ind w:firstLine="708"/>
        <w:jc w:val="both"/>
        <w:rPr>
          <w:bCs/>
        </w:rPr>
      </w:pPr>
      <w:r>
        <w:rPr>
          <w:bCs/>
        </w:rPr>
        <w:t xml:space="preserve">Ao </w:t>
      </w:r>
      <w:r w:rsidR="00832762">
        <w:rPr>
          <w:bCs/>
        </w:rPr>
        <w:t>Dr</w:t>
      </w:r>
      <w:r w:rsidR="006560FA">
        <w:rPr>
          <w:bCs/>
        </w:rPr>
        <w:t>.</w:t>
      </w:r>
      <w:r w:rsidR="00832762">
        <w:rPr>
          <w:bCs/>
        </w:rPr>
        <w:t xml:space="preserve"> </w:t>
      </w:r>
      <w:proofErr w:type="spellStart"/>
      <w:r w:rsidR="00832762">
        <w:rPr>
          <w:bCs/>
        </w:rPr>
        <w:t>Fabyan</w:t>
      </w:r>
      <w:proofErr w:type="spellEnd"/>
      <w:r w:rsidR="009C674D">
        <w:rPr>
          <w:bCs/>
        </w:rPr>
        <w:t>,</w:t>
      </w:r>
      <w:r w:rsidR="00832762">
        <w:rPr>
          <w:bCs/>
        </w:rPr>
        <w:t xml:space="preserve"> pela gentileza e </w:t>
      </w:r>
      <w:r w:rsidR="009C674D">
        <w:rPr>
          <w:bCs/>
        </w:rPr>
        <w:t xml:space="preserve">pelo </w:t>
      </w:r>
      <w:r w:rsidR="00832762">
        <w:rPr>
          <w:bCs/>
        </w:rPr>
        <w:t xml:space="preserve">conhecimento compartilhado. Sua ajuda foi grandiosa e seu exemplo arrasta! </w:t>
      </w:r>
      <w:r w:rsidR="009C674D">
        <w:rPr>
          <w:bCs/>
        </w:rPr>
        <w:t>Da mesma forma, a</w:t>
      </w:r>
      <w:r>
        <w:rPr>
          <w:bCs/>
        </w:rPr>
        <w:t xml:space="preserve">gradeço à Ana Clara e Fábio pela disponibilidade e ensinamentos na estatística. </w:t>
      </w:r>
    </w:p>
    <w:p w14:paraId="226870E6" w14:textId="07062770" w:rsidR="009E678F" w:rsidRDefault="00692109" w:rsidP="00EF787F">
      <w:pPr>
        <w:spacing w:before="30" w:line="360" w:lineRule="auto"/>
        <w:ind w:firstLine="708"/>
        <w:jc w:val="both"/>
        <w:rPr>
          <w:bCs/>
        </w:rPr>
      </w:pPr>
      <w:r>
        <w:rPr>
          <w:bCs/>
        </w:rPr>
        <w:t xml:space="preserve">Aos </w:t>
      </w:r>
      <w:r w:rsidR="009E678F">
        <w:rPr>
          <w:bCs/>
        </w:rPr>
        <w:t>meus queridos</w:t>
      </w:r>
      <w:r>
        <w:rPr>
          <w:bCs/>
        </w:rPr>
        <w:t xml:space="preserve">, divertidos e generosos </w:t>
      </w:r>
      <w:r w:rsidR="009E678F">
        <w:rPr>
          <w:bCs/>
        </w:rPr>
        <w:t xml:space="preserve">colegas de mestrado, </w:t>
      </w:r>
      <w:proofErr w:type="spellStart"/>
      <w:r w:rsidR="009E678F">
        <w:rPr>
          <w:bCs/>
        </w:rPr>
        <w:t>Jocyel</w:t>
      </w:r>
      <w:proofErr w:type="spellEnd"/>
      <w:r w:rsidR="009E678F">
        <w:rPr>
          <w:bCs/>
        </w:rPr>
        <w:t xml:space="preserve"> e </w:t>
      </w:r>
      <w:r w:rsidR="00832762">
        <w:rPr>
          <w:bCs/>
        </w:rPr>
        <w:t xml:space="preserve">Ana </w:t>
      </w:r>
      <w:r w:rsidR="009E678F">
        <w:rPr>
          <w:bCs/>
        </w:rPr>
        <w:t xml:space="preserve">Clara. A presença de vocês </w:t>
      </w:r>
      <w:r w:rsidR="00832762">
        <w:rPr>
          <w:bCs/>
        </w:rPr>
        <w:t xml:space="preserve">garantiu </w:t>
      </w:r>
      <w:r w:rsidR="009E678F">
        <w:rPr>
          <w:bCs/>
        </w:rPr>
        <w:t xml:space="preserve">risadas e </w:t>
      </w:r>
      <w:r w:rsidR="00832762">
        <w:rPr>
          <w:bCs/>
        </w:rPr>
        <w:t>alento</w:t>
      </w:r>
      <w:r w:rsidR="009C674D">
        <w:rPr>
          <w:bCs/>
        </w:rPr>
        <w:t>,</w:t>
      </w:r>
      <w:r w:rsidR="00832762">
        <w:rPr>
          <w:bCs/>
        </w:rPr>
        <w:t xml:space="preserve"> tornando a caminhada até aqui mais leve. </w:t>
      </w:r>
      <w:r w:rsidR="000C6C63">
        <w:rPr>
          <w:bCs/>
        </w:rPr>
        <w:t>Ao amigo Carlos, d</w:t>
      </w:r>
      <w:r w:rsidR="009C674D">
        <w:rPr>
          <w:bCs/>
        </w:rPr>
        <w:t>o</w:t>
      </w:r>
      <w:r w:rsidR="000C6C63">
        <w:rPr>
          <w:bCs/>
        </w:rPr>
        <w:t xml:space="preserve"> PIOS, pela gentileza e disposição em nos ajudar sempre!</w:t>
      </w:r>
    </w:p>
    <w:p w14:paraId="7A192739" w14:textId="77777777" w:rsidR="00EF787F" w:rsidRDefault="002452F8" w:rsidP="00EF787F">
      <w:pPr>
        <w:spacing w:before="30" w:line="360" w:lineRule="auto"/>
        <w:ind w:firstLine="708"/>
        <w:jc w:val="both"/>
        <w:rPr>
          <w:bCs/>
        </w:rPr>
      </w:pPr>
      <w:r>
        <w:rPr>
          <w:bCs/>
        </w:rPr>
        <w:t xml:space="preserve">Ao meu marido, Junior, pelo amor, paciência e suporte neste período. Você me encoraja e tira meus pés do chão. </w:t>
      </w:r>
    </w:p>
    <w:p w14:paraId="567FC972" w14:textId="3202B550" w:rsidR="002452F8" w:rsidRDefault="002452F8" w:rsidP="00EF787F">
      <w:pPr>
        <w:spacing w:before="30" w:line="360" w:lineRule="auto"/>
        <w:ind w:firstLine="708"/>
        <w:jc w:val="both"/>
        <w:rPr>
          <w:bCs/>
        </w:rPr>
      </w:pPr>
      <w:r>
        <w:rPr>
          <w:bCs/>
        </w:rPr>
        <w:t xml:space="preserve">À </w:t>
      </w:r>
      <w:r w:rsidR="009C674D">
        <w:rPr>
          <w:bCs/>
        </w:rPr>
        <w:t xml:space="preserve">minha filha </w:t>
      </w:r>
      <w:r>
        <w:rPr>
          <w:bCs/>
        </w:rPr>
        <w:t>Bia</w:t>
      </w:r>
      <w:r w:rsidR="00686410">
        <w:rPr>
          <w:bCs/>
        </w:rPr>
        <w:t>,</w:t>
      </w:r>
      <w:r>
        <w:rPr>
          <w:bCs/>
        </w:rPr>
        <w:t xml:space="preserve"> por ser doce e tão compreensiva com minhas ausências. </w:t>
      </w:r>
    </w:p>
    <w:p w14:paraId="70EFBAAD" w14:textId="21318CA3" w:rsidR="00692109" w:rsidRDefault="00692109" w:rsidP="00EF787F">
      <w:pPr>
        <w:spacing w:before="30" w:line="360" w:lineRule="auto"/>
        <w:ind w:firstLine="708"/>
        <w:jc w:val="both"/>
        <w:rPr>
          <w:bCs/>
        </w:rPr>
      </w:pPr>
      <w:r>
        <w:rPr>
          <w:bCs/>
        </w:rPr>
        <w:t xml:space="preserve">À </w:t>
      </w:r>
      <w:r w:rsidR="00832762">
        <w:rPr>
          <w:bCs/>
        </w:rPr>
        <w:t xml:space="preserve">minha mãe e irmãos, </w:t>
      </w:r>
      <w:r w:rsidR="00AF115E">
        <w:rPr>
          <w:bCs/>
        </w:rPr>
        <w:t xml:space="preserve">Angelina, </w:t>
      </w:r>
      <w:r w:rsidR="00832762">
        <w:rPr>
          <w:bCs/>
        </w:rPr>
        <w:t>Laura, Lucas e Clara</w:t>
      </w:r>
      <w:r w:rsidR="009C674D">
        <w:rPr>
          <w:bCs/>
        </w:rPr>
        <w:t>,</w:t>
      </w:r>
      <w:r w:rsidR="00832762">
        <w:rPr>
          <w:bCs/>
        </w:rPr>
        <w:t xml:space="preserve"> por estarem ao meu lado em absolutamente todos os momentos da minha vida. Aos meus sobrinhos, Marina e Jan, por proporcionarem a minha vida mais sorrisos.  </w:t>
      </w:r>
    </w:p>
    <w:p w14:paraId="2DDD8831" w14:textId="12239509" w:rsidR="00692109" w:rsidRDefault="00692109" w:rsidP="00EF787F">
      <w:pPr>
        <w:spacing w:before="30" w:line="360" w:lineRule="auto"/>
        <w:ind w:firstLine="708"/>
        <w:jc w:val="both"/>
        <w:rPr>
          <w:bCs/>
        </w:rPr>
      </w:pPr>
      <w:r>
        <w:rPr>
          <w:bCs/>
        </w:rPr>
        <w:t xml:space="preserve">Ao </w:t>
      </w:r>
      <w:r w:rsidR="00AF115E">
        <w:rPr>
          <w:bCs/>
        </w:rPr>
        <w:t xml:space="preserve">brilho dos olhos do </w:t>
      </w:r>
      <w:r>
        <w:rPr>
          <w:bCs/>
        </w:rPr>
        <w:t xml:space="preserve">meu </w:t>
      </w:r>
      <w:r w:rsidR="00AF115E">
        <w:rPr>
          <w:bCs/>
        </w:rPr>
        <w:t xml:space="preserve">saudoso pai </w:t>
      </w:r>
      <w:r w:rsidR="009C674D">
        <w:rPr>
          <w:bCs/>
        </w:rPr>
        <w:t xml:space="preserve">que, </w:t>
      </w:r>
      <w:r w:rsidR="00AF115E">
        <w:rPr>
          <w:bCs/>
        </w:rPr>
        <w:t>para mim</w:t>
      </w:r>
      <w:r w:rsidR="009C674D">
        <w:rPr>
          <w:bCs/>
        </w:rPr>
        <w:t>,</w:t>
      </w:r>
      <w:r w:rsidR="00AF115E">
        <w:rPr>
          <w:bCs/>
        </w:rPr>
        <w:t xml:space="preserve"> permanece tão vivo. </w:t>
      </w:r>
    </w:p>
    <w:p w14:paraId="32775E64" w14:textId="77777777" w:rsidR="009E678F" w:rsidRPr="00556736" w:rsidRDefault="009E678F" w:rsidP="00556736">
      <w:pPr>
        <w:spacing w:before="30" w:line="360" w:lineRule="auto"/>
        <w:jc w:val="both"/>
        <w:rPr>
          <w:bCs/>
        </w:rPr>
      </w:pPr>
    </w:p>
    <w:p w14:paraId="5A9EA3A8" w14:textId="77777777" w:rsidR="002A4F84" w:rsidRDefault="002A4F84" w:rsidP="00A10597">
      <w:pPr>
        <w:spacing w:before="30" w:line="360" w:lineRule="auto"/>
        <w:jc w:val="both"/>
        <w:rPr>
          <w:b/>
        </w:rPr>
      </w:pPr>
    </w:p>
    <w:p w14:paraId="01AFE431" w14:textId="35914053" w:rsidR="002A4F84" w:rsidRDefault="002A4F84" w:rsidP="00A10597">
      <w:pPr>
        <w:spacing w:before="30" w:line="360" w:lineRule="auto"/>
        <w:jc w:val="both"/>
        <w:rPr>
          <w:b/>
        </w:rPr>
      </w:pPr>
    </w:p>
    <w:p w14:paraId="205D89FE" w14:textId="3F83A6F2" w:rsidR="00556736" w:rsidRDefault="00556736" w:rsidP="00A10597">
      <w:pPr>
        <w:spacing w:before="30" w:line="360" w:lineRule="auto"/>
        <w:jc w:val="both"/>
        <w:rPr>
          <w:b/>
        </w:rPr>
      </w:pPr>
    </w:p>
    <w:p w14:paraId="38A86B4E" w14:textId="30295D90" w:rsidR="00556736" w:rsidRDefault="00556736" w:rsidP="00A10597">
      <w:pPr>
        <w:spacing w:before="30" w:line="360" w:lineRule="auto"/>
        <w:jc w:val="both"/>
        <w:rPr>
          <w:b/>
        </w:rPr>
      </w:pPr>
    </w:p>
    <w:p w14:paraId="3DF72911" w14:textId="4DEF3D27" w:rsidR="00556736" w:rsidRDefault="00556736" w:rsidP="00A10597">
      <w:pPr>
        <w:spacing w:before="30" w:line="360" w:lineRule="auto"/>
        <w:jc w:val="both"/>
        <w:rPr>
          <w:b/>
        </w:rPr>
      </w:pPr>
    </w:p>
    <w:p w14:paraId="6E09E20C" w14:textId="0C31E13F" w:rsidR="00556736" w:rsidRDefault="00556736" w:rsidP="00A10597">
      <w:pPr>
        <w:spacing w:before="30" w:line="360" w:lineRule="auto"/>
        <w:jc w:val="both"/>
        <w:rPr>
          <w:b/>
        </w:rPr>
      </w:pPr>
    </w:p>
    <w:p w14:paraId="709ADD2A" w14:textId="002385B4" w:rsidR="00556736" w:rsidRDefault="00556736" w:rsidP="00A10597">
      <w:pPr>
        <w:spacing w:before="30" w:line="360" w:lineRule="auto"/>
        <w:jc w:val="both"/>
        <w:rPr>
          <w:b/>
        </w:rPr>
      </w:pPr>
    </w:p>
    <w:p w14:paraId="6DCCFE2A" w14:textId="6C3F7ECD" w:rsidR="00556736" w:rsidRDefault="00556736" w:rsidP="00A10597">
      <w:pPr>
        <w:spacing w:before="30" w:line="360" w:lineRule="auto"/>
        <w:jc w:val="both"/>
        <w:rPr>
          <w:b/>
        </w:rPr>
      </w:pPr>
    </w:p>
    <w:p w14:paraId="5AF07C20" w14:textId="56D6C8FE" w:rsidR="00556736" w:rsidRDefault="00556736" w:rsidP="00A10597">
      <w:pPr>
        <w:spacing w:before="30" w:line="360" w:lineRule="auto"/>
        <w:jc w:val="both"/>
        <w:rPr>
          <w:b/>
        </w:rPr>
      </w:pPr>
    </w:p>
    <w:p w14:paraId="08E98B4C" w14:textId="02919FFB" w:rsidR="00556736" w:rsidRDefault="00556736" w:rsidP="00A10597">
      <w:pPr>
        <w:spacing w:before="30" w:line="360" w:lineRule="auto"/>
        <w:jc w:val="both"/>
        <w:rPr>
          <w:b/>
        </w:rPr>
      </w:pPr>
    </w:p>
    <w:p w14:paraId="151ECFC8" w14:textId="5A15F6A9" w:rsidR="00556736" w:rsidRDefault="00556736" w:rsidP="00A10597">
      <w:pPr>
        <w:spacing w:before="30" w:line="360" w:lineRule="auto"/>
        <w:jc w:val="both"/>
        <w:rPr>
          <w:b/>
        </w:rPr>
      </w:pPr>
    </w:p>
    <w:p w14:paraId="17A4846B" w14:textId="5B936B24" w:rsidR="00556736" w:rsidRPr="00686410" w:rsidRDefault="009C674D" w:rsidP="00686410">
      <w:pPr>
        <w:pStyle w:val="NormalWeb"/>
        <w:shd w:val="clear" w:color="auto" w:fill="FFFFFF"/>
        <w:spacing w:before="0" w:beforeAutospacing="0" w:after="0" w:afterAutospacing="0"/>
        <w:jc w:val="both"/>
      </w:pPr>
      <w:r w:rsidRPr="00686410">
        <w:rPr>
          <w:rFonts w:ascii="TimesNewRomanPS" w:hAnsi="TimesNewRomanPS"/>
          <w:bCs/>
        </w:rPr>
        <w:lastRenderedPageBreak/>
        <w:t>AIRES</w:t>
      </w:r>
      <w:r>
        <w:rPr>
          <w:rFonts w:ascii="TimesNewRomanPS" w:hAnsi="TimesNewRomanPS"/>
          <w:bCs/>
        </w:rPr>
        <w:t xml:space="preserve">, </w:t>
      </w:r>
      <w:r w:rsidRPr="009C674D">
        <w:rPr>
          <w:rFonts w:ascii="TimesNewRomanPS" w:hAnsi="TimesNewRomanPS"/>
          <w:bCs/>
        </w:rPr>
        <w:t>Elisa</w:t>
      </w:r>
      <w:r>
        <w:rPr>
          <w:rFonts w:ascii="TimesNewRomanPS" w:hAnsi="TimesNewRomanPS"/>
          <w:bCs/>
        </w:rPr>
        <w:t xml:space="preserve">. </w:t>
      </w:r>
      <w:r w:rsidRPr="00686410">
        <w:rPr>
          <w:rFonts w:ascii="TimesNewRomanPS" w:hAnsi="TimesNewRomanPS"/>
          <w:b/>
          <w:bCs/>
        </w:rPr>
        <w:t>Avalia</w:t>
      </w:r>
      <w:r w:rsidRPr="00686410">
        <w:rPr>
          <w:rFonts w:ascii="TimesNewRomanPS" w:hAnsi="TimesNewRomanPS" w:hint="eastAsia"/>
          <w:b/>
          <w:bCs/>
        </w:rPr>
        <w:t>çã</w:t>
      </w:r>
      <w:r w:rsidRPr="00686410">
        <w:rPr>
          <w:rFonts w:ascii="TimesNewRomanPS" w:hAnsi="TimesNewRomanPS"/>
          <w:b/>
          <w:bCs/>
        </w:rPr>
        <w:t xml:space="preserve">o de oito polimorfismos em genes candidatos relacionados </w:t>
      </w:r>
      <w:r w:rsidR="00934D77">
        <w:rPr>
          <w:rFonts w:ascii="TimesNewRomanPS" w:hAnsi="TimesNewRomanPS"/>
          <w:b/>
          <w:bCs/>
        </w:rPr>
        <w:t>à</w:t>
      </w:r>
      <w:r w:rsidRPr="00686410">
        <w:rPr>
          <w:rFonts w:ascii="TimesNewRomanPS" w:hAnsi="TimesNewRomanPS"/>
          <w:b/>
          <w:bCs/>
        </w:rPr>
        <w:t xml:space="preserve"> fun</w:t>
      </w:r>
      <w:r w:rsidRPr="00686410">
        <w:rPr>
          <w:rFonts w:ascii="TimesNewRomanPS" w:hAnsi="TimesNewRomanPS" w:hint="eastAsia"/>
          <w:b/>
          <w:bCs/>
        </w:rPr>
        <w:t>çã</w:t>
      </w:r>
      <w:r w:rsidRPr="00686410">
        <w:rPr>
          <w:rFonts w:ascii="TimesNewRomanPS" w:hAnsi="TimesNewRomanPS"/>
          <w:b/>
          <w:bCs/>
        </w:rPr>
        <w:t>o tireoidiana no idoso</w:t>
      </w:r>
      <w:r>
        <w:rPr>
          <w:rFonts w:ascii="TimesNewRomanPS" w:hAnsi="TimesNewRomanPS"/>
          <w:b/>
          <w:bCs/>
        </w:rPr>
        <w:t xml:space="preserve">. </w:t>
      </w:r>
      <w:r>
        <w:rPr>
          <w:rFonts w:ascii="TimesNewRomanPS" w:hAnsi="TimesNewRomanPS"/>
          <w:bCs/>
        </w:rPr>
        <w:t>202</w:t>
      </w:r>
      <w:r w:rsidR="00360BDF">
        <w:rPr>
          <w:rFonts w:ascii="TimesNewRomanPS" w:hAnsi="TimesNewRomanPS"/>
          <w:bCs/>
        </w:rPr>
        <w:t>1</w:t>
      </w:r>
      <w:r>
        <w:rPr>
          <w:rFonts w:ascii="TimesNewRomanPS" w:hAnsi="TimesNewRomanPS"/>
          <w:bCs/>
        </w:rPr>
        <w:t>. Orientador: Helton Estrela Ramos</w:t>
      </w:r>
      <w:r w:rsidR="003E02A6">
        <w:rPr>
          <w:rFonts w:ascii="TimesNewRomanPS" w:hAnsi="TimesNewRomanPS"/>
          <w:bCs/>
        </w:rPr>
        <w:t>.</w:t>
      </w:r>
      <w:r>
        <w:rPr>
          <w:rFonts w:ascii="TimesNewRomanPS" w:hAnsi="TimesNewRomanPS"/>
          <w:bCs/>
        </w:rPr>
        <w:t xml:space="preserve"> </w:t>
      </w:r>
      <w:r w:rsidR="005A5C70">
        <w:rPr>
          <w:rFonts w:ascii="TimesNewRomanPS" w:hAnsi="TimesNewRomanPS"/>
          <w:bCs/>
        </w:rPr>
        <w:t>80</w:t>
      </w:r>
      <w:r w:rsidR="00405717">
        <w:rPr>
          <w:rFonts w:ascii="TimesNewRomanPS" w:hAnsi="TimesNewRomanPS"/>
          <w:bCs/>
        </w:rPr>
        <w:t xml:space="preserve"> f. </w:t>
      </w:r>
      <w:r w:rsidR="00921981">
        <w:rPr>
          <w:rFonts w:ascii="TimesNewRomanPS" w:hAnsi="TimesNewRomanPS"/>
          <w:bCs/>
        </w:rPr>
        <w:t>il. Dissertação (Mestrado em Processos Interativos dos Órgãos e Sistemas) – Instituto de Ciências da Saúde, Universidade Federal da Bahia, Salvador</w:t>
      </w:r>
      <w:r w:rsidR="00B76773">
        <w:rPr>
          <w:rFonts w:ascii="TimesNewRomanPS" w:hAnsi="TimesNewRomanPS"/>
          <w:bCs/>
        </w:rPr>
        <w:t>.</w:t>
      </w:r>
    </w:p>
    <w:p w14:paraId="27EFB89D" w14:textId="77777777" w:rsidR="009C674D" w:rsidRDefault="009C674D" w:rsidP="00A10597">
      <w:pPr>
        <w:spacing w:before="30" w:line="360" w:lineRule="auto"/>
        <w:jc w:val="both"/>
        <w:rPr>
          <w:b/>
        </w:rPr>
      </w:pPr>
    </w:p>
    <w:p w14:paraId="1A375E4D" w14:textId="12F95148" w:rsidR="004A37B4" w:rsidRDefault="004A37B4" w:rsidP="00686410">
      <w:pPr>
        <w:spacing w:before="30" w:line="360" w:lineRule="auto"/>
        <w:jc w:val="center"/>
        <w:rPr>
          <w:b/>
        </w:rPr>
      </w:pPr>
      <w:r>
        <w:rPr>
          <w:b/>
        </w:rPr>
        <w:t>RESUMO</w:t>
      </w:r>
    </w:p>
    <w:p w14:paraId="66DD8097" w14:textId="5A9B03C2" w:rsidR="00DE7127" w:rsidRDefault="00DE7127" w:rsidP="00A10597">
      <w:pPr>
        <w:spacing w:before="30" w:line="360" w:lineRule="auto"/>
        <w:jc w:val="both"/>
        <w:rPr>
          <w:b/>
        </w:rPr>
      </w:pPr>
    </w:p>
    <w:p w14:paraId="0ACB501A" w14:textId="1BC7C165" w:rsidR="00C060E7" w:rsidRPr="007A4CB8" w:rsidRDefault="00284B7F" w:rsidP="00921981">
      <w:pPr>
        <w:shd w:val="clear" w:color="auto" w:fill="FFFFFF"/>
        <w:jc w:val="both"/>
      </w:pPr>
      <w:r w:rsidRPr="00AB2C18">
        <w:rPr>
          <w:b/>
        </w:rPr>
        <w:t>Introdução:</w:t>
      </w:r>
      <w:r w:rsidR="002553DC">
        <w:rPr>
          <w:b/>
        </w:rPr>
        <w:t xml:space="preserve"> </w:t>
      </w:r>
      <w:r w:rsidR="004F1053">
        <w:rPr>
          <w:bCs/>
        </w:rPr>
        <w:t xml:space="preserve">Estudos </w:t>
      </w:r>
      <w:r w:rsidR="00C417EE">
        <w:rPr>
          <w:bCs/>
        </w:rPr>
        <w:t xml:space="preserve">populacionais transversais e longitudinais </w:t>
      </w:r>
      <w:r w:rsidR="004F1053">
        <w:rPr>
          <w:bCs/>
        </w:rPr>
        <w:t xml:space="preserve">apontam para níveis de TSH mais elevados com </w:t>
      </w:r>
      <w:r w:rsidR="00921981">
        <w:rPr>
          <w:bCs/>
        </w:rPr>
        <w:t xml:space="preserve">o </w:t>
      </w:r>
      <w:r w:rsidR="004F1053">
        <w:rPr>
          <w:bCs/>
        </w:rPr>
        <w:t>envelhecimento.</w:t>
      </w:r>
      <w:r w:rsidR="006B64CB">
        <w:rPr>
          <w:bCs/>
        </w:rPr>
        <w:t xml:space="preserve"> </w:t>
      </w:r>
      <w:r w:rsidR="00A10597">
        <w:rPr>
          <w:bCs/>
        </w:rPr>
        <w:t xml:space="preserve">Além disso, em faixas etárias mais avançadas </w:t>
      </w:r>
      <w:r w:rsidR="006B64CB">
        <w:rPr>
          <w:bCs/>
        </w:rPr>
        <w:t>ocorre</w:t>
      </w:r>
      <w:r w:rsidR="004F1053">
        <w:rPr>
          <w:bCs/>
        </w:rPr>
        <w:t xml:space="preserve"> </w:t>
      </w:r>
      <w:r w:rsidR="00E0786F">
        <w:rPr>
          <w:bCs/>
        </w:rPr>
        <w:t xml:space="preserve">maior </w:t>
      </w:r>
      <w:r w:rsidR="00F12F74">
        <w:rPr>
          <w:bCs/>
        </w:rPr>
        <w:t>prevalência de fragilidade, comorbidades e polifarmácia</w:t>
      </w:r>
      <w:r w:rsidR="00921981">
        <w:rPr>
          <w:bCs/>
        </w:rPr>
        <w:t>, o</w:t>
      </w:r>
      <w:r w:rsidR="00F12F74">
        <w:rPr>
          <w:bCs/>
        </w:rPr>
        <w:t xml:space="preserve"> </w:t>
      </w:r>
      <w:r w:rsidR="006B64CB">
        <w:rPr>
          <w:bCs/>
        </w:rPr>
        <w:t xml:space="preserve">que exige </w:t>
      </w:r>
      <w:r w:rsidR="00326CB3">
        <w:rPr>
          <w:bCs/>
        </w:rPr>
        <w:t>cautela na interpretaçã</w:t>
      </w:r>
      <w:r w:rsidR="006B64CB">
        <w:rPr>
          <w:bCs/>
        </w:rPr>
        <w:t xml:space="preserve">o dos testes tireoidianos. Os </w:t>
      </w:r>
      <w:r w:rsidRPr="00AB2C18">
        <w:rPr>
          <w:bCs/>
        </w:rPr>
        <w:t>parâmetros séricos da tireoide apresentam ampla variabilidade interindividual e estreita intraindividual</w:t>
      </w:r>
      <w:r w:rsidR="00921981">
        <w:rPr>
          <w:bCs/>
        </w:rPr>
        <w:t>,</w:t>
      </w:r>
      <w:r w:rsidR="006B64CB">
        <w:rPr>
          <w:bCs/>
        </w:rPr>
        <w:t xml:space="preserve"> </w:t>
      </w:r>
      <w:r w:rsidR="00921981">
        <w:rPr>
          <w:bCs/>
        </w:rPr>
        <w:t xml:space="preserve">sugerindo </w:t>
      </w:r>
      <w:r w:rsidR="00D77B49">
        <w:rPr>
          <w:bCs/>
        </w:rPr>
        <w:t xml:space="preserve">fatores genéticos </w:t>
      </w:r>
      <w:r w:rsidR="005762EE">
        <w:rPr>
          <w:bCs/>
        </w:rPr>
        <w:t xml:space="preserve">como </w:t>
      </w:r>
      <w:r w:rsidR="00D77B49">
        <w:rPr>
          <w:bCs/>
        </w:rPr>
        <w:t xml:space="preserve">principais </w:t>
      </w:r>
      <w:r w:rsidR="005762EE">
        <w:rPr>
          <w:bCs/>
        </w:rPr>
        <w:t>determinante</w:t>
      </w:r>
      <w:r w:rsidR="006560FA">
        <w:rPr>
          <w:bCs/>
        </w:rPr>
        <w:t>s</w:t>
      </w:r>
      <w:r w:rsidR="005762EE">
        <w:rPr>
          <w:bCs/>
        </w:rPr>
        <w:t xml:space="preserve"> dos pontos de ajustes da função tireoidiana. </w:t>
      </w:r>
      <w:r w:rsidRPr="00AB2C18">
        <w:rPr>
          <w:bCs/>
        </w:rPr>
        <w:t xml:space="preserve">Diversos </w:t>
      </w:r>
      <w:r w:rsidRPr="00A339A9">
        <w:rPr>
          <w:bCs/>
          <w:i/>
          <w:iCs/>
        </w:rPr>
        <w:t>loc</w:t>
      </w:r>
      <w:r w:rsidR="00A339A9" w:rsidRPr="00A339A9">
        <w:rPr>
          <w:bCs/>
          <w:i/>
          <w:iCs/>
        </w:rPr>
        <w:t>i</w:t>
      </w:r>
      <w:r w:rsidRPr="00AB2C18">
        <w:rPr>
          <w:bCs/>
        </w:rPr>
        <w:t xml:space="preserve"> genéticos foram associados</w:t>
      </w:r>
      <w:r w:rsidR="00921981">
        <w:rPr>
          <w:bCs/>
        </w:rPr>
        <w:t xml:space="preserve"> à</w:t>
      </w:r>
      <w:r w:rsidRPr="00AB2C18">
        <w:rPr>
          <w:bCs/>
        </w:rPr>
        <w:t xml:space="preserve"> função tireoidiana</w:t>
      </w:r>
      <w:r w:rsidR="00921981">
        <w:rPr>
          <w:bCs/>
        </w:rPr>
        <w:t>,</w:t>
      </w:r>
      <w:r w:rsidRPr="00AB2C18">
        <w:rPr>
          <w:bCs/>
        </w:rPr>
        <w:t xml:space="preserve"> em grandes estudos de associação entre genótipo e fenótipo</w:t>
      </w:r>
      <w:r w:rsidR="00E0786F">
        <w:rPr>
          <w:bCs/>
        </w:rPr>
        <w:t>, numa população adulta</w:t>
      </w:r>
      <w:r w:rsidRPr="00AB2C18">
        <w:rPr>
          <w:bCs/>
        </w:rPr>
        <w:t xml:space="preserve">. </w:t>
      </w:r>
      <w:r w:rsidR="005762EE">
        <w:rPr>
          <w:bCs/>
        </w:rPr>
        <w:t>Porém, es</w:t>
      </w:r>
      <w:r w:rsidR="00921981">
        <w:rPr>
          <w:bCs/>
        </w:rPr>
        <w:t>s</w:t>
      </w:r>
      <w:r w:rsidR="005762EE">
        <w:rPr>
          <w:bCs/>
        </w:rPr>
        <w:t xml:space="preserve">es achados ainda não foram analisados em população idosa. </w:t>
      </w:r>
      <w:r w:rsidRPr="00AB2C18">
        <w:rPr>
          <w:b/>
        </w:rPr>
        <w:t xml:space="preserve">Objetivo: </w:t>
      </w:r>
      <w:r w:rsidRPr="00AB2C18">
        <w:rPr>
          <w:bCs/>
        </w:rPr>
        <w:t>Analisar</w:t>
      </w:r>
      <w:r w:rsidR="00436CB1">
        <w:rPr>
          <w:bCs/>
        </w:rPr>
        <w:t xml:space="preserve">, numa população idosa, </w:t>
      </w:r>
      <w:r w:rsidRPr="00AB2C18">
        <w:rPr>
          <w:bCs/>
        </w:rPr>
        <w:t xml:space="preserve">a relação entre </w:t>
      </w:r>
      <w:r w:rsidR="00921981">
        <w:rPr>
          <w:bCs/>
        </w:rPr>
        <w:t>oito</w:t>
      </w:r>
      <w:r w:rsidR="00921981" w:rsidRPr="00AB2C18">
        <w:rPr>
          <w:bCs/>
        </w:rPr>
        <w:t xml:space="preserve"> </w:t>
      </w:r>
      <w:r w:rsidRPr="00AB2C18">
        <w:rPr>
          <w:bCs/>
        </w:rPr>
        <w:t xml:space="preserve">polimorfismos de genes associados à função tireoidiana e </w:t>
      </w:r>
      <w:r w:rsidR="00921981">
        <w:rPr>
          <w:bCs/>
        </w:rPr>
        <w:t xml:space="preserve">a </w:t>
      </w:r>
      <w:r w:rsidRPr="00AB2C18">
        <w:rPr>
          <w:bCs/>
        </w:rPr>
        <w:t xml:space="preserve">níveis séricos </w:t>
      </w:r>
      <w:r w:rsidR="00436CB1">
        <w:rPr>
          <w:bCs/>
        </w:rPr>
        <w:t xml:space="preserve">de TSH, T4 livre e T3 livre. </w:t>
      </w:r>
      <w:r w:rsidRPr="00AB2C18">
        <w:rPr>
          <w:b/>
        </w:rPr>
        <w:t xml:space="preserve">Material e Métodos: </w:t>
      </w:r>
      <w:r w:rsidR="00921981" w:rsidRPr="00686410">
        <w:t>Trata-se de e</w:t>
      </w:r>
      <w:r w:rsidRPr="00921981">
        <w:rPr>
          <w:bCs/>
        </w:rPr>
        <w:t>studo</w:t>
      </w:r>
      <w:r w:rsidRPr="00AB2C18">
        <w:rPr>
          <w:bCs/>
        </w:rPr>
        <w:t xml:space="preserve"> transversal com mulheres idosas</w:t>
      </w:r>
      <w:r w:rsidR="00921981">
        <w:rPr>
          <w:bCs/>
        </w:rPr>
        <w:t>,</w:t>
      </w:r>
      <w:r w:rsidRPr="00AB2C18">
        <w:rPr>
          <w:bCs/>
        </w:rPr>
        <w:t xml:space="preserve"> conduzido entre os anos 2018 e 2019. Excluí</w:t>
      </w:r>
      <w:r w:rsidR="00921981">
        <w:rPr>
          <w:bCs/>
        </w:rPr>
        <w:t>ram-se</w:t>
      </w:r>
      <w:r w:rsidR="00F737A4">
        <w:rPr>
          <w:bCs/>
        </w:rPr>
        <w:t xml:space="preserve"> indivíduos do sexo masculino e </w:t>
      </w:r>
      <w:r w:rsidR="00313B2F">
        <w:rPr>
          <w:bCs/>
        </w:rPr>
        <w:t xml:space="preserve">com </w:t>
      </w:r>
      <w:r w:rsidR="00F737A4">
        <w:rPr>
          <w:bCs/>
        </w:rPr>
        <w:t>doença da tireoide subclínica ou manifesta</w:t>
      </w:r>
      <w:r w:rsidR="00921981">
        <w:rPr>
          <w:bCs/>
        </w:rPr>
        <w:t xml:space="preserve"> e inclui</w:t>
      </w:r>
      <w:r w:rsidR="00934D77">
        <w:rPr>
          <w:bCs/>
        </w:rPr>
        <w:t>u</w:t>
      </w:r>
      <w:r w:rsidR="00921981">
        <w:rPr>
          <w:bCs/>
        </w:rPr>
        <w:t>-se a coleta de d</w:t>
      </w:r>
      <w:r w:rsidR="00313B2F">
        <w:rPr>
          <w:bCs/>
        </w:rPr>
        <w:t>ados sociodemográficos e antropométricos</w:t>
      </w:r>
      <w:r w:rsidR="00A350B7">
        <w:rPr>
          <w:bCs/>
        </w:rPr>
        <w:t xml:space="preserve">. </w:t>
      </w:r>
      <w:r w:rsidR="00921981">
        <w:rPr>
          <w:bCs/>
        </w:rPr>
        <w:t>Realizaram-se exames sobre f</w:t>
      </w:r>
      <w:r w:rsidR="00313B2F">
        <w:rPr>
          <w:bCs/>
        </w:rPr>
        <w:t>unção tireoidiana</w:t>
      </w:r>
      <w:r w:rsidR="008C01B7">
        <w:rPr>
          <w:bCs/>
        </w:rPr>
        <w:t xml:space="preserve"> e</w:t>
      </w:r>
      <w:r w:rsidR="00A350B7">
        <w:rPr>
          <w:bCs/>
        </w:rPr>
        <w:t xml:space="preserve"> </w:t>
      </w:r>
      <w:r w:rsidR="00921981">
        <w:rPr>
          <w:bCs/>
        </w:rPr>
        <w:t xml:space="preserve">para </w:t>
      </w:r>
      <w:r w:rsidR="00313B2F">
        <w:rPr>
          <w:bCs/>
        </w:rPr>
        <w:t>extração de DNA</w:t>
      </w:r>
      <w:r w:rsidR="00921981">
        <w:rPr>
          <w:bCs/>
        </w:rPr>
        <w:t>,</w:t>
      </w:r>
      <w:r w:rsidR="00313B2F">
        <w:rPr>
          <w:bCs/>
        </w:rPr>
        <w:t xml:space="preserve"> </w:t>
      </w:r>
      <w:r w:rsidR="00D77B49">
        <w:rPr>
          <w:bCs/>
        </w:rPr>
        <w:t xml:space="preserve">seguida de </w:t>
      </w:r>
      <w:r w:rsidR="00313B2F">
        <w:rPr>
          <w:bCs/>
        </w:rPr>
        <w:t xml:space="preserve">genotipagem de </w:t>
      </w:r>
      <w:r w:rsidR="00921981">
        <w:rPr>
          <w:bCs/>
        </w:rPr>
        <w:t xml:space="preserve">oito </w:t>
      </w:r>
      <w:r w:rsidR="00313B2F">
        <w:rPr>
          <w:bCs/>
        </w:rPr>
        <w:t>polimorfismos de nucleotídeo único selecionados</w:t>
      </w:r>
      <w:r w:rsidR="00B76773">
        <w:rPr>
          <w:bCs/>
        </w:rPr>
        <w:t>.</w:t>
      </w:r>
      <w:r w:rsidR="00F737A4">
        <w:rPr>
          <w:bCs/>
        </w:rPr>
        <w:t xml:space="preserve"> </w:t>
      </w:r>
      <w:r w:rsidR="00C13788" w:rsidRPr="00C13788">
        <w:rPr>
          <w:b/>
        </w:rPr>
        <w:t>Estatística:</w:t>
      </w:r>
      <w:r w:rsidR="00C13788">
        <w:rPr>
          <w:bCs/>
        </w:rPr>
        <w:t xml:space="preserve"> </w:t>
      </w:r>
      <w:r w:rsidR="007F3BBE" w:rsidRPr="00C13788">
        <w:rPr>
          <w:color w:val="000000" w:themeColor="text1"/>
        </w:rPr>
        <w:t xml:space="preserve">O teste não paramétrico de </w:t>
      </w:r>
      <w:proofErr w:type="spellStart"/>
      <w:r w:rsidR="007F3BBE" w:rsidRPr="00C13788">
        <w:rPr>
          <w:color w:val="000000" w:themeColor="text1"/>
        </w:rPr>
        <w:t>Mann-Whitney</w:t>
      </w:r>
      <w:proofErr w:type="spellEnd"/>
      <w:r w:rsidR="007F3BBE" w:rsidRPr="00C13788">
        <w:rPr>
          <w:color w:val="000000" w:themeColor="text1"/>
        </w:rPr>
        <w:t xml:space="preserve"> foi utilizado em todas as análises com variáveis quantitativas</w:t>
      </w:r>
      <w:r w:rsidR="00C13788" w:rsidRPr="00C13788">
        <w:rPr>
          <w:color w:val="000000" w:themeColor="text1"/>
        </w:rPr>
        <w:t xml:space="preserve">. </w:t>
      </w:r>
      <w:r w:rsidR="006560FA">
        <w:rPr>
          <w:color w:val="000000" w:themeColor="text1"/>
        </w:rPr>
        <w:t>D</w:t>
      </w:r>
      <w:r w:rsidR="007F3BBE" w:rsidRPr="00C13788">
        <w:rPr>
          <w:color w:val="000000" w:themeColor="text1"/>
        </w:rPr>
        <w:t xml:space="preserve">ados foram apresentados como mediana e intervalo interquartil. Para as variáveis de natureza categórica, empregou-se o teste </w:t>
      </w:r>
      <w:proofErr w:type="spellStart"/>
      <w:r w:rsidR="007F3BBE" w:rsidRPr="00C13788">
        <w:rPr>
          <w:color w:val="000000" w:themeColor="text1"/>
        </w:rPr>
        <w:t>qui</w:t>
      </w:r>
      <w:proofErr w:type="spellEnd"/>
      <w:r w:rsidR="007F3BBE" w:rsidRPr="00C13788">
        <w:rPr>
          <w:color w:val="000000" w:themeColor="text1"/>
        </w:rPr>
        <w:t>-quadrado para comparar duas proporções e o teste Exato de Fisher</w:t>
      </w:r>
      <w:r w:rsidR="00B76773">
        <w:rPr>
          <w:color w:val="000000" w:themeColor="text1"/>
        </w:rPr>
        <w:t>,</w:t>
      </w:r>
      <w:r w:rsidR="007F3BBE" w:rsidRPr="00C13788">
        <w:rPr>
          <w:color w:val="000000" w:themeColor="text1"/>
        </w:rPr>
        <w:t xml:space="preserve"> para avaliar a associação entre duas variáveis qualitativas. O </w:t>
      </w:r>
      <w:r w:rsidR="007F3BBE" w:rsidRPr="00C13788">
        <w:rPr>
          <w:i/>
          <w:iCs/>
          <w:color w:val="000000" w:themeColor="text1"/>
        </w:rPr>
        <w:t>Hardy-Weinberg-Equilibrium</w:t>
      </w:r>
      <w:r w:rsidR="007F3BBE" w:rsidRPr="00C13788">
        <w:rPr>
          <w:color w:val="000000" w:themeColor="text1"/>
        </w:rPr>
        <w:t xml:space="preserve"> foi calculado usando</w:t>
      </w:r>
      <w:r w:rsidR="00B76773">
        <w:rPr>
          <w:color w:val="000000" w:themeColor="text1"/>
        </w:rPr>
        <w:t>-se</w:t>
      </w:r>
      <w:r w:rsidR="007F3BBE" w:rsidRPr="00C13788">
        <w:rPr>
          <w:color w:val="000000" w:themeColor="text1"/>
        </w:rPr>
        <w:t xml:space="preserve"> o teste chi-quadrado. O software estatístico STATA versão 10 foi utilizado para a realização das análises descritivas e dos testes estatísticos. O nível de significância adotado foi de 0,05. A associação entre os SNP e testes séricos da tireoide foi avaliada utilizando</w:t>
      </w:r>
      <w:r w:rsidR="00B76773">
        <w:rPr>
          <w:color w:val="000000" w:themeColor="text1"/>
        </w:rPr>
        <w:t>-se</w:t>
      </w:r>
      <w:r w:rsidR="007F3BBE" w:rsidRPr="00C13788">
        <w:rPr>
          <w:color w:val="000000" w:themeColor="text1"/>
        </w:rPr>
        <w:t xml:space="preserve"> o modelo genético dominante</w:t>
      </w:r>
      <w:r w:rsidR="00C13788" w:rsidRPr="00C13788">
        <w:rPr>
          <w:color w:val="000000" w:themeColor="text1"/>
        </w:rPr>
        <w:t>.</w:t>
      </w:r>
      <w:r w:rsidR="00C13788">
        <w:rPr>
          <w:color w:val="000000" w:themeColor="text1"/>
        </w:rPr>
        <w:t xml:space="preserve"> </w:t>
      </w:r>
      <w:r w:rsidRPr="00513950">
        <w:rPr>
          <w:b/>
          <w:color w:val="000000" w:themeColor="text1"/>
        </w:rPr>
        <w:t>Resultados:</w:t>
      </w:r>
      <w:r w:rsidR="00F737A4" w:rsidRPr="00513950">
        <w:rPr>
          <w:color w:val="000000" w:themeColor="text1"/>
        </w:rPr>
        <w:t xml:space="preserve"> </w:t>
      </w:r>
      <w:r w:rsidR="00B76773">
        <w:rPr>
          <w:color w:val="000000" w:themeColor="text1"/>
        </w:rPr>
        <w:t xml:space="preserve">Incluíram </w:t>
      </w:r>
      <w:r w:rsidR="00F737A4">
        <w:t>64 indivíduos</w:t>
      </w:r>
      <w:r w:rsidR="007F3BBE">
        <w:t xml:space="preserve"> </w:t>
      </w:r>
      <w:r w:rsidR="008C01B7">
        <w:t>do sexo feminino</w:t>
      </w:r>
      <w:r w:rsidR="00DB2EF7">
        <w:t xml:space="preserve">. </w:t>
      </w:r>
      <w:r w:rsidR="00F737A4">
        <w:t xml:space="preserve">A </w:t>
      </w:r>
      <w:r w:rsidR="00A34829">
        <w:t>mediana da idade</w:t>
      </w:r>
      <w:r w:rsidR="00F737A4">
        <w:t xml:space="preserve"> foi de 70 anos</w:t>
      </w:r>
      <w:r w:rsidR="00947AC5">
        <w:t xml:space="preserve"> (65-73)</w:t>
      </w:r>
      <w:r w:rsidR="008C01B7">
        <w:t xml:space="preserve">. </w:t>
      </w:r>
      <w:r w:rsidR="00F737A4">
        <w:t>A m</w:t>
      </w:r>
      <w:r w:rsidR="004A37B4">
        <w:t>ediana</w:t>
      </w:r>
      <w:r w:rsidR="00F737A4">
        <w:t xml:space="preserve"> d</w:t>
      </w:r>
      <w:r w:rsidR="004A37B4">
        <w:t>o</w:t>
      </w:r>
      <w:r w:rsidR="00F737A4">
        <w:t xml:space="preserve"> IMC foi de 26,3kg/m2</w:t>
      </w:r>
      <w:r w:rsidR="00947AC5">
        <w:t xml:space="preserve"> (24-30,6)</w:t>
      </w:r>
      <w:r w:rsidR="00F737A4">
        <w:t>. As m</w:t>
      </w:r>
      <w:r w:rsidR="004A37B4">
        <w:t>edianas</w:t>
      </w:r>
      <w:r w:rsidR="00F737A4">
        <w:t xml:space="preserve"> do TSH, T4l e T3l foram, respectivamente, </w:t>
      </w:r>
      <w:r w:rsidR="00B76773">
        <w:t xml:space="preserve">de </w:t>
      </w:r>
      <w:r w:rsidR="00F737A4">
        <w:t>2,17 mU / L</w:t>
      </w:r>
      <w:r w:rsidR="00947AC5">
        <w:t xml:space="preserve"> (1,58-2,97)</w:t>
      </w:r>
      <w:r w:rsidR="00F737A4">
        <w:t xml:space="preserve">, 1,12 ng / dL </w:t>
      </w:r>
      <w:r w:rsidR="00947AC5">
        <w:t xml:space="preserve">(1,04-1,20) </w:t>
      </w:r>
      <w:r w:rsidR="00F737A4">
        <w:t>e 2,78 pg / mL</w:t>
      </w:r>
      <w:r w:rsidR="00947AC5">
        <w:t xml:space="preserve"> (2,64-2,98)</w:t>
      </w:r>
      <w:r w:rsidR="00F737A4">
        <w:t xml:space="preserve">.  Mais da metade dos indivíduos tinha </w:t>
      </w:r>
      <w:r w:rsidR="005F3D67">
        <w:t xml:space="preserve">hipertensão arterial </w:t>
      </w:r>
      <w:r w:rsidR="001F4FAD">
        <w:t>sistêmica</w:t>
      </w:r>
      <w:r w:rsidR="00947AC5">
        <w:t xml:space="preserve"> (62,26%)</w:t>
      </w:r>
      <w:r w:rsidR="00F737A4">
        <w:t xml:space="preserve">, um </w:t>
      </w:r>
      <w:r w:rsidR="00947AC5">
        <w:t>quarto (24,53%)</w:t>
      </w:r>
      <w:r w:rsidR="00F737A4">
        <w:t xml:space="preserve">, </w:t>
      </w:r>
      <w:r w:rsidR="005F3D67">
        <w:t>diabete</w:t>
      </w:r>
      <w:r w:rsidR="00934D77">
        <w:t>s</w:t>
      </w:r>
      <w:r w:rsidR="005F3D67">
        <w:t xml:space="preserve"> </w:t>
      </w:r>
      <w:r w:rsidR="00934D77" w:rsidRPr="00EF787F">
        <w:rPr>
          <w:i/>
        </w:rPr>
        <w:t>me</w:t>
      </w:r>
      <w:r w:rsidR="00934D77">
        <w:rPr>
          <w:i/>
        </w:rPr>
        <w:t>l</w:t>
      </w:r>
      <w:r w:rsidR="00934D77" w:rsidRPr="00EF787F">
        <w:rPr>
          <w:i/>
        </w:rPr>
        <w:t>litus</w:t>
      </w:r>
      <w:r w:rsidR="00B76773">
        <w:t>,</w:t>
      </w:r>
      <w:r w:rsidR="00F737A4">
        <w:t xml:space="preserve"> e </w:t>
      </w:r>
      <w:r w:rsidR="00947AC5">
        <w:t xml:space="preserve">menos da </w:t>
      </w:r>
      <w:r w:rsidR="00F737A4">
        <w:t>metade</w:t>
      </w:r>
      <w:r w:rsidR="00947AC5">
        <w:t xml:space="preserve"> (</w:t>
      </w:r>
      <w:r w:rsidR="0050365B">
        <w:t>39,62%)</w:t>
      </w:r>
      <w:r w:rsidR="00F737A4">
        <w:t xml:space="preserve">, </w:t>
      </w:r>
      <w:r w:rsidR="005F3D67">
        <w:t>dislipidemia</w:t>
      </w:r>
      <w:r w:rsidR="00F737A4">
        <w:t>.</w:t>
      </w:r>
      <w:r w:rsidR="00A10597">
        <w:t xml:space="preserve"> </w:t>
      </w:r>
      <w:r w:rsidR="007F3BBE">
        <w:t xml:space="preserve">Houve </w:t>
      </w:r>
      <w:r w:rsidR="00513950">
        <w:t xml:space="preserve">diferença nos níveis de TSH com significância estatística entre os alelos selvagem (C) e polimórfico (T) </w:t>
      </w:r>
      <w:r w:rsidR="00D41D5C">
        <w:t>n</w:t>
      </w:r>
      <w:r w:rsidR="00513950">
        <w:t xml:space="preserve">o SNP rs12885300 do </w:t>
      </w:r>
      <w:r w:rsidR="00513950" w:rsidRPr="00EC323E">
        <w:rPr>
          <w:i/>
          <w:iCs/>
        </w:rPr>
        <w:t>gene DIO2</w:t>
      </w:r>
      <w:r w:rsidR="00513950">
        <w:rPr>
          <w:i/>
          <w:iCs/>
        </w:rPr>
        <w:t>,</w:t>
      </w:r>
      <w:r w:rsidR="007A4CB8">
        <w:t xml:space="preserve"> </w:t>
      </w:r>
      <w:r w:rsidR="00513950">
        <w:t>p = 0,03. Nes</w:t>
      </w:r>
      <w:r w:rsidR="00B76773">
        <w:t>s</w:t>
      </w:r>
      <w:r w:rsidR="00513950">
        <w:t>e polimorfismo, o</w:t>
      </w:r>
      <w:r w:rsidR="00EC6A65">
        <w:t xml:space="preserve"> genótipo C</w:t>
      </w:r>
      <w:r w:rsidR="00D12495">
        <w:t>/</w:t>
      </w:r>
      <w:r w:rsidR="00EC6A65">
        <w:t>C (</w:t>
      </w:r>
      <w:r w:rsidR="007F3BBE">
        <w:t xml:space="preserve">presente em </w:t>
      </w:r>
      <w:r w:rsidR="00EC6A65">
        <w:t>69,44%</w:t>
      </w:r>
      <w:r w:rsidR="007F3BBE">
        <w:t xml:space="preserve"> dos indivíduos</w:t>
      </w:r>
      <w:r w:rsidR="00EC6A65">
        <w:t>)</w:t>
      </w:r>
      <w:r w:rsidR="00513950">
        <w:t xml:space="preserve"> </w:t>
      </w:r>
      <w:r w:rsidR="00EC6A65">
        <w:t>apresentou m</w:t>
      </w:r>
      <w:r w:rsidR="004A37B4">
        <w:t>edianas</w:t>
      </w:r>
      <w:r w:rsidR="00EC6A65">
        <w:t xml:space="preserve"> do TSH, T3l e T4l de 1,89mU/L</w:t>
      </w:r>
      <w:r w:rsidR="00B21546">
        <w:t xml:space="preserve"> (1,17-2,42)</w:t>
      </w:r>
      <w:r w:rsidR="00D41D5C">
        <w:t xml:space="preserve">, </w:t>
      </w:r>
      <w:r w:rsidR="00EC6A65">
        <w:t xml:space="preserve">2,85pg/dL </w:t>
      </w:r>
      <w:r w:rsidR="00B21546">
        <w:t xml:space="preserve">(2,69-2,98) </w:t>
      </w:r>
      <w:r w:rsidR="00EC6A65">
        <w:t>e 1</w:t>
      </w:r>
      <w:r w:rsidR="004A37B4">
        <w:t>,</w:t>
      </w:r>
      <w:r w:rsidR="00EC6A65">
        <w:t>15ng/mL</w:t>
      </w:r>
      <w:r w:rsidR="00B21546">
        <w:t xml:space="preserve"> (1,11-1,21)</w:t>
      </w:r>
      <w:r w:rsidR="004A37B4">
        <w:t>, respectivamente</w:t>
      </w:r>
      <w:r w:rsidR="00EC6A65">
        <w:t>; o</w:t>
      </w:r>
      <w:r w:rsidR="00A10597">
        <w:t xml:space="preserve"> conjunto de</w:t>
      </w:r>
      <w:r w:rsidR="00EC6A65">
        <w:t xml:space="preserve"> genótipos</w:t>
      </w:r>
      <w:r w:rsidR="00A10597">
        <w:t xml:space="preserve"> </w:t>
      </w:r>
      <w:r w:rsidR="00EC6A65">
        <w:t xml:space="preserve">C/T </w:t>
      </w:r>
      <w:r w:rsidR="004A37B4">
        <w:t>e</w:t>
      </w:r>
      <w:r w:rsidR="00EC6A65">
        <w:t xml:space="preserve"> T/T (</w:t>
      </w:r>
      <w:r w:rsidR="00F45DF8">
        <w:t xml:space="preserve">presente em </w:t>
      </w:r>
      <w:r w:rsidR="00EC6A65">
        <w:t>30,56%</w:t>
      </w:r>
      <w:r w:rsidR="00F45DF8">
        <w:t xml:space="preserve"> dos indivíduos</w:t>
      </w:r>
      <w:r w:rsidR="00EC6A65">
        <w:t>), 2,82mU/L</w:t>
      </w:r>
      <w:r w:rsidR="00B21546">
        <w:t xml:space="preserve"> (2-4,2), </w:t>
      </w:r>
      <w:r w:rsidR="00EC6A65">
        <w:t>2</w:t>
      </w:r>
      <w:r w:rsidR="004A37B4">
        <w:t>,</w:t>
      </w:r>
      <w:r w:rsidR="00EC6A65">
        <w:t>83pg/dL</w:t>
      </w:r>
      <w:r w:rsidR="00B21546">
        <w:t xml:space="preserve"> (2,64-3,17)</w:t>
      </w:r>
      <w:r w:rsidR="00EC6A65">
        <w:t xml:space="preserve"> e 1</w:t>
      </w:r>
      <w:r w:rsidR="004A37B4">
        <w:t>,</w:t>
      </w:r>
      <w:r w:rsidR="00EC6A65">
        <w:t>16</w:t>
      </w:r>
      <w:r w:rsidR="00EC6A65" w:rsidRPr="00125D33">
        <w:t xml:space="preserve"> </w:t>
      </w:r>
      <w:r w:rsidR="00EC6A65">
        <w:t>ng/mL</w:t>
      </w:r>
      <w:r w:rsidR="00B11217">
        <w:t xml:space="preserve">, </w:t>
      </w:r>
      <w:r w:rsidR="00EC6A65">
        <w:t>respectivamente.</w:t>
      </w:r>
      <w:r w:rsidR="007A4CB8">
        <w:t xml:space="preserve"> Houve também diferença nos níveis de T4l com significância estatística entre os alelos selvagem (T) e polimórfico (C) no SNP rs225014 do </w:t>
      </w:r>
      <w:r w:rsidR="007A4CB8" w:rsidRPr="00EC323E">
        <w:rPr>
          <w:i/>
          <w:iCs/>
        </w:rPr>
        <w:t>gene DIO2</w:t>
      </w:r>
      <w:r w:rsidR="007A4CB8">
        <w:rPr>
          <w:i/>
          <w:iCs/>
        </w:rPr>
        <w:t xml:space="preserve">, </w:t>
      </w:r>
      <w:r w:rsidR="007A4CB8">
        <w:t xml:space="preserve">p = 0,02. Neste polimorfismo, o genótipo </w:t>
      </w:r>
      <w:r w:rsidR="00D12495">
        <w:t>T/T</w:t>
      </w:r>
      <w:r w:rsidR="007A4CB8">
        <w:t xml:space="preserve"> (presente em </w:t>
      </w:r>
      <w:r w:rsidR="00D12495">
        <w:t>29,27</w:t>
      </w:r>
      <w:r w:rsidR="007A4CB8">
        <w:t xml:space="preserve">% dos indivíduos) apresentou medianas do TSH, T3l e T4l de 2,19mU/L (1,78-3,42), 2,99pg/dL (2,75-3,24) e 1,20ng/mL (1,16-1,29), respectivamente; o conjunto de genótipos C/T e T/T (presente em </w:t>
      </w:r>
      <w:r w:rsidR="00D12495">
        <w:t>70,73</w:t>
      </w:r>
      <w:r w:rsidR="007A4CB8">
        <w:t>% dos indivíduos), 2,2mU/L (1,53-2,8), 2,73pg/dL (2,65-2,92) e 1,12</w:t>
      </w:r>
      <w:r w:rsidR="007A4CB8" w:rsidRPr="00125D33">
        <w:t xml:space="preserve"> </w:t>
      </w:r>
      <w:r w:rsidR="007A4CB8">
        <w:t xml:space="preserve">ng/mL (1,06-1,18), respectivamente. </w:t>
      </w:r>
      <w:r w:rsidR="00DB2EF7">
        <w:t xml:space="preserve">Para demais polimorfismos, não foram encontradas associações com significância estatística. </w:t>
      </w:r>
      <w:r w:rsidRPr="00AB2C18">
        <w:rPr>
          <w:b/>
        </w:rPr>
        <w:t>Conclusão:</w:t>
      </w:r>
      <w:r w:rsidRPr="00AB2C18">
        <w:rPr>
          <w:bCs/>
        </w:rPr>
        <w:t xml:space="preserve"> </w:t>
      </w:r>
      <w:r w:rsidR="00F45DF8">
        <w:rPr>
          <w:bCs/>
        </w:rPr>
        <w:t xml:space="preserve">O </w:t>
      </w:r>
      <w:r w:rsidR="006215FE">
        <w:rPr>
          <w:bCs/>
        </w:rPr>
        <w:t xml:space="preserve">polimorfismo </w:t>
      </w:r>
      <w:r w:rsidR="006215FE">
        <w:t xml:space="preserve">rs12885300 </w:t>
      </w:r>
      <w:r w:rsidR="00513950">
        <w:t xml:space="preserve">do </w:t>
      </w:r>
      <w:r w:rsidR="006215FE" w:rsidRPr="00EC323E">
        <w:rPr>
          <w:i/>
          <w:iCs/>
        </w:rPr>
        <w:t>gene DIO2</w:t>
      </w:r>
      <w:r w:rsidR="006215FE">
        <w:t xml:space="preserve"> </w:t>
      </w:r>
      <w:r w:rsidR="006215FE">
        <w:rPr>
          <w:bCs/>
        </w:rPr>
        <w:t>em homozigose ou em heterozigose foi associad</w:t>
      </w:r>
      <w:r w:rsidR="00B21546">
        <w:rPr>
          <w:bCs/>
        </w:rPr>
        <w:t>o</w:t>
      </w:r>
      <w:r w:rsidR="006215FE">
        <w:rPr>
          <w:bCs/>
        </w:rPr>
        <w:t xml:space="preserve"> a níveis de TSH mais elevado</w:t>
      </w:r>
      <w:r w:rsidR="00DA2CCB">
        <w:rPr>
          <w:bCs/>
        </w:rPr>
        <w:t>s</w:t>
      </w:r>
      <w:r w:rsidR="00B21546">
        <w:rPr>
          <w:bCs/>
        </w:rPr>
        <w:t xml:space="preserve"> </w:t>
      </w:r>
      <w:r w:rsidR="00B21546">
        <w:rPr>
          <w:bCs/>
        </w:rPr>
        <w:lastRenderedPageBreak/>
        <w:t xml:space="preserve">e o polimorfismo </w:t>
      </w:r>
      <w:r w:rsidR="00B21546">
        <w:t xml:space="preserve">rs225014 do </w:t>
      </w:r>
      <w:r w:rsidR="00B21546" w:rsidRPr="00EF787F">
        <w:rPr>
          <w:iCs/>
        </w:rPr>
        <w:t xml:space="preserve">gene </w:t>
      </w:r>
      <w:r w:rsidR="00B21546" w:rsidRPr="00EC323E">
        <w:rPr>
          <w:i/>
          <w:iCs/>
        </w:rPr>
        <w:t>DIO2</w:t>
      </w:r>
      <w:r w:rsidR="00B21546">
        <w:t xml:space="preserve"> </w:t>
      </w:r>
      <w:r w:rsidR="00B21546">
        <w:rPr>
          <w:bCs/>
        </w:rPr>
        <w:t xml:space="preserve">em homozigose ou em heterozigose foi associado a níveis de T4l mais elevados. </w:t>
      </w:r>
      <w:r w:rsidR="00DA2CCB">
        <w:rPr>
          <w:bCs/>
        </w:rPr>
        <w:t>Es</w:t>
      </w:r>
      <w:r w:rsidR="00934D77">
        <w:rPr>
          <w:bCs/>
        </w:rPr>
        <w:t>s</w:t>
      </w:r>
      <w:r w:rsidR="00DA2CCB">
        <w:rPr>
          <w:bCs/>
        </w:rPr>
        <w:t>e</w:t>
      </w:r>
      <w:r w:rsidR="00F45DF8">
        <w:rPr>
          <w:bCs/>
        </w:rPr>
        <w:t xml:space="preserve">s dados, ineditamente testados em população geriátrica brasileira, apontam para necessidade de considerar aspectos genéticos na interpretação da função tireoidiana de idosos. </w:t>
      </w:r>
      <w:r w:rsidR="00C13788">
        <w:rPr>
          <w:bCs/>
        </w:rPr>
        <w:t>Melhor compreensão da influência dos polimorfismos de genes importantes para função tireoidiana pode</w:t>
      </w:r>
      <w:r w:rsidR="00F45DF8">
        <w:rPr>
          <w:bCs/>
        </w:rPr>
        <w:t xml:space="preserve"> contribuir para </w:t>
      </w:r>
      <w:r w:rsidR="00B76773">
        <w:rPr>
          <w:bCs/>
        </w:rPr>
        <w:t xml:space="preserve">a </w:t>
      </w:r>
      <w:r w:rsidR="00F45DF8">
        <w:rPr>
          <w:bCs/>
        </w:rPr>
        <w:t xml:space="preserve">elaboração de melhores estratégias de manejo </w:t>
      </w:r>
      <w:r w:rsidR="00B76773">
        <w:rPr>
          <w:bCs/>
        </w:rPr>
        <w:t>d</w:t>
      </w:r>
      <w:r w:rsidR="00F45DF8">
        <w:rPr>
          <w:bCs/>
        </w:rPr>
        <w:t>o hipotireoidismo em pacientes idosos.</w:t>
      </w:r>
    </w:p>
    <w:p w14:paraId="46E3898D" w14:textId="77777777" w:rsidR="00DB2EF7" w:rsidRPr="00DB2EF7" w:rsidRDefault="00DB2EF7" w:rsidP="00921981">
      <w:pPr>
        <w:jc w:val="both"/>
      </w:pPr>
    </w:p>
    <w:p w14:paraId="3C013AAC" w14:textId="5651E7A3" w:rsidR="00284B7F" w:rsidRDefault="00284B7F" w:rsidP="00921981">
      <w:pPr>
        <w:jc w:val="both"/>
        <w:rPr>
          <w:bCs/>
        </w:rPr>
      </w:pPr>
      <w:r w:rsidRPr="00AB2C18">
        <w:rPr>
          <w:b/>
        </w:rPr>
        <w:t xml:space="preserve">Palavras-chave: </w:t>
      </w:r>
      <w:r w:rsidR="00B76773">
        <w:rPr>
          <w:bCs/>
        </w:rPr>
        <w:t>f</w:t>
      </w:r>
      <w:r w:rsidRPr="00AB2C18">
        <w:rPr>
          <w:bCs/>
        </w:rPr>
        <w:t>unção tireoidiana</w:t>
      </w:r>
      <w:r w:rsidR="00B76773">
        <w:rPr>
          <w:bCs/>
        </w:rPr>
        <w:t>;</w:t>
      </w:r>
      <w:r w:rsidRPr="00AB2C18">
        <w:rPr>
          <w:bCs/>
        </w:rPr>
        <w:t xml:space="preserve"> T3l</w:t>
      </w:r>
      <w:r w:rsidR="00B76773">
        <w:rPr>
          <w:bCs/>
        </w:rPr>
        <w:t>;</w:t>
      </w:r>
      <w:r w:rsidRPr="00AB2C18">
        <w:rPr>
          <w:bCs/>
        </w:rPr>
        <w:t xml:space="preserve"> T4l</w:t>
      </w:r>
      <w:r w:rsidR="00B76773">
        <w:rPr>
          <w:bCs/>
        </w:rPr>
        <w:t>;</w:t>
      </w:r>
      <w:r w:rsidRPr="00AB2C18">
        <w:rPr>
          <w:bCs/>
        </w:rPr>
        <w:t xml:space="preserve"> TSH</w:t>
      </w:r>
      <w:r w:rsidR="00B76773">
        <w:rPr>
          <w:bCs/>
        </w:rPr>
        <w:t>;</w:t>
      </w:r>
      <w:r w:rsidRPr="00AB2C18">
        <w:rPr>
          <w:bCs/>
        </w:rPr>
        <w:t xml:space="preserve"> envelhecimento</w:t>
      </w:r>
      <w:r w:rsidR="00B76773">
        <w:rPr>
          <w:bCs/>
        </w:rPr>
        <w:t>;</w:t>
      </w:r>
      <w:r w:rsidRPr="00AB2C18">
        <w:rPr>
          <w:bCs/>
        </w:rPr>
        <w:t xml:space="preserve"> polimorfismos de nucleotídeo único.</w:t>
      </w:r>
    </w:p>
    <w:p w14:paraId="00449DAE" w14:textId="0BC55E25" w:rsidR="0038430D" w:rsidRDefault="00B11C0F" w:rsidP="00921981">
      <w:pPr>
        <w:jc w:val="both"/>
        <w:rPr>
          <w:bCs/>
        </w:rPr>
      </w:pPr>
      <w:r>
        <w:rPr>
          <w:bCs/>
        </w:rPr>
        <w:t xml:space="preserve"> </w:t>
      </w:r>
    </w:p>
    <w:p w14:paraId="37E2A1B6" w14:textId="0C628B0D" w:rsidR="0038430D" w:rsidRDefault="0038430D" w:rsidP="00921981">
      <w:pPr>
        <w:jc w:val="both"/>
        <w:rPr>
          <w:bCs/>
        </w:rPr>
      </w:pPr>
    </w:p>
    <w:p w14:paraId="15C7FEF9" w14:textId="36B50D35" w:rsidR="004A37B4" w:rsidRDefault="004A37B4" w:rsidP="00284B7F">
      <w:pPr>
        <w:spacing w:line="360" w:lineRule="auto"/>
        <w:jc w:val="both"/>
        <w:rPr>
          <w:bCs/>
        </w:rPr>
      </w:pPr>
    </w:p>
    <w:p w14:paraId="5AC868F8" w14:textId="556FCD35" w:rsidR="001F4FAD" w:rsidRDefault="001F4FAD" w:rsidP="00284B7F">
      <w:pPr>
        <w:spacing w:line="360" w:lineRule="auto"/>
        <w:jc w:val="both"/>
        <w:rPr>
          <w:bCs/>
        </w:rPr>
      </w:pPr>
    </w:p>
    <w:p w14:paraId="3D203F4C" w14:textId="21B72F11" w:rsidR="001F4FAD" w:rsidRDefault="001F4FAD" w:rsidP="00284B7F">
      <w:pPr>
        <w:spacing w:line="360" w:lineRule="auto"/>
        <w:jc w:val="both"/>
        <w:rPr>
          <w:bCs/>
        </w:rPr>
      </w:pPr>
    </w:p>
    <w:p w14:paraId="0B956CCE" w14:textId="7E7BD534" w:rsidR="005637B7" w:rsidRDefault="005637B7" w:rsidP="00284B7F">
      <w:pPr>
        <w:spacing w:line="360" w:lineRule="auto"/>
        <w:jc w:val="both"/>
        <w:rPr>
          <w:bCs/>
        </w:rPr>
      </w:pPr>
    </w:p>
    <w:p w14:paraId="6FAF18D5" w14:textId="2B58A7C7" w:rsidR="005637B7" w:rsidRDefault="005637B7" w:rsidP="00284B7F">
      <w:pPr>
        <w:spacing w:line="360" w:lineRule="auto"/>
        <w:jc w:val="both"/>
        <w:rPr>
          <w:bCs/>
        </w:rPr>
      </w:pPr>
    </w:p>
    <w:p w14:paraId="032955A3" w14:textId="63C7079C" w:rsidR="005637B7" w:rsidRDefault="005637B7" w:rsidP="00284B7F">
      <w:pPr>
        <w:spacing w:line="360" w:lineRule="auto"/>
        <w:jc w:val="both"/>
        <w:rPr>
          <w:bCs/>
        </w:rPr>
      </w:pPr>
    </w:p>
    <w:p w14:paraId="657BCAC2" w14:textId="591E5236" w:rsidR="005637B7" w:rsidRDefault="005637B7" w:rsidP="00284B7F">
      <w:pPr>
        <w:spacing w:line="360" w:lineRule="auto"/>
        <w:jc w:val="both"/>
        <w:rPr>
          <w:bCs/>
        </w:rPr>
      </w:pPr>
    </w:p>
    <w:p w14:paraId="7B44C45F" w14:textId="182E59CA" w:rsidR="005637B7" w:rsidRDefault="005637B7" w:rsidP="00284B7F">
      <w:pPr>
        <w:spacing w:line="360" w:lineRule="auto"/>
        <w:jc w:val="both"/>
        <w:rPr>
          <w:bCs/>
        </w:rPr>
      </w:pPr>
    </w:p>
    <w:p w14:paraId="6129B48A"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17FFF2B8"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510F357D"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4F83E289"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119691B7"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5860DB31"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16C5CC1B"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3D33F177"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0CC32AEA"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36520DD4"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04E9480C"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047DB986"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6642EFE4"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30F9F018"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7F7CA2A1"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6B77F97D"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74AB2C1D"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65C8508A"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50C6AFA6"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714D5442"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3EA669D4"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1136BB9E"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7BC84874"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4D9082D9" w14:textId="77777777" w:rsidR="00B76773" w:rsidRDefault="00B76773" w:rsidP="00B76773">
      <w:pPr>
        <w:pStyle w:val="NormalWeb"/>
        <w:shd w:val="clear" w:color="auto" w:fill="FFFFFF"/>
        <w:spacing w:before="0" w:beforeAutospacing="0" w:after="0" w:afterAutospacing="0"/>
        <w:rPr>
          <w:rFonts w:ascii="TimesNewRomanPS" w:hAnsi="TimesNewRomanPS"/>
          <w:bCs/>
        </w:rPr>
      </w:pPr>
    </w:p>
    <w:p w14:paraId="66B7B625" w14:textId="77777777" w:rsidR="00E4003E" w:rsidRDefault="00E4003E" w:rsidP="00E4003E">
      <w:pPr>
        <w:pStyle w:val="NormalWeb"/>
        <w:shd w:val="clear" w:color="auto" w:fill="FFFFFF"/>
        <w:spacing w:before="0" w:beforeAutospacing="0" w:after="0" w:afterAutospacing="0"/>
        <w:jc w:val="both"/>
        <w:rPr>
          <w:rFonts w:ascii="TimesNewRomanPS" w:hAnsi="TimesNewRomanPS"/>
          <w:bCs/>
        </w:rPr>
      </w:pPr>
    </w:p>
    <w:p w14:paraId="30D3A958" w14:textId="77777777" w:rsidR="00E4003E" w:rsidRDefault="00E4003E" w:rsidP="00E4003E">
      <w:pPr>
        <w:pStyle w:val="NormalWeb"/>
        <w:shd w:val="clear" w:color="auto" w:fill="FFFFFF"/>
        <w:spacing w:before="0" w:beforeAutospacing="0" w:after="0" w:afterAutospacing="0"/>
        <w:jc w:val="both"/>
        <w:rPr>
          <w:rFonts w:ascii="TimesNewRomanPS" w:hAnsi="TimesNewRomanPS"/>
          <w:bCs/>
        </w:rPr>
      </w:pPr>
    </w:p>
    <w:p w14:paraId="34A433E8" w14:textId="3C969A6F" w:rsidR="00B11C0F" w:rsidRPr="00450EEE" w:rsidRDefault="00B76773" w:rsidP="00B11C0F">
      <w:pPr>
        <w:pStyle w:val="NormalWeb"/>
        <w:shd w:val="clear" w:color="auto" w:fill="FFFFFF"/>
        <w:spacing w:after="0"/>
        <w:jc w:val="both"/>
        <w:rPr>
          <w:lang w:val="en-US"/>
        </w:rPr>
      </w:pPr>
      <w:r w:rsidRPr="003E02A6">
        <w:rPr>
          <w:rFonts w:ascii="TimesNewRomanPS" w:hAnsi="TimesNewRomanPS"/>
          <w:bCs/>
          <w:lang w:val="en-US"/>
        </w:rPr>
        <w:lastRenderedPageBreak/>
        <w:t>A</w:t>
      </w:r>
      <w:r w:rsidR="00B11C0F" w:rsidRPr="00450EEE">
        <w:rPr>
          <w:bCs/>
          <w:lang w:val="en-US"/>
        </w:rPr>
        <w:t xml:space="preserve">IRES, Elisa. </w:t>
      </w:r>
      <w:r w:rsidR="00B11C0F" w:rsidRPr="00450EEE">
        <w:rPr>
          <w:b/>
          <w:bCs/>
          <w:lang w:val="en-US"/>
        </w:rPr>
        <w:t>Evaluation of 8 polymorphisms in candidate genes re</w:t>
      </w:r>
      <w:r w:rsidR="00B11C0F">
        <w:rPr>
          <w:b/>
          <w:bCs/>
          <w:lang w:val="en-US"/>
        </w:rPr>
        <w:t>lated to thyroid function in elderly</w:t>
      </w:r>
      <w:r w:rsidR="00B11C0F" w:rsidRPr="00450EEE">
        <w:rPr>
          <w:b/>
          <w:bCs/>
          <w:lang w:val="en-US"/>
        </w:rPr>
        <w:t xml:space="preserve">. </w:t>
      </w:r>
      <w:r w:rsidR="00B11C0F" w:rsidRPr="00450EEE">
        <w:rPr>
          <w:bCs/>
          <w:lang w:val="en-US"/>
        </w:rPr>
        <w:t xml:space="preserve">2022. Advisor: Helton Estrela Ramos, </w:t>
      </w:r>
      <w:r w:rsidR="005A5C70">
        <w:rPr>
          <w:bCs/>
          <w:lang w:val="en-US"/>
        </w:rPr>
        <w:t>80</w:t>
      </w:r>
      <w:r w:rsidR="00405717">
        <w:rPr>
          <w:bCs/>
          <w:lang w:val="en-US"/>
        </w:rPr>
        <w:t xml:space="preserve"> </w:t>
      </w:r>
      <w:r w:rsidR="00B11C0F" w:rsidRPr="00450EEE">
        <w:rPr>
          <w:bCs/>
          <w:lang w:val="en-US"/>
        </w:rPr>
        <w:t>s. il. Dissertation (</w:t>
      </w:r>
      <w:r w:rsidR="00B11C0F" w:rsidRPr="00605D52">
        <w:rPr>
          <w:lang w:val="en-US"/>
        </w:rPr>
        <w:t>Master in Interactive Processes of Organs and Systems</w:t>
      </w:r>
      <w:r w:rsidR="00B11C0F" w:rsidRPr="00450EEE">
        <w:rPr>
          <w:bCs/>
          <w:lang w:val="en-US"/>
        </w:rPr>
        <w:t xml:space="preserve">) – </w:t>
      </w:r>
      <w:r w:rsidR="00B11C0F" w:rsidRPr="000937C5">
        <w:rPr>
          <w:lang w:val="en-US"/>
        </w:rPr>
        <w:t>Institute of Health Sciences, Federal University of Bahia</w:t>
      </w:r>
      <w:r w:rsidR="00B11C0F" w:rsidRPr="00450EEE">
        <w:rPr>
          <w:bCs/>
          <w:lang w:val="en-US"/>
        </w:rPr>
        <w:t>, Salvador.</w:t>
      </w:r>
    </w:p>
    <w:p w14:paraId="1A6808BA" w14:textId="77777777" w:rsidR="00B11C0F" w:rsidRPr="00450EEE" w:rsidRDefault="00B11C0F" w:rsidP="00B11C0F">
      <w:pPr>
        <w:jc w:val="center"/>
        <w:rPr>
          <w:b/>
          <w:lang w:val="en-US"/>
        </w:rPr>
      </w:pPr>
    </w:p>
    <w:p w14:paraId="242378F3" w14:textId="77777777" w:rsidR="00B11C0F" w:rsidRDefault="00B11C0F" w:rsidP="00B11C0F">
      <w:pPr>
        <w:jc w:val="center"/>
        <w:rPr>
          <w:b/>
          <w:lang w:val="en-US"/>
        </w:rPr>
      </w:pPr>
      <w:r w:rsidRPr="00285884">
        <w:rPr>
          <w:b/>
          <w:lang w:val="en-US"/>
        </w:rPr>
        <w:t>ABSTRACT</w:t>
      </w:r>
    </w:p>
    <w:p w14:paraId="2DB967EA" w14:textId="77777777" w:rsidR="00B11C0F" w:rsidRDefault="00B11C0F" w:rsidP="00B11C0F">
      <w:pPr>
        <w:jc w:val="center"/>
        <w:rPr>
          <w:b/>
          <w:lang w:val="en-US"/>
        </w:rPr>
      </w:pPr>
    </w:p>
    <w:p w14:paraId="7FE3D0A6" w14:textId="77777777" w:rsidR="00B11C0F" w:rsidRPr="00285884" w:rsidRDefault="00B11C0F" w:rsidP="00B11C0F">
      <w:pPr>
        <w:jc w:val="center"/>
        <w:rPr>
          <w:b/>
          <w:lang w:val="en-US"/>
        </w:rPr>
      </w:pPr>
    </w:p>
    <w:p w14:paraId="61C8705B" w14:textId="77777777" w:rsidR="00B11C0F" w:rsidRPr="00285884" w:rsidRDefault="00B11C0F" w:rsidP="00B11C0F">
      <w:pPr>
        <w:widowControl w:val="0"/>
        <w:suppressAutoHyphens/>
        <w:jc w:val="both"/>
        <w:rPr>
          <w:rFonts w:eastAsia="SimSun"/>
          <w:bCs/>
          <w:kern w:val="1"/>
          <w:lang w:val="en-US" w:eastAsia="hi-IN" w:bidi="hi-IN"/>
        </w:rPr>
      </w:pPr>
      <w:r w:rsidRPr="00285884">
        <w:rPr>
          <w:rFonts w:eastAsia="SimSun"/>
          <w:b/>
          <w:kern w:val="1"/>
          <w:lang w:val="en-US" w:eastAsia="hi-IN" w:bidi="hi-IN"/>
        </w:rPr>
        <w:t>Introduction:</w:t>
      </w:r>
      <w:r w:rsidRPr="00285884">
        <w:rPr>
          <w:rFonts w:eastAsia="SimSun"/>
          <w:bCs/>
          <w:kern w:val="1"/>
          <w:lang w:val="en-US" w:eastAsia="hi-IN" w:bidi="hi-IN"/>
        </w:rPr>
        <w:t xml:space="preserve"> Cross-sectional and longitudinal population studies point to higher TSH levels with aging. In addition, in older age groups, there is a higher prevalence of frailty, comorbidities and polypharmacy, which requires caution in interpretation of thyroid tests. Serum thyroid parameters show wide interindividual and narrow intraindividual variability, suggesting genetic factors as the main determinant </w:t>
      </w:r>
      <w:r>
        <w:rPr>
          <w:rFonts w:eastAsia="SimSun"/>
          <w:bCs/>
          <w:kern w:val="1"/>
          <w:lang w:val="en-US" w:eastAsia="hi-IN" w:bidi="hi-IN"/>
        </w:rPr>
        <w:t>for</w:t>
      </w:r>
      <w:r w:rsidRPr="00285884">
        <w:rPr>
          <w:rFonts w:eastAsia="SimSun"/>
          <w:bCs/>
          <w:kern w:val="1"/>
          <w:lang w:val="en-US" w:eastAsia="hi-IN" w:bidi="hi-IN"/>
        </w:rPr>
        <w:t xml:space="preserve"> </w:t>
      </w:r>
      <w:r>
        <w:rPr>
          <w:rFonts w:eastAsia="SimSun"/>
          <w:bCs/>
          <w:kern w:val="1"/>
          <w:lang w:val="en-US" w:eastAsia="hi-IN" w:bidi="hi-IN"/>
        </w:rPr>
        <w:t xml:space="preserve">regulation of </w:t>
      </w:r>
      <w:r w:rsidRPr="00285884">
        <w:rPr>
          <w:rFonts w:eastAsia="SimSun"/>
          <w:bCs/>
          <w:kern w:val="1"/>
          <w:lang w:val="en-US" w:eastAsia="hi-IN" w:bidi="hi-IN"/>
        </w:rPr>
        <w:t xml:space="preserve">thyroid function. Several genetic loci </w:t>
      </w:r>
      <w:r>
        <w:rPr>
          <w:rFonts w:eastAsia="SimSun"/>
          <w:bCs/>
          <w:kern w:val="1"/>
          <w:lang w:val="en-US" w:eastAsia="hi-IN" w:bidi="hi-IN"/>
        </w:rPr>
        <w:t>were</w:t>
      </w:r>
      <w:r w:rsidRPr="00285884">
        <w:rPr>
          <w:rFonts w:eastAsia="SimSun"/>
          <w:bCs/>
          <w:kern w:val="1"/>
          <w:lang w:val="en-US" w:eastAsia="hi-IN" w:bidi="hi-IN"/>
        </w:rPr>
        <w:t xml:space="preserve"> associated </w:t>
      </w:r>
      <w:r>
        <w:rPr>
          <w:rFonts w:eastAsia="SimSun"/>
          <w:bCs/>
          <w:kern w:val="1"/>
          <w:lang w:val="en-US" w:eastAsia="hi-IN" w:bidi="hi-IN"/>
        </w:rPr>
        <w:t>with</w:t>
      </w:r>
      <w:r w:rsidRPr="00285884">
        <w:rPr>
          <w:rFonts w:eastAsia="SimSun"/>
          <w:bCs/>
          <w:kern w:val="1"/>
          <w:lang w:val="en-US" w:eastAsia="hi-IN" w:bidi="hi-IN"/>
        </w:rPr>
        <w:t xml:space="preserve"> thyroid function in large studies </w:t>
      </w:r>
      <w:r>
        <w:rPr>
          <w:rFonts w:eastAsia="SimSun"/>
          <w:bCs/>
          <w:kern w:val="1"/>
          <w:lang w:val="en-US" w:eastAsia="hi-IN" w:bidi="hi-IN"/>
        </w:rPr>
        <w:t>on</w:t>
      </w:r>
      <w:r w:rsidRPr="00285884">
        <w:rPr>
          <w:rFonts w:eastAsia="SimSun"/>
          <w:bCs/>
          <w:kern w:val="1"/>
          <w:lang w:val="en-US" w:eastAsia="hi-IN" w:bidi="hi-IN"/>
        </w:rPr>
        <w:t xml:space="preserve"> association between genotype and phenotype in adult population. However, </w:t>
      </w:r>
      <w:r>
        <w:rPr>
          <w:rFonts w:eastAsia="SimSun"/>
          <w:bCs/>
          <w:kern w:val="1"/>
          <w:lang w:val="en-US" w:eastAsia="hi-IN" w:bidi="hi-IN"/>
        </w:rPr>
        <w:t>such</w:t>
      </w:r>
      <w:r w:rsidRPr="00285884">
        <w:rPr>
          <w:rFonts w:eastAsia="SimSun"/>
          <w:bCs/>
          <w:kern w:val="1"/>
          <w:lang w:val="en-US" w:eastAsia="hi-IN" w:bidi="hi-IN"/>
        </w:rPr>
        <w:t xml:space="preserve"> findings </w:t>
      </w:r>
      <w:r>
        <w:rPr>
          <w:rFonts w:eastAsia="SimSun"/>
          <w:bCs/>
          <w:kern w:val="1"/>
          <w:lang w:val="en-US" w:eastAsia="hi-IN" w:bidi="hi-IN"/>
        </w:rPr>
        <w:t>were</w:t>
      </w:r>
      <w:r w:rsidRPr="00285884">
        <w:rPr>
          <w:rFonts w:eastAsia="SimSun"/>
          <w:bCs/>
          <w:kern w:val="1"/>
          <w:lang w:val="en-US" w:eastAsia="hi-IN" w:bidi="hi-IN"/>
        </w:rPr>
        <w:t xml:space="preserve"> not analyzed</w:t>
      </w:r>
      <w:r>
        <w:rPr>
          <w:rFonts w:eastAsia="SimSun"/>
          <w:bCs/>
          <w:kern w:val="1"/>
          <w:lang w:val="en-US" w:eastAsia="hi-IN" w:bidi="hi-IN"/>
        </w:rPr>
        <w:t xml:space="preserve"> </w:t>
      </w:r>
      <w:r w:rsidRPr="00285884">
        <w:rPr>
          <w:rFonts w:eastAsia="SimSun"/>
          <w:bCs/>
          <w:kern w:val="1"/>
          <w:lang w:val="en-US" w:eastAsia="hi-IN" w:bidi="hi-IN"/>
        </w:rPr>
        <w:t>in the elderly population. O</w:t>
      </w:r>
      <w:r w:rsidRPr="00285884">
        <w:rPr>
          <w:rFonts w:eastAsia="SimSun"/>
          <w:b/>
          <w:kern w:val="1"/>
          <w:lang w:val="en-US" w:eastAsia="hi-IN" w:bidi="hi-IN"/>
        </w:rPr>
        <w:t xml:space="preserve">bjective: </w:t>
      </w:r>
      <w:r w:rsidRPr="00285884">
        <w:rPr>
          <w:rFonts w:eastAsia="SimSun"/>
          <w:bCs/>
          <w:kern w:val="1"/>
          <w:lang w:val="en-US" w:eastAsia="hi-IN" w:bidi="hi-IN"/>
        </w:rPr>
        <w:t xml:space="preserve">To analyze relationship between 8 polymorphisms of genes associated with thyroid function and serum levels of TSH, free T4 and free T3. </w:t>
      </w:r>
      <w:r w:rsidRPr="00285884">
        <w:rPr>
          <w:rFonts w:eastAsia="SimSun"/>
          <w:b/>
          <w:kern w:val="1"/>
          <w:lang w:val="en-US" w:eastAsia="hi-IN" w:bidi="hi-IN"/>
        </w:rPr>
        <w:t xml:space="preserve">Material and Methods: </w:t>
      </w:r>
      <w:r w:rsidRPr="00285884">
        <w:rPr>
          <w:rFonts w:eastAsia="SimSun"/>
          <w:bCs/>
          <w:kern w:val="1"/>
          <w:lang w:val="en-US" w:eastAsia="hi-IN" w:bidi="hi-IN"/>
        </w:rPr>
        <w:t xml:space="preserve">A cross-sectional study with elderly women conducted </w:t>
      </w:r>
      <w:r>
        <w:rPr>
          <w:rFonts w:eastAsia="SimSun"/>
          <w:bCs/>
          <w:kern w:val="1"/>
          <w:lang w:val="en-US" w:eastAsia="hi-IN" w:bidi="hi-IN"/>
        </w:rPr>
        <w:t>from</w:t>
      </w:r>
      <w:r w:rsidRPr="00285884">
        <w:rPr>
          <w:rFonts w:eastAsia="SimSun"/>
          <w:bCs/>
          <w:kern w:val="1"/>
          <w:lang w:val="en-US" w:eastAsia="hi-IN" w:bidi="hi-IN"/>
        </w:rPr>
        <w:t xml:space="preserve"> 2018 </w:t>
      </w:r>
      <w:r>
        <w:rPr>
          <w:rFonts w:eastAsia="SimSun"/>
          <w:bCs/>
          <w:kern w:val="1"/>
          <w:lang w:val="en-US" w:eastAsia="hi-IN" w:bidi="hi-IN"/>
        </w:rPr>
        <w:t>to</w:t>
      </w:r>
      <w:r w:rsidRPr="00285884">
        <w:rPr>
          <w:rFonts w:eastAsia="SimSun"/>
          <w:bCs/>
          <w:kern w:val="1"/>
          <w:lang w:val="en-US" w:eastAsia="hi-IN" w:bidi="hi-IN"/>
        </w:rPr>
        <w:t xml:space="preserve"> 2019. Males and </w:t>
      </w:r>
      <w:r>
        <w:rPr>
          <w:rFonts w:eastAsia="SimSun"/>
          <w:bCs/>
          <w:kern w:val="1"/>
          <w:lang w:val="en-US" w:eastAsia="hi-IN" w:bidi="hi-IN"/>
        </w:rPr>
        <w:t>patients</w:t>
      </w:r>
      <w:r w:rsidRPr="00285884">
        <w:rPr>
          <w:rFonts w:eastAsia="SimSun"/>
          <w:bCs/>
          <w:kern w:val="1"/>
          <w:lang w:val="en-US" w:eastAsia="hi-IN" w:bidi="hi-IN"/>
        </w:rPr>
        <w:t xml:space="preserve"> with subclinical or overt thyroid disease were excluded. Sociodemographic and anthropometric data were collected</w:t>
      </w:r>
      <w:r>
        <w:rPr>
          <w:rFonts w:eastAsia="SimSun"/>
          <w:bCs/>
          <w:kern w:val="1"/>
          <w:lang w:val="en-US" w:eastAsia="hi-IN" w:bidi="hi-IN"/>
        </w:rPr>
        <w:t>.</w:t>
      </w:r>
      <w:r w:rsidRPr="00285884">
        <w:rPr>
          <w:rFonts w:eastAsia="SimSun"/>
          <w:bCs/>
          <w:kern w:val="1"/>
          <w:lang w:val="en-US" w:eastAsia="hi-IN" w:bidi="hi-IN"/>
        </w:rPr>
        <w:t xml:space="preserve"> </w:t>
      </w:r>
      <w:r>
        <w:rPr>
          <w:rFonts w:eastAsia="SimSun"/>
          <w:bCs/>
          <w:kern w:val="1"/>
          <w:lang w:val="en-US" w:eastAsia="hi-IN" w:bidi="hi-IN"/>
        </w:rPr>
        <w:t xml:space="preserve">Tests were performed on </w:t>
      </w:r>
      <w:r w:rsidRPr="00285884">
        <w:rPr>
          <w:rFonts w:eastAsia="SimSun"/>
          <w:bCs/>
          <w:kern w:val="1"/>
          <w:lang w:val="en-US" w:eastAsia="hi-IN" w:bidi="hi-IN"/>
        </w:rPr>
        <w:t xml:space="preserve">thyroid function </w:t>
      </w:r>
      <w:r>
        <w:rPr>
          <w:rFonts w:eastAsia="SimSun"/>
          <w:bCs/>
          <w:kern w:val="1"/>
          <w:lang w:val="en-US" w:eastAsia="hi-IN" w:bidi="hi-IN"/>
        </w:rPr>
        <w:t xml:space="preserve">and for </w:t>
      </w:r>
      <w:r w:rsidRPr="00285884">
        <w:rPr>
          <w:rFonts w:eastAsia="SimSun"/>
          <w:bCs/>
          <w:kern w:val="1"/>
          <w:lang w:val="en-US" w:eastAsia="hi-IN" w:bidi="hi-IN"/>
        </w:rPr>
        <w:t>DNA extraction</w:t>
      </w:r>
      <w:r>
        <w:rPr>
          <w:rFonts w:eastAsia="SimSun"/>
          <w:bCs/>
          <w:kern w:val="1"/>
          <w:lang w:val="en-US" w:eastAsia="hi-IN" w:bidi="hi-IN"/>
        </w:rPr>
        <w:t>, which were</w:t>
      </w:r>
      <w:r w:rsidRPr="00285884">
        <w:rPr>
          <w:rFonts w:eastAsia="SimSun"/>
          <w:bCs/>
          <w:kern w:val="1"/>
          <w:lang w:val="en-US" w:eastAsia="hi-IN" w:bidi="hi-IN"/>
        </w:rPr>
        <w:t xml:space="preserve"> followed by genotyping of 8 single</w:t>
      </w:r>
      <w:r>
        <w:rPr>
          <w:rFonts w:eastAsia="SimSun"/>
          <w:bCs/>
          <w:kern w:val="1"/>
          <w:lang w:val="en-US" w:eastAsia="hi-IN" w:bidi="hi-IN"/>
        </w:rPr>
        <w:t>-</w:t>
      </w:r>
      <w:r w:rsidRPr="00285884">
        <w:rPr>
          <w:rFonts w:eastAsia="SimSun"/>
          <w:bCs/>
          <w:kern w:val="1"/>
          <w:lang w:val="en-US" w:eastAsia="hi-IN" w:bidi="hi-IN"/>
        </w:rPr>
        <w:t xml:space="preserve">nucleotide polymorphisms selected for the study. </w:t>
      </w:r>
      <w:r w:rsidRPr="00285884">
        <w:rPr>
          <w:b/>
          <w:bCs/>
          <w:color w:val="1D2228"/>
          <w:lang w:val="en-US"/>
        </w:rPr>
        <w:t>Statistics:</w:t>
      </w:r>
      <w:r w:rsidRPr="00285884">
        <w:rPr>
          <w:color w:val="1D2228"/>
          <w:lang w:val="en-US"/>
        </w:rPr>
        <w:t xml:space="preserve"> </w:t>
      </w:r>
      <w:r>
        <w:rPr>
          <w:color w:val="1D2228"/>
          <w:lang w:val="en-US"/>
        </w:rPr>
        <w:t xml:space="preserve">The </w:t>
      </w:r>
      <w:r w:rsidRPr="00285884">
        <w:rPr>
          <w:color w:val="1D2228"/>
          <w:lang w:val="en-US"/>
        </w:rPr>
        <w:t>Mann</w:t>
      </w:r>
      <w:r>
        <w:rPr>
          <w:color w:val="1D2228"/>
          <w:lang w:val="en-US"/>
        </w:rPr>
        <w:t xml:space="preserve"> </w:t>
      </w:r>
      <w:r w:rsidRPr="00285884">
        <w:rPr>
          <w:color w:val="1D2228"/>
          <w:lang w:val="en-US"/>
        </w:rPr>
        <w:t xml:space="preserve">Whitney </w:t>
      </w:r>
      <w:r>
        <w:rPr>
          <w:color w:val="1D2228"/>
          <w:lang w:val="en-US"/>
        </w:rPr>
        <w:t>U T</w:t>
      </w:r>
      <w:r w:rsidRPr="00285884">
        <w:rPr>
          <w:color w:val="1D2228"/>
          <w:lang w:val="en-US"/>
        </w:rPr>
        <w:t xml:space="preserve">est was used on all </w:t>
      </w:r>
      <w:r>
        <w:rPr>
          <w:color w:val="1D2228"/>
          <w:lang w:val="en-US"/>
        </w:rPr>
        <w:t xml:space="preserve">analyses with quantitative </w:t>
      </w:r>
      <w:r w:rsidRPr="00285884">
        <w:rPr>
          <w:color w:val="1D2228"/>
          <w:lang w:val="en-US"/>
        </w:rPr>
        <w:t>variables.  </w:t>
      </w:r>
      <w:r>
        <w:rPr>
          <w:color w:val="1D2228"/>
          <w:lang w:val="en-US"/>
        </w:rPr>
        <w:t>D</w:t>
      </w:r>
      <w:r w:rsidRPr="00285884">
        <w:rPr>
          <w:color w:val="1D2228"/>
          <w:lang w:val="en-US"/>
        </w:rPr>
        <w:t xml:space="preserve">ata were presented as median and interquartile range (IQR).  </w:t>
      </w:r>
      <w:r>
        <w:rPr>
          <w:color w:val="1D2228"/>
          <w:lang w:val="en-US"/>
        </w:rPr>
        <w:t>In relation to categorical variables</w:t>
      </w:r>
      <w:r w:rsidRPr="00285884">
        <w:rPr>
          <w:color w:val="1D2228"/>
          <w:lang w:val="en-US"/>
        </w:rPr>
        <w:t xml:space="preserve">, </w:t>
      </w:r>
      <w:r>
        <w:rPr>
          <w:color w:val="1D2228"/>
          <w:lang w:val="en-US"/>
        </w:rPr>
        <w:t>c</w:t>
      </w:r>
      <w:r w:rsidRPr="00285884">
        <w:rPr>
          <w:color w:val="1D2228"/>
          <w:lang w:val="en-US"/>
        </w:rPr>
        <w:t xml:space="preserve">hi-square test was used to compare two proportions-square and Fisher's Exact test was used to assess the association between two qualitative variables.  The Hardy-Weinberg-Equilibrium (HWE) was calculated using chi-square test.  The statistical software STATA version 10 was used to perform descriptive analyzes and statistical tests.  </w:t>
      </w:r>
      <w:r>
        <w:rPr>
          <w:color w:val="1D2228"/>
          <w:lang w:val="en-US"/>
        </w:rPr>
        <w:t>S</w:t>
      </w:r>
      <w:r w:rsidRPr="00285884">
        <w:rPr>
          <w:color w:val="1D2228"/>
          <w:lang w:val="en-US"/>
        </w:rPr>
        <w:t xml:space="preserve">ignificance level adopted was 0.05.  </w:t>
      </w:r>
      <w:r>
        <w:rPr>
          <w:color w:val="1D2228"/>
          <w:lang w:val="en-US"/>
        </w:rPr>
        <w:t>A</w:t>
      </w:r>
      <w:r w:rsidRPr="00285884">
        <w:rPr>
          <w:color w:val="1D2228"/>
          <w:lang w:val="en-US"/>
        </w:rPr>
        <w:t xml:space="preserve">ssociation between SNPs and thyroid genetic testing was used as a dominant genetic model. </w:t>
      </w:r>
      <w:r w:rsidRPr="00285884">
        <w:rPr>
          <w:rFonts w:eastAsia="SimSun"/>
          <w:b/>
          <w:kern w:val="1"/>
          <w:lang w:val="en-US" w:eastAsia="hi-IN" w:bidi="hi-IN"/>
        </w:rPr>
        <w:t>Results:</w:t>
      </w:r>
      <w:r w:rsidRPr="00285884">
        <w:rPr>
          <w:rFonts w:eastAsia="SimSun"/>
          <w:bCs/>
          <w:kern w:val="1"/>
          <w:lang w:val="en-US" w:eastAsia="hi-IN" w:bidi="hi-IN"/>
        </w:rPr>
        <w:t xml:space="preserve"> 64 </w:t>
      </w:r>
      <w:r>
        <w:rPr>
          <w:rFonts w:eastAsia="SimSun"/>
          <w:bCs/>
          <w:kern w:val="1"/>
          <w:lang w:val="en-US" w:eastAsia="hi-IN" w:bidi="hi-IN"/>
        </w:rPr>
        <w:t>female individuals were included</w:t>
      </w:r>
      <w:r w:rsidRPr="00285884">
        <w:rPr>
          <w:rFonts w:eastAsia="SimSun"/>
          <w:bCs/>
          <w:kern w:val="1"/>
          <w:lang w:val="en-US" w:eastAsia="hi-IN" w:bidi="hi-IN"/>
        </w:rPr>
        <w:t xml:space="preserve">. </w:t>
      </w:r>
      <w:r>
        <w:rPr>
          <w:rFonts w:eastAsia="SimSun"/>
          <w:bCs/>
          <w:kern w:val="1"/>
          <w:lang w:val="en-US" w:eastAsia="hi-IN" w:bidi="hi-IN"/>
        </w:rPr>
        <w:t>M</w:t>
      </w:r>
      <w:r w:rsidRPr="00285884">
        <w:rPr>
          <w:rFonts w:eastAsia="SimSun"/>
          <w:bCs/>
          <w:kern w:val="1"/>
          <w:lang w:val="en-US" w:eastAsia="hi-IN" w:bidi="hi-IN"/>
        </w:rPr>
        <w:t xml:space="preserve">edian age was 70 years (65-73), 100% female. </w:t>
      </w:r>
      <w:r>
        <w:rPr>
          <w:rFonts w:eastAsia="SimSun"/>
          <w:bCs/>
          <w:kern w:val="1"/>
          <w:lang w:val="en-US" w:eastAsia="hi-IN" w:bidi="hi-IN"/>
        </w:rPr>
        <w:t>M</w:t>
      </w:r>
      <w:r w:rsidRPr="00285884">
        <w:rPr>
          <w:rFonts w:eastAsia="SimSun"/>
          <w:bCs/>
          <w:kern w:val="1"/>
          <w:lang w:val="en-US" w:eastAsia="hi-IN" w:bidi="hi-IN"/>
        </w:rPr>
        <w:t xml:space="preserve">edian BMI was 26.3kg/m2 (24-30.6). TSH, T4l and T3l </w:t>
      </w:r>
      <w:r>
        <w:rPr>
          <w:rFonts w:eastAsia="SimSun"/>
          <w:bCs/>
          <w:kern w:val="1"/>
          <w:lang w:val="en-US" w:eastAsia="hi-IN" w:bidi="hi-IN"/>
        </w:rPr>
        <w:t xml:space="preserve">medians </w:t>
      </w:r>
      <w:r w:rsidRPr="00285884">
        <w:rPr>
          <w:rFonts w:eastAsia="SimSun"/>
          <w:bCs/>
          <w:kern w:val="1"/>
          <w:lang w:val="en-US" w:eastAsia="hi-IN" w:bidi="hi-IN"/>
        </w:rPr>
        <w:t>were, respectively, 2.17 mU / L (1.58-2.97), 1.12 ng / dL (1.04-1.20) and 2.78 pg / ml (2.64-2.98). More than half of individuals had systemic arterial hypertension (62.26%), a quarter (24.53%)</w:t>
      </w:r>
      <w:r>
        <w:rPr>
          <w:rFonts w:eastAsia="SimSun"/>
          <w:bCs/>
          <w:kern w:val="1"/>
          <w:lang w:val="en-US" w:eastAsia="hi-IN" w:bidi="hi-IN"/>
        </w:rPr>
        <w:t xml:space="preserve"> had</w:t>
      </w:r>
      <w:r w:rsidRPr="00285884">
        <w:rPr>
          <w:rFonts w:eastAsia="SimSun"/>
          <w:bCs/>
          <w:kern w:val="1"/>
          <w:lang w:val="en-US" w:eastAsia="hi-IN" w:bidi="hi-IN"/>
        </w:rPr>
        <w:t xml:space="preserve"> diabetes mellitus and less than half (39.62%)</w:t>
      </w:r>
      <w:r>
        <w:rPr>
          <w:rFonts w:eastAsia="SimSun"/>
          <w:bCs/>
          <w:kern w:val="1"/>
          <w:lang w:val="en-US" w:eastAsia="hi-IN" w:bidi="hi-IN"/>
        </w:rPr>
        <w:t xml:space="preserve"> had</w:t>
      </w:r>
      <w:r w:rsidRPr="00285884">
        <w:rPr>
          <w:rFonts w:eastAsia="SimSun"/>
          <w:bCs/>
          <w:kern w:val="1"/>
          <w:lang w:val="en-US" w:eastAsia="hi-IN" w:bidi="hi-IN"/>
        </w:rPr>
        <w:t xml:space="preserve"> dyslipidemia. There was a statistically significant difference in TSH levels between wild-type (C) and polymorphic (T) alleles in SNP rs12885300 of DIO2 gene, p = 0.03. In this polymorphism, C/C genotype (present in 69,44% of individuals) showed TSH and T4l </w:t>
      </w:r>
      <w:r>
        <w:rPr>
          <w:rFonts w:eastAsia="SimSun"/>
          <w:bCs/>
          <w:kern w:val="1"/>
          <w:lang w:val="en-US" w:eastAsia="hi-IN" w:bidi="hi-IN"/>
        </w:rPr>
        <w:t xml:space="preserve">medians </w:t>
      </w:r>
      <w:r w:rsidRPr="00285884">
        <w:rPr>
          <w:rFonts w:eastAsia="SimSun"/>
          <w:bCs/>
          <w:kern w:val="1"/>
          <w:lang w:val="en-US" w:eastAsia="hi-IN" w:bidi="hi-IN"/>
        </w:rPr>
        <w:t xml:space="preserve">of 1.89mU/L (2.42), 2.85pg/dL (2.69-2.98) and 1.15ng/mL (1.11-1.21), respectively; </w:t>
      </w:r>
      <w:r>
        <w:rPr>
          <w:rFonts w:eastAsia="SimSun"/>
          <w:bCs/>
          <w:kern w:val="1"/>
          <w:lang w:val="en-US" w:eastAsia="hi-IN" w:bidi="hi-IN"/>
        </w:rPr>
        <w:t>s</w:t>
      </w:r>
      <w:r w:rsidRPr="00285884">
        <w:rPr>
          <w:rFonts w:eastAsia="SimSun"/>
          <w:bCs/>
          <w:kern w:val="1"/>
          <w:lang w:val="en-US" w:eastAsia="hi-IN" w:bidi="hi-IN"/>
        </w:rPr>
        <w:t>et of C/T and T/T genotypes (present in 30.56% of individuals)</w:t>
      </w:r>
      <w:r>
        <w:rPr>
          <w:rFonts w:eastAsia="SimSun"/>
          <w:bCs/>
          <w:kern w:val="1"/>
          <w:lang w:val="en-US" w:eastAsia="hi-IN" w:bidi="hi-IN"/>
        </w:rPr>
        <w:t xml:space="preserve"> showed medians of</w:t>
      </w:r>
      <w:r w:rsidRPr="00285884">
        <w:rPr>
          <w:rFonts w:eastAsia="SimSun"/>
          <w:bCs/>
          <w:kern w:val="1"/>
          <w:lang w:val="en-US" w:eastAsia="hi-IN" w:bidi="hi-IN"/>
        </w:rPr>
        <w:t xml:space="preserve"> 2.82mU/L (2-4.2), 2.83pg/3.17) and 1.16 ng/mL, respectively. There was also a statistically significant difference in T4l levels between wild-type (T) and polymorphic (C) alleles in SNP rs225014 of DIO2 gene, p = 0.02. In this polymorphism, T/T genotype (present in 29,27% of individuals) showed TSH, T3l and T4l </w:t>
      </w:r>
      <w:r>
        <w:rPr>
          <w:rFonts w:eastAsia="SimSun"/>
          <w:bCs/>
          <w:kern w:val="1"/>
          <w:lang w:val="en-US" w:eastAsia="hi-IN" w:bidi="hi-IN"/>
        </w:rPr>
        <w:t xml:space="preserve">medians </w:t>
      </w:r>
      <w:r w:rsidRPr="00285884">
        <w:rPr>
          <w:rFonts w:eastAsia="SimSun"/>
          <w:bCs/>
          <w:kern w:val="1"/>
          <w:lang w:val="en-US" w:eastAsia="hi-IN" w:bidi="hi-IN"/>
        </w:rPr>
        <w:t xml:space="preserve">of </w:t>
      </w:r>
      <w:r w:rsidRPr="00285884">
        <w:rPr>
          <w:lang w:val="en-US"/>
        </w:rPr>
        <w:t>2,19mU/L (1,78-3,42), 2,99pg/dL (2,75-3,24) e 1,20ng/mL (1,16-1,29)</w:t>
      </w:r>
      <w:r w:rsidRPr="00285884">
        <w:rPr>
          <w:rFonts w:eastAsia="SimSun"/>
          <w:bCs/>
          <w:kern w:val="1"/>
          <w:lang w:val="en-US" w:eastAsia="hi-IN" w:bidi="hi-IN"/>
        </w:rPr>
        <w:t>, respectively; set of C/T and T/T genotypes (present in 70,73% of individuals)</w:t>
      </w:r>
      <w:r>
        <w:rPr>
          <w:rFonts w:eastAsia="SimSun"/>
          <w:bCs/>
          <w:kern w:val="1"/>
          <w:lang w:val="en-US" w:eastAsia="hi-IN" w:bidi="hi-IN"/>
        </w:rPr>
        <w:t xml:space="preserve"> showed medians of </w:t>
      </w:r>
      <w:r w:rsidRPr="00285884">
        <w:rPr>
          <w:lang w:val="en-US"/>
        </w:rPr>
        <w:t>2,2mU/L (1,53-2,8), 2,73pg/dL (2,65-2,92) e 1,12 ng/mL (1,06-1,18), respectively.</w:t>
      </w:r>
      <w:r w:rsidRPr="00285884">
        <w:rPr>
          <w:rFonts w:eastAsia="SimSun"/>
          <w:bCs/>
          <w:kern w:val="1"/>
          <w:lang w:val="en-US" w:eastAsia="hi-IN" w:bidi="hi-IN"/>
        </w:rPr>
        <w:t xml:space="preserve"> For other polymorphisms, there were no associations with statistical significance. </w:t>
      </w:r>
      <w:r w:rsidRPr="00285884">
        <w:rPr>
          <w:rFonts w:eastAsia="SimSun"/>
          <w:b/>
          <w:bCs/>
          <w:kern w:val="1"/>
          <w:lang w:val="en-US" w:eastAsia="hi-IN" w:bidi="hi-IN"/>
        </w:rPr>
        <w:t>Conclusion</w:t>
      </w:r>
      <w:r w:rsidRPr="00285884">
        <w:rPr>
          <w:rFonts w:eastAsia="SimSun"/>
          <w:bCs/>
          <w:kern w:val="1"/>
          <w:lang w:val="en-US" w:eastAsia="hi-IN" w:bidi="hi-IN"/>
        </w:rPr>
        <w:t xml:space="preserve">: DIO2 gene rs1285300 polymorphism in homozygosity or heterozygosity was associated with higher TSH levels and DIO2 gene polymorphism in homozygosity or heterozygosity was associated with higher T4l levels. These data, unprecedentedly tested in a Brazilian geriatric population, point to the need to consider genetic aspects in interpretation of thyroid function in the elderly. </w:t>
      </w:r>
      <w:r w:rsidRPr="00285884">
        <w:rPr>
          <w:rFonts w:eastAsia="SimSun"/>
          <w:bCs/>
          <w:kern w:val="1"/>
          <w:lang w:val="en-US" w:eastAsia="hi-IN" w:bidi="hi-IN"/>
        </w:rPr>
        <w:lastRenderedPageBreak/>
        <w:t>A better understanding of the</w:t>
      </w:r>
      <w:r>
        <w:rPr>
          <w:rFonts w:eastAsia="SimSun"/>
          <w:bCs/>
          <w:kern w:val="1"/>
          <w:lang w:val="en-US" w:eastAsia="hi-IN" w:bidi="hi-IN"/>
        </w:rPr>
        <w:t xml:space="preserve"> important</w:t>
      </w:r>
      <w:r w:rsidRPr="00285884">
        <w:rPr>
          <w:rFonts w:eastAsia="SimSun"/>
          <w:bCs/>
          <w:kern w:val="1"/>
          <w:lang w:val="en-US" w:eastAsia="hi-IN" w:bidi="hi-IN"/>
        </w:rPr>
        <w:t xml:space="preserve"> influence of genes to thyroid function may contribute to the development of better treatment strategies for hypothyroidism in elderly patients.</w:t>
      </w:r>
    </w:p>
    <w:p w14:paraId="618B3D3B" w14:textId="77777777" w:rsidR="00B11C0F" w:rsidRDefault="00B11C0F" w:rsidP="00B11C0F">
      <w:pPr>
        <w:widowControl w:val="0"/>
        <w:suppressAutoHyphens/>
        <w:jc w:val="both"/>
        <w:rPr>
          <w:rFonts w:eastAsia="SimSun"/>
          <w:b/>
          <w:kern w:val="1"/>
          <w:lang w:val="en-US" w:eastAsia="hi-IN" w:bidi="hi-IN"/>
        </w:rPr>
      </w:pPr>
    </w:p>
    <w:p w14:paraId="28D39EF8" w14:textId="6A649A24" w:rsidR="004A37B4" w:rsidRPr="004A37B4" w:rsidRDefault="00B11C0F" w:rsidP="00B11C0F">
      <w:pPr>
        <w:pStyle w:val="NormalWeb"/>
        <w:shd w:val="clear" w:color="auto" w:fill="FFFFFF"/>
        <w:spacing w:before="0" w:beforeAutospacing="0" w:after="0" w:afterAutospacing="0"/>
        <w:jc w:val="both"/>
        <w:rPr>
          <w:rFonts w:eastAsia="SimSun"/>
          <w:bCs/>
          <w:kern w:val="1"/>
          <w:lang w:val="en-US" w:eastAsia="hi-IN" w:bidi="hi-IN"/>
        </w:rPr>
      </w:pPr>
      <w:r w:rsidRPr="00285884">
        <w:rPr>
          <w:rFonts w:eastAsia="SimSun"/>
          <w:b/>
          <w:kern w:val="1"/>
          <w:lang w:val="en-US" w:eastAsia="hi-IN" w:bidi="hi-IN"/>
        </w:rPr>
        <w:t>Keywords:</w:t>
      </w:r>
      <w:r w:rsidRPr="00285884">
        <w:rPr>
          <w:rFonts w:eastAsia="SimSun"/>
          <w:bCs/>
          <w:kern w:val="1"/>
          <w:lang w:val="en-US" w:eastAsia="hi-IN" w:bidi="hi-IN"/>
        </w:rPr>
        <w:t xml:space="preserve"> thyroid function; T3l; T4l; TSH; aging; single</w:t>
      </w:r>
      <w:r>
        <w:rPr>
          <w:rFonts w:eastAsia="SimSun"/>
          <w:bCs/>
          <w:kern w:val="1"/>
          <w:lang w:val="en-US" w:eastAsia="hi-IN" w:bidi="hi-IN"/>
        </w:rPr>
        <w:t>-</w:t>
      </w:r>
      <w:r w:rsidRPr="00285884">
        <w:rPr>
          <w:rFonts w:eastAsia="SimSun"/>
          <w:bCs/>
          <w:kern w:val="1"/>
          <w:lang w:val="en-US" w:eastAsia="hi-IN" w:bidi="hi-IN"/>
        </w:rPr>
        <w:t>nucleotide polymorphisms</w:t>
      </w:r>
      <w:r w:rsidR="004A37B4" w:rsidRPr="004A37B4">
        <w:rPr>
          <w:rFonts w:eastAsia="SimSun"/>
          <w:bCs/>
          <w:kern w:val="1"/>
          <w:lang w:val="en-US" w:eastAsia="hi-IN" w:bidi="hi-IN"/>
        </w:rPr>
        <w:t>.</w:t>
      </w:r>
    </w:p>
    <w:p w14:paraId="641B0DBF" w14:textId="77777777" w:rsidR="004A37B4" w:rsidRDefault="004A37B4" w:rsidP="00D41D5C">
      <w:pPr>
        <w:spacing w:line="360" w:lineRule="auto"/>
        <w:jc w:val="both"/>
        <w:rPr>
          <w:b/>
          <w:lang w:val="en-US"/>
        </w:rPr>
      </w:pPr>
    </w:p>
    <w:p w14:paraId="1E5F40D4" w14:textId="42336398" w:rsidR="004A37B4" w:rsidRDefault="004A37B4" w:rsidP="00D41D5C">
      <w:pPr>
        <w:spacing w:line="360" w:lineRule="auto"/>
        <w:jc w:val="both"/>
        <w:rPr>
          <w:b/>
          <w:lang w:val="en-US"/>
        </w:rPr>
      </w:pPr>
    </w:p>
    <w:p w14:paraId="4880834D" w14:textId="053A0CF3" w:rsidR="00405E02" w:rsidRDefault="00405E02" w:rsidP="00D41D5C">
      <w:pPr>
        <w:spacing w:line="360" w:lineRule="auto"/>
        <w:jc w:val="both"/>
        <w:rPr>
          <w:b/>
          <w:lang w:val="en-US"/>
        </w:rPr>
      </w:pPr>
    </w:p>
    <w:p w14:paraId="1F0F6FF1" w14:textId="2E4623BA" w:rsidR="00405E02" w:rsidRDefault="00405E02" w:rsidP="00D41D5C">
      <w:pPr>
        <w:spacing w:line="360" w:lineRule="auto"/>
        <w:jc w:val="both"/>
        <w:rPr>
          <w:b/>
          <w:lang w:val="en-US"/>
        </w:rPr>
      </w:pPr>
    </w:p>
    <w:p w14:paraId="53D572BB" w14:textId="3E9F59CF" w:rsidR="00405E02" w:rsidRDefault="00405E02" w:rsidP="00D41D5C">
      <w:pPr>
        <w:spacing w:line="360" w:lineRule="auto"/>
        <w:jc w:val="both"/>
        <w:rPr>
          <w:b/>
          <w:lang w:val="en-US"/>
        </w:rPr>
      </w:pPr>
    </w:p>
    <w:p w14:paraId="024526EE" w14:textId="31F32BF0" w:rsidR="00405E02" w:rsidRDefault="00405E02" w:rsidP="00D41D5C">
      <w:pPr>
        <w:spacing w:line="360" w:lineRule="auto"/>
        <w:jc w:val="both"/>
        <w:rPr>
          <w:b/>
          <w:lang w:val="en-US"/>
        </w:rPr>
      </w:pPr>
    </w:p>
    <w:p w14:paraId="58E967DC" w14:textId="0D425351" w:rsidR="00405E02" w:rsidRDefault="00405E02" w:rsidP="00D41D5C">
      <w:pPr>
        <w:spacing w:line="360" w:lineRule="auto"/>
        <w:jc w:val="both"/>
        <w:rPr>
          <w:b/>
          <w:lang w:val="en-US"/>
        </w:rPr>
      </w:pPr>
    </w:p>
    <w:p w14:paraId="44830F96" w14:textId="72F9BA11" w:rsidR="00405E02" w:rsidRDefault="00405E02" w:rsidP="00D41D5C">
      <w:pPr>
        <w:spacing w:line="360" w:lineRule="auto"/>
        <w:jc w:val="both"/>
        <w:rPr>
          <w:b/>
          <w:lang w:val="en-US"/>
        </w:rPr>
      </w:pPr>
    </w:p>
    <w:p w14:paraId="71641070" w14:textId="26D7990B" w:rsidR="00405E02" w:rsidRDefault="00405E02" w:rsidP="00D41D5C">
      <w:pPr>
        <w:spacing w:line="360" w:lineRule="auto"/>
        <w:jc w:val="both"/>
        <w:rPr>
          <w:b/>
          <w:lang w:val="en-US"/>
        </w:rPr>
      </w:pPr>
    </w:p>
    <w:p w14:paraId="3816F451" w14:textId="63A79F8A" w:rsidR="00405E02" w:rsidRDefault="00405E02" w:rsidP="00D41D5C">
      <w:pPr>
        <w:spacing w:line="360" w:lineRule="auto"/>
        <w:jc w:val="both"/>
        <w:rPr>
          <w:b/>
          <w:lang w:val="en-US"/>
        </w:rPr>
      </w:pPr>
    </w:p>
    <w:p w14:paraId="30A0625A" w14:textId="13E9DBC8" w:rsidR="00405E02" w:rsidRDefault="00405E02" w:rsidP="00D41D5C">
      <w:pPr>
        <w:spacing w:line="360" w:lineRule="auto"/>
        <w:jc w:val="both"/>
        <w:rPr>
          <w:b/>
          <w:lang w:val="en-US"/>
        </w:rPr>
      </w:pPr>
    </w:p>
    <w:p w14:paraId="0DA14D45" w14:textId="001DF9BB" w:rsidR="00405E02" w:rsidRDefault="00405E02" w:rsidP="00D41D5C">
      <w:pPr>
        <w:spacing w:line="360" w:lineRule="auto"/>
        <w:jc w:val="both"/>
        <w:rPr>
          <w:b/>
          <w:lang w:val="en-US"/>
        </w:rPr>
      </w:pPr>
    </w:p>
    <w:p w14:paraId="19022E1D" w14:textId="03AFC457" w:rsidR="00405E02" w:rsidRDefault="00405E02" w:rsidP="00D41D5C">
      <w:pPr>
        <w:spacing w:line="360" w:lineRule="auto"/>
        <w:jc w:val="both"/>
        <w:rPr>
          <w:b/>
          <w:lang w:val="en-US"/>
        </w:rPr>
      </w:pPr>
    </w:p>
    <w:p w14:paraId="090BE920" w14:textId="28FB1A0B" w:rsidR="00405E02" w:rsidRDefault="00405E02" w:rsidP="00D41D5C">
      <w:pPr>
        <w:spacing w:line="360" w:lineRule="auto"/>
        <w:jc w:val="both"/>
        <w:rPr>
          <w:b/>
          <w:lang w:val="en-US"/>
        </w:rPr>
      </w:pPr>
    </w:p>
    <w:p w14:paraId="4422E47B" w14:textId="09A40F7D" w:rsidR="00405E02" w:rsidRDefault="00405E02" w:rsidP="00D41D5C">
      <w:pPr>
        <w:spacing w:line="360" w:lineRule="auto"/>
        <w:jc w:val="both"/>
        <w:rPr>
          <w:b/>
          <w:lang w:val="en-US"/>
        </w:rPr>
      </w:pPr>
    </w:p>
    <w:p w14:paraId="75F2E8DA" w14:textId="55AEB3F9" w:rsidR="00405E02" w:rsidRDefault="00405E02" w:rsidP="00D41D5C">
      <w:pPr>
        <w:spacing w:line="360" w:lineRule="auto"/>
        <w:jc w:val="both"/>
        <w:rPr>
          <w:b/>
          <w:lang w:val="en-US"/>
        </w:rPr>
      </w:pPr>
    </w:p>
    <w:p w14:paraId="2A3B3F9C" w14:textId="77777777" w:rsidR="003D493C" w:rsidRDefault="003D493C" w:rsidP="00D41D5C">
      <w:pPr>
        <w:spacing w:line="360" w:lineRule="auto"/>
        <w:jc w:val="both"/>
        <w:rPr>
          <w:b/>
          <w:lang w:val="en-US"/>
        </w:rPr>
      </w:pPr>
    </w:p>
    <w:p w14:paraId="544C346B"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0A83CDFB"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7D81D93E"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79780F2A"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0DEAB0FA"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7F941DE4"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704BA112"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206F2973"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6395E8A2"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090A701D"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707BB32B"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54956005" w14:textId="77777777" w:rsidR="00B76773" w:rsidRPr="00686410" w:rsidRDefault="00B76773" w:rsidP="00ED5956">
      <w:pPr>
        <w:widowControl w:val="0"/>
        <w:suppressAutoHyphens/>
        <w:spacing w:line="360" w:lineRule="auto"/>
        <w:jc w:val="center"/>
        <w:rPr>
          <w:rFonts w:eastAsia="SimSun"/>
          <w:b/>
          <w:color w:val="000000" w:themeColor="text1"/>
          <w:kern w:val="1"/>
          <w:lang w:val="en-US" w:eastAsia="hi-IN" w:bidi="hi-IN"/>
        </w:rPr>
      </w:pPr>
    </w:p>
    <w:p w14:paraId="01919323" w14:textId="77777777" w:rsidR="00B76773" w:rsidRDefault="00B76773" w:rsidP="00ED5956">
      <w:pPr>
        <w:widowControl w:val="0"/>
        <w:suppressAutoHyphens/>
        <w:spacing w:line="360" w:lineRule="auto"/>
        <w:jc w:val="center"/>
        <w:rPr>
          <w:rFonts w:eastAsia="SimSun"/>
          <w:b/>
          <w:color w:val="000000" w:themeColor="text1"/>
          <w:kern w:val="1"/>
          <w:lang w:val="en-US" w:eastAsia="hi-IN" w:bidi="hi-IN"/>
        </w:rPr>
      </w:pPr>
    </w:p>
    <w:p w14:paraId="6B485ADE" w14:textId="77777777" w:rsidR="003E02A6" w:rsidRPr="00686410" w:rsidRDefault="003E02A6" w:rsidP="00ED5956">
      <w:pPr>
        <w:widowControl w:val="0"/>
        <w:suppressAutoHyphens/>
        <w:spacing w:line="360" w:lineRule="auto"/>
        <w:jc w:val="center"/>
        <w:rPr>
          <w:rFonts w:eastAsia="SimSun"/>
          <w:b/>
          <w:color w:val="000000" w:themeColor="text1"/>
          <w:kern w:val="1"/>
          <w:lang w:val="en-US" w:eastAsia="hi-IN" w:bidi="hi-IN"/>
        </w:rPr>
      </w:pPr>
    </w:p>
    <w:p w14:paraId="4623FE74" w14:textId="5601A802" w:rsidR="00B22AA1" w:rsidRDefault="00284B7F" w:rsidP="00ED5956">
      <w:pPr>
        <w:widowControl w:val="0"/>
        <w:suppressAutoHyphens/>
        <w:spacing w:line="360" w:lineRule="auto"/>
        <w:jc w:val="center"/>
        <w:rPr>
          <w:rFonts w:eastAsia="SimSun"/>
          <w:b/>
          <w:color w:val="000000" w:themeColor="text1"/>
          <w:kern w:val="1"/>
          <w:lang w:eastAsia="hi-IN" w:bidi="hi-IN"/>
        </w:rPr>
      </w:pPr>
      <w:r w:rsidRPr="00AB2C18">
        <w:rPr>
          <w:rFonts w:eastAsia="SimSun"/>
          <w:b/>
          <w:color w:val="000000" w:themeColor="text1"/>
          <w:kern w:val="1"/>
          <w:lang w:eastAsia="hi-IN" w:bidi="hi-IN"/>
        </w:rPr>
        <w:lastRenderedPageBreak/>
        <w:t>LIST</w:t>
      </w:r>
      <w:r>
        <w:rPr>
          <w:rFonts w:eastAsia="SimSun"/>
          <w:b/>
          <w:color w:val="000000" w:themeColor="text1"/>
          <w:kern w:val="1"/>
          <w:lang w:eastAsia="hi-IN" w:bidi="hi-IN"/>
        </w:rPr>
        <w:t>A</w:t>
      </w:r>
      <w:r w:rsidRPr="00AB2C18">
        <w:rPr>
          <w:rFonts w:eastAsia="SimSun"/>
          <w:b/>
          <w:color w:val="000000" w:themeColor="text1"/>
          <w:kern w:val="1"/>
          <w:lang w:eastAsia="hi-IN" w:bidi="hi-IN"/>
        </w:rPr>
        <w:t xml:space="preserve"> DE ILUSTRAÇÕES</w:t>
      </w:r>
    </w:p>
    <w:p w14:paraId="1897426D" w14:textId="77777777" w:rsidR="002A4F84" w:rsidRDefault="002A4F84" w:rsidP="00284B7F">
      <w:pPr>
        <w:widowControl w:val="0"/>
        <w:suppressAutoHyphens/>
        <w:spacing w:line="360" w:lineRule="auto"/>
        <w:jc w:val="both"/>
        <w:rPr>
          <w:rFonts w:eastAsia="SimSun"/>
          <w:b/>
          <w:color w:val="000000" w:themeColor="text1"/>
          <w:kern w:val="1"/>
          <w:lang w:eastAsia="hi-IN" w:bidi="hi-IN"/>
        </w:rPr>
      </w:pPr>
    </w:p>
    <w:p w14:paraId="39D262DF" w14:textId="5727E598" w:rsidR="00B22AA1" w:rsidRDefault="00B22AA1" w:rsidP="00284B7F">
      <w:pPr>
        <w:widowControl w:val="0"/>
        <w:suppressAutoHyphens/>
        <w:spacing w:line="360" w:lineRule="auto"/>
        <w:jc w:val="both"/>
        <w:rPr>
          <w:rFonts w:eastAsia="SimSun"/>
          <w:b/>
          <w:color w:val="000000" w:themeColor="text1"/>
          <w:kern w:val="1"/>
          <w:lang w:eastAsia="hi-IN" w:bidi="hi-IN"/>
        </w:rPr>
      </w:pPr>
    </w:p>
    <w:tbl>
      <w:tblPr>
        <w:tblW w:w="9080" w:type="dxa"/>
        <w:tblCellMar>
          <w:left w:w="70" w:type="dxa"/>
          <w:right w:w="70" w:type="dxa"/>
        </w:tblCellMar>
        <w:tblLook w:val="04A0" w:firstRow="1" w:lastRow="0" w:firstColumn="1" w:lastColumn="0" w:noHBand="0" w:noVBand="1"/>
      </w:tblPr>
      <w:tblGrid>
        <w:gridCol w:w="1980"/>
        <w:gridCol w:w="6425"/>
        <w:gridCol w:w="675"/>
      </w:tblGrid>
      <w:tr w:rsidR="00E44DCC" w14:paraId="64371375" w14:textId="26D5F7C4" w:rsidTr="005F6663">
        <w:trPr>
          <w:trHeight w:val="340"/>
        </w:trPr>
        <w:tc>
          <w:tcPr>
            <w:tcW w:w="1980" w:type="dxa"/>
            <w:shd w:val="clear" w:color="auto" w:fill="auto"/>
            <w:noWrap/>
            <w:vAlign w:val="center"/>
            <w:hideMark/>
          </w:tcPr>
          <w:p w14:paraId="1B6066EC" w14:textId="2AC51738" w:rsidR="00E44DCC" w:rsidRDefault="00E44DCC" w:rsidP="003E02A6">
            <w:pPr>
              <w:spacing w:line="360" w:lineRule="auto"/>
              <w:ind w:left="209"/>
              <w:rPr>
                <w:b/>
                <w:bCs/>
                <w:color w:val="000000"/>
              </w:rPr>
            </w:pPr>
            <w:r>
              <w:rPr>
                <w:b/>
                <w:bCs/>
                <w:color w:val="000000"/>
              </w:rPr>
              <w:t xml:space="preserve">Figura 1 </w:t>
            </w:r>
          </w:p>
        </w:tc>
        <w:tc>
          <w:tcPr>
            <w:tcW w:w="6425" w:type="dxa"/>
            <w:shd w:val="clear" w:color="auto" w:fill="auto"/>
            <w:noWrap/>
            <w:vAlign w:val="center"/>
            <w:hideMark/>
          </w:tcPr>
          <w:p w14:paraId="5C592D98" w14:textId="672F6EDA" w:rsidR="00E44DCC" w:rsidRDefault="00BC3558" w:rsidP="00E44DCC">
            <w:pPr>
              <w:spacing w:line="360" w:lineRule="auto"/>
              <w:ind w:left="165"/>
              <w:rPr>
                <w:color w:val="000000"/>
              </w:rPr>
            </w:pPr>
            <w:r>
              <w:rPr>
                <w:color w:val="000000"/>
              </w:rPr>
              <w:t>Eixo Hipotálamo-Hipófise-</w:t>
            </w:r>
            <w:r w:rsidR="00E44DCC">
              <w:rPr>
                <w:color w:val="000000"/>
              </w:rPr>
              <w:t>Tireoide</w:t>
            </w:r>
          </w:p>
        </w:tc>
        <w:tc>
          <w:tcPr>
            <w:tcW w:w="675" w:type="dxa"/>
            <w:shd w:val="clear" w:color="auto" w:fill="auto"/>
            <w:vAlign w:val="center"/>
          </w:tcPr>
          <w:p w14:paraId="798EEA13" w14:textId="4CEA53D9" w:rsidR="00E44DCC" w:rsidRDefault="001D5486" w:rsidP="00E44DCC">
            <w:pPr>
              <w:spacing w:line="360" w:lineRule="auto"/>
              <w:rPr>
                <w:color w:val="000000"/>
              </w:rPr>
            </w:pPr>
            <w:r>
              <w:rPr>
                <w:color w:val="000000"/>
              </w:rPr>
              <w:t>20</w:t>
            </w:r>
          </w:p>
        </w:tc>
      </w:tr>
      <w:tr w:rsidR="00E44DCC" w14:paraId="6B070AA1" w14:textId="60D7EEB9" w:rsidTr="005F6663">
        <w:trPr>
          <w:trHeight w:val="600"/>
        </w:trPr>
        <w:tc>
          <w:tcPr>
            <w:tcW w:w="1980" w:type="dxa"/>
            <w:shd w:val="clear" w:color="auto" w:fill="auto"/>
            <w:noWrap/>
            <w:vAlign w:val="center"/>
            <w:hideMark/>
          </w:tcPr>
          <w:p w14:paraId="2FF25748" w14:textId="22A76239" w:rsidR="00E44DCC" w:rsidRDefault="00E44DCC" w:rsidP="005F6663">
            <w:pPr>
              <w:spacing w:line="360" w:lineRule="auto"/>
              <w:ind w:left="209"/>
              <w:rPr>
                <w:b/>
                <w:bCs/>
                <w:color w:val="000000"/>
              </w:rPr>
            </w:pPr>
            <w:r>
              <w:rPr>
                <w:b/>
                <w:bCs/>
                <w:color w:val="000000"/>
              </w:rPr>
              <w:t>Gráfico 1</w:t>
            </w:r>
          </w:p>
        </w:tc>
        <w:tc>
          <w:tcPr>
            <w:tcW w:w="6425" w:type="dxa"/>
            <w:shd w:val="clear" w:color="auto" w:fill="auto"/>
            <w:noWrap/>
            <w:vAlign w:val="center"/>
            <w:hideMark/>
          </w:tcPr>
          <w:p w14:paraId="7F0B2E95" w14:textId="6B199086" w:rsidR="00E44DCC" w:rsidRDefault="005F6663" w:rsidP="005F6663">
            <w:pPr>
              <w:ind w:left="164"/>
              <w:rPr>
                <w:color w:val="000000"/>
              </w:rPr>
            </w:pPr>
            <w:r w:rsidRPr="00F85264">
              <w:rPr>
                <w:sz w:val="22"/>
                <w:szCs w:val="22"/>
              </w:rPr>
              <w:t xml:space="preserve">Análise da associação entre a função tireoidiana e genotipagem para o polimorfismo rs12885300 do gene </w:t>
            </w:r>
            <w:r w:rsidRPr="00A322DB">
              <w:rPr>
                <w:i/>
                <w:sz w:val="22"/>
                <w:szCs w:val="22"/>
              </w:rPr>
              <w:t>DIO2</w:t>
            </w:r>
            <w:r w:rsidRPr="00F85264">
              <w:rPr>
                <w:sz w:val="22"/>
                <w:szCs w:val="22"/>
              </w:rPr>
              <w:t>. Comparação entre indivíduos portadores de alelos selvagem (C/C) e polimórfico (C/T + T/T).</w:t>
            </w:r>
          </w:p>
        </w:tc>
        <w:tc>
          <w:tcPr>
            <w:tcW w:w="675" w:type="dxa"/>
            <w:shd w:val="clear" w:color="auto" w:fill="auto"/>
            <w:vAlign w:val="center"/>
          </w:tcPr>
          <w:p w14:paraId="56EE206C" w14:textId="1FE89445" w:rsidR="00E44DCC" w:rsidRDefault="005F6663" w:rsidP="00E44DCC">
            <w:pPr>
              <w:spacing w:line="360" w:lineRule="auto"/>
              <w:rPr>
                <w:color w:val="000000"/>
              </w:rPr>
            </w:pPr>
            <w:r>
              <w:rPr>
                <w:color w:val="000000"/>
              </w:rPr>
              <w:t>47</w:t>
            </w:r>
          </w:p>
        </w:tc>
      </w:tr>
      <w:tr w:rsidR="00E44DCC" w14:paraId="68EC61D5" w14:textId="1528AFED" w:rsidTr="005F6663">
        <w:trPr>
          <w:trHeight w:val="340"/>
        </w:trPr>
        <w:tc>
          <w:tcPr>
            <w:tcW w:w="1980" w:type="dxa"/>
            <w:shd w:val="clear" w:color="auto" w:fill="auto"/>
            <w:noWrap/>
            <w:vAlign w:val="center"/>
            <w:hideMark/>
          </w:tcPr>
          <w:p w14:paraId="082FB01D" w14:textId="0A6FFAE1" w:rsidR="00E44DCC" w:rsidRDefault="00E44DCC" w:rsidP="003E02A6">
            <w:pPr>
              <w:spacing w:line="360" w:lineRule="auto"/>
              <w:ind w:left="209"/>
              <w:rPr>
                <w:b/>
                <w:bCs/>
                <w:color w:val="000000"/>
              </w:rPr>
            </w:pPr>
            <w:r>
              <w:rPr>
                <w:b/>
                <w:bCs/>
                <w:color w:val="000000"/>
              </w:rPr>
              <w:t>Gráfico 2</w:t>
            </w:r>
          </w:p>
        </w:tc>
        <w:tc>
          <w:tcPr>
            <w:tcW w:w="6425" w:type="dxa"/>
            <w:shd w:val="clear" w:color="auto" w:fill="auto"/>
            <w:noWrap/>
            <w:vAlign w:val="center"/>
            <w:hideMark/>
          </w:tcPr>
          <w:p w14:paraId="2883F21F" w14:textId="283B8411" w:rsidR="00E44DCC" w:rsidRDefault="005F6663" w:rsidP="005F6663">
            <w:pPr>
              <w:ind w:left="164"/>
              <w:rPr>
                <w:color w:val="000000"/>
              </w:rPr>
            </w:pPr>
            <w:r w:rsidRPr="00F85264">
              <w:rPr>
                <w:sz w:val="22"/>
                <w:szCs w:val="22"/>
              </w:rPr>
              <w:t xml:space="preserve">Análise da associação entre a função tireoidiana e genotipagem para o polimorfismo rs225014 do gene </w:t>
            </w:r>
            <w:r w:rsidRPr="00A37AE3">
              <w:rPr>
                <w:i/>
                <w:sz w:val="22"/>
                <w:szCs w:val="22"/>
              </w:rPr>
              <w:t>DIO2</w:t>
            </w:r>
            <w:r w:rsidRPr="00F85264">
              <w:rPr>
                <w:sz w:val="22"/>
                <w:szCs w:val="22"/>
              </w:rPr>
              <w:t>. Comparação entre indivíduos portadores de alelos selvagem (T/T) e polimórfico (C/C + CT)</w:t>
            </w:r>
          </w:p>
        </w:tc>
        <w:tc>
          <w:tcPr>
            <w:tcW w:w="675" w:type="dxa"/>
            <w:shd w:val="clear" w:color="auto" w:fill="auto"/>
            <w:vAlign w:val="center"/>
          </w:tcPr>
          <w:p w14:paraId="54F1DA9B" w14:textId="388CDB95" w:rsidR="00E44DCC" w:rsidRDefault="005F6663" w:rsidP="00E44DCC">
            <w:pPr>
              <w:spacing w:line="360" w:lineRule="auto"/>
              <w:rPr>
                <w:color w:val="000000"/>
              </w:rPr>
            </w:pPr>
            <w:r>
              <w:rPr>
                <w:color w:val="000000"/>
              </w:rPr>
              <w:t>48</w:t>
            </w:r>
          </w:p>
        </w:tc>
      </w:tr>
      <w:tr w:rsidR="00E44DCC" w14:paraId="2D6B3571" w14:textId="1A5E6114" w:rsidTr="005F6663">
        <w:trPr>
          <w:trHeight w:val="340"/>
        </w:trPr>
        <w:tc>
          <w:tcPr>
            <w:tcW w:w="1980" w:type="dxa"/>
            <w:shd w:val="clear" w:color="auto" w:fill="auto"/>
            <w:noWrap/>
            <w:vAlign w:val="center"/>
            <w:hideMark/>
          </w:tcPr>
          <w:p w14:paraId="4F7208A9" w14:textId="04F838DF" w:rsidR="00E44DCC" w:rsidRDefault="00E44DCC" w:rsidP="003E02A6">
            <w:pPr>
              <w:spacing w:line="360" w:lineRule="auto"/>
              <w:ind w:left="209"/>
              <w:rPr>
                <w:b/>
                <w:bCs/>
                <w:color w:val="222222"/>
              </w:rPr>
            </w:pPr>
            <w:r>
              <w:rPr>
                <w:b/>
                <w:bCs/>
                <w:color w:val="222222"/>
              </w:rPr>
              <w:t>Gráfico 3</w:t>
            </w:r>
          </w:p>
        </w:tc>
        <w:tc>
          <w:tcPr>
            <w:tcW w:w="6425" w:type="dxa"/>
            <w:shd w:val="clear" w:color="auto" w:fill="auto"/>
            <w:noWrap/>
            <w:vAlign w:val="center"/>
            <w:hideMark/>
          </w:tcPr>
          <w:p w14:paraId="64C324E4" w14:textId="42076119" w:rsidR="00E44DCC" w:rsidRDefault="005F6663" w:rsidP="005F6663">
            <w:pPr>
              <w:ind w:left="164"/>
              <w:rPr>
                <w:color w:val="000000"/>
              </w:rPr>
            </w:pPr>
            <w:r w:rsidRPr="00F85264">
              <w:rPr>
                <w:sz w:val="22"/>
                <w:szCs w:val="22"/>
              </w:rPr>
              <w:t xml:space="preserve">Análise da associação entre a função tireoidiana e genotipagem para o polimorfismo rs978055 do gene </w:t>
            </w:r>
            <w:r w:rsidRPr="00F85264">
              <w:rPr>
                <w:i/>
                <w:iCs/>
                <w:sz w:val="22"/>
                <w:szCs w:val="22"/>
              </w:rPr>
              <w:t>DIO2.</w:t>
            </w:r>
            <w:r w:rsidRPr="00F85264">
              <w:rPr>
                <w:sz w:val="22"/>
                <w:szCs w:val="22"/>
              </w:rPr>
              <w:t xml:space="preserve"> Comparação entre indivíduos portadores de alelos selvagem (T/T) e polimórfico (A/A + A/T)</w:t>
            </w:r>
          </w:p>
        </w:tc>
        <w:tc>
          <w:tcPr>
            <w:tcW w:w="675" w:type="dxa"/>
            <w:shd w:val="clear" w:color="auto" w:fill="auto"/>
            <w:vAlign w:val="center"/>
          </w:tcPr>
          <w:p w14:paraId="31BEF8A9" w14:textId="0ED0A5AB" w:rsidR="00E44DCC" w:rsidRDefault="005F6663" w:rsidP="00E44DCC">
            <w:pPr>
              <w:spacing w:line="360" w:lineRule="auto"/>
              <w:rPr>
                <w:color w:val="000000"/>
              </w:rPr>
            </w:pPr>
            <w:r>
              <w:rPr>
                <w:color w:val="000000"/>
              </w:rPr>
              <w:t>49</w:t>
            </w:r>
          </w:p>
        </w:tc>
      </w:tr>
      <w:tr w:rsidR="00E44DCC" w14:paraId="2FF39CCE" w14:textId="7BDC89C4" w:rsidTr="005F6663">
        <w:trPr>
          <w:trHeight w:val="340"/>
        </w:trPr>
        <w:tc>
          <w:tcPr>
            <w:tcW w:w="1980" w:type="dxa"/>
            <w:shd w:val="clear" w:color="auto" w:fill="auto"/>
            <w:noWrap/>
            <w:vAlign w:val="center"/>
            <w:hideMark/>
          </w:tcPr>
          <w:p w14:paraId="04EDF823" w14:textId="41AA8027" w:rsidR="00E44DCC" w:rsidRDefault="00E44DCC" w:rsidP="003E02A6">
            <w:pPr>
              <w:spacing w:line="360" w:lineRule="auto"/>
              <w:ind w:left="209"/>
              <w:rPr>
                <w:b/>
                <w:bCs/>
                <w:color w:val="000000"/>
              </w:rPr>
            </w:pPr>
            <w:r>
              <w:rPr>
                <w:b/>
                <w:bCs/>
                <w:color w:val="000000"/>
              </w:rPr>
              <w:t xml:space="preserve">Gráfico 4                        </w:t>
            </w:r>
          </w:p>
        </w:tc>
        <w:tc>
          <w:tcPr>
            <w:tcW w:w="6425" w:type="dxa"/>
            <w:shd w:val="clear" w:color="auto" w:fill="auto"/>
            <w:noWrap/>
            <w:vAlign w:val="center"/>
            <w:hideMark/>
          </w:tcPr>
          <w:p w14:paraId="38550027" w14:textId="285F2E3F" w:rsidR="00E44DCC" w:rsidRDefault="005F6663" w:rsidP="005F6663">
            <w:pPr>
              <w:ind w:left="164"/>
              <w:rPr>
                <w:color w:val="000000"/>
              </w:rPr>
            </w:pPr>
            <w:r w:rsidRPr="00F85264">
              <w:rPr>
                <w:sz w:val="22"/>
                <w:szCs w:val="22"/>
              </w:rPr>
              <w:t xml:space="preserve">Análise da associação entre a função tireoidiana e genotipagem para o polimorfismo rs2235544 do gene </w:t>
            </w:r>
            <w:r w:rsidRPr="00F85264">
              <w:rPr>
                <w:i/>
                <w:iCs/>
                <w:sz w:val="22"/>
                <w:szCs w:val="22"/>
              </w:rPr>
              <w:t>DIO1.</w:t>
            </w:r>
            <w:r w:rsidRPr="00F85264">
              <w:rPr>
                <w:sz w:val="22"/>
                <w:szCs w:val="22"/>
              </w:rPr>
              <w:t xml:space="preserve"> Comparação entre indivíduos portadores de alelos selvagem (C/C) e polimórfico (A/A + A/C)</w:t>
            </w:r>
          </w:p>
        </w:tc>
        <w:tc>
          <w:tcPr>
            <w:tcW w:w="675" w:type="dxa"/>
            <w:shd w:val="clear" w:color="auto" w:fill="auto"/>
            <w:vAlign w:val="center"/>
          </w:tcPr>
          <w:p w14:paraId="569E242E" w14:textId="75704FFC" w:rsidR="00E44DCC" w:rsidRDefault="005F6663" w:rsidP="00E44DCC">
            <w:pPr>
              <w:spacing w:line="360" w:lineRule="auto"/>
              <w:rPr>
                <w:color w:val="000000"/>
              </w:rPr>
            </w:pPr>
            <w:r>
              <w:rPr>
                <w:color w:val="000000"/>
              </w:rPr>
              <w:t>50</w:t>
            </w:r>
          </w:p>
        </w:tc>
      </w:tr>
      <w:tr w:rsidR="00E44DCC" w14:paraId="534A9C41" w14:textId="7E002082" w:rsidTr="005F6663">
        <w:trPr>
          <w:trHeight w:val="340"/>
        </w:trPr>
        <w:tc>
          <w:tcPr>
            <w:tcW w:w="1980" w:type="dxa"/>
            <w:shd w:val="clear" w:color="auto" w:fill="auto"/>
            <w:noWrap/>
            <w:vAlign w:val="center"/>
            <w:hideMark/>
          </w:tcPr>
          <w:p w14:paraId="2FD34D00" w14:textId="45033A66" w:rsidR="00E44DCC" w:rsidRDefault="00E44DCC" w:rsidP="003E02A6">
            <w:pPr>
              <w:spacing w:line="360" w:lineRule="auto"/>
              <w:ind w:left="209"/>
              <w:rPr>
                <w:b/>
                <w:bCs/>
                <w:color w:val="000000"/>
              </w:rPr>
            </w:pPr>
            <w:r>
              <w:rPr>
                <w:b/>
                <w:bCs/>
                <w:color w:val="000000"/>
              </w:rPr>
              <w:t>Gráfico 5</w:t>
            </w:r>
          </w:p>
        </w:tc>
        <w:tc>
          <w:tcPr>
            <w:tcW w:w="6425" w:type="dxa"/>
            <w:shd w:val="clear" w:color="auto" w:fill="auto"/>
            <w:noWrap/>
            <w:vAlign w:val="center"/>
            <w:hideMark/>
          </w:tcPr>
          <w:p w14:paraId="583DBB63" w14:textId="5328E665" w:rsidR="00E44DCC" w:rsidRDefault="005F6663" w:rsidP="005F6663">
            <w:pPr>
              <w:ind w:left="164"/>
              <w:rPr>
                <w:color w:val="000000"/>
              </w:rPr>
            </w:pPr>
            <w:r w:rsidRPr="00F85264">
              <w:rPr>
                <w:sz w:val="22"/>
                <w:szCs w:val="22"/>
              </w:rPr>
              <w:t xml:space="preserve">Análise da associação entre a função tireoidiana e genotipagem para o polimorfismo rs1571583 do gene </w:t>
            </w:r>
            <w:r w:rsidRPr="00F85264">
              <w:rPr>
                <w:i/>
                <w:iCs/>
                <w:sz w:val="22"/>
                <w:szCs w:val="22"/>
              </w:rPr>
              <w:t>GLIS3.</w:t>
            </w:r>
            <w:r w:rsidRPr="00F85264">
              <w:rPr>
                <w:sz w:val="22"/>
                <w:szCs w:val="22"/>
              </w:rPr>
              <w:t xml:space="preserve"> Comparação entre indivíduos portadores de alelos selvagem (A/A) e polimórfico (G/G + A/G).</w:t>
            </w:r>
          </w:p>
        </w:tc>
        <w:tc>
          <w:tcPr>
            <w:tcW w:w="675" w:type="dxa"/>
            <w:shd w:val="clear" w:color="auto" w:fill="auto"/>
            <w:vAlign w:val="center"/>
          </w:tcPr>
          <w:p w14:paraId="65EC1FB3" w14:textId="70B95F98" w:rsidR="00E44DCC" w:rsidRDefault="005F6663" w:rsidP="00E44DCC">
            <w:pPr>
              <w:spacing w:line="360" w:lineRule="auto"/>
              <w:rPr>
                <w:color w:val="000000"/>
              </w:rPr>
            </w:pPr>
            <w:r>
              <w:rPr>
                <w:color w:val="000000"/>
              </w:rPr>
              <w:t>51</w:t>
            </w:r>
          </w:p>
        </w:tc>
      </w:tr>
      <w:tr w:rsidR="00E44DCC" w14:paraId="5E5A9ECE" w14:textId="4E9F0782" w:rsidTr="005F6663">
        <w:trPr>
          <w:trHeight w:val="340"/>
        </w:trPr>
        <w:tc>
          <w:tcPr>
            <w:tcW w:w="1980" w:type="dxa"/>
            <w:shd w:val="clear" w:color="auto" w:fill="auto"/>
            <w:noWrap/>
            <w:vAlign w:val="center"/>
            <w:hideMark/>
          </w:tcPr>
          <w:p w14:paraId="70595AE7" w14:textId="27E439EA" w:rsidR="00E44DCC" w:rsidRDefault="00E44DCC" w:rsidP="003E02A6">
            <w:pPr>
              <w:spacing w:line="360" w:lineRule="auto"/>
              <w:ind w:left="209"/>
              <w:rPr>
                <w:b/>
                <w:bCs/>
                <w:color w:val="000000"/>
              </w:rPr>
            </w:pPr>
            <w:r>
              <w:rPr>
                <w:b/>
                <w:bCs/>
                <w:color w:val="000000"/>
              </w:rPr>
              <w:t xml:space="preserve">Gráfico 6                         </w:t>
            </w:r>
          </w:p>
        </w:tc>
        <w:tc>
          <w:tcPr>
            <w:tcW w:w="6425" w:type="dxa"/>
            <w:shd w:val="clear" w:color="auto" w:fill="auto"/>
            <w:noWrap/>
            <w:vAlign w:val="center"/>
            <w:hideMark/>
          </w:tcPr>
          <w:p w14:paraId="2F014256" w14:textId="7FCE10B7" w:rsidR="00E44DCC" w:rsidRDefault="005F6663" w:rsidP="005F6663">
            <w:pPr>
              <w:ind w:left="164"/>
              <w:rPr>
                <w:color w:val="000000"/>
              </w:rPr>
            </w:pPr>
            <w:r w:rsidRPr="00F85264">
              <w:rPr>
                <w:sz w:val="22"/>
                <w:szCs w:val="22"/>
              </w:rPr>
              <w:t xml:space="preserve">Análise da associação entre a função tireoidiana e genotipagem para o polimorfismo rs9356988 do gene </w:t>
            </w:r>
            <w:r w:rsidRPr="00F85264">
              <w:rPr>
                <w:i/>
                <w:iCs/>
                <w:sz w:val="22"/>
                <w:szCs w:val="22"/>
              </w:rPr>
              <w:t>SLC17A4.</w:t>
            </w:r>
            <w:r w:rsidRPr="00F85264">
              <w:rPr>
                <w:sz w:val="22"/>
                <w:szCs w:val="22"/>
              </w:rPr>
              <w:t xml:space="preserve"> Comparação entre indivíduos portadores de alelos selvagem (G/G) e polimórfico (A/A + A/G)</w:t>
            </w:r>
          </w:p>
        </w:tc>
        <w:tc>
          <w:tcPr>
            <w:tcW w:w="675" w:type="dxa"/>
            <w:shd w:val="clear" w:color="auto" w:fill="auto"/>
            <w:vAlign w:val="center"/>
          </w:tcPr>
          <w:p w14:paraId="45EFDECB" w14:textId="12953D89" w:rsidR="00E44DCC" w:rsidRDefault="005F6663" w:rsidP="00E44DCC">
            <w:pPr>
              <w:spacing w:line="360" w:lineRule="auto"/>
              <w:rPr>
                <w:color w:val="000000"/>
              </w:rPr>
            </w:pPr>
            <w:r>
              <w:rPr>
                <w:color w:val="000000"/>
              </w:rPr>
              <w:t>52</w:t>
            </w:r>
          </w:p>
        </w:tc>
      </w:tr>
      <w:tr w:rsidR="00E44DCC" w14:paraId="42B4B550" w14:textId="12BE6F56" w:rsidTr="005F6663">
        <w:trPr>
          <w:trHeight w:val="340"/>
        </w:trPr>
        <w:tc>
          <w:tcPr>
            <w:tcW w:w="1980" w:type="dxa"/>
            <w:shd w:val="clear" w:color="auto" w:fill="auto"/>
            <w:noWrap/>
            <w:vAlign w:val="center"/>
            <w:hideMark/>
          </w:tcPr>
          <w:p w14:paraId="558B1C34" w14:textId="798E9E32" w:rsidR="00E44DCC" w:rsidRDefault="00E44DCC" w:rsidP="003E02A6">
            <w:pPr>
              <w:spacing w:line="360" w:lineRule="auto"/>
              <w:ind w:left="209"/>
              <w:rPr>
                <w:b/>
                <w:bCs/>
                <w:color w:val="000000"/>
              </w:rPr>
            </w:pPr>
            <w:r>
              <w:rPr>
                <w:b/>
                <w:bCs/>
                <w:color w:val="000000"/>
              </w:rPr>
              <w:t>Gráfico 7</w:t>
            </w:r>
          </w:p>
        </w:tc>
        <w:tc>
          <w:tcPr>
            <w:tcW w:w="6425" w:type="dxa"/>
            <w:shd w:val="clear" w:color="auto" w:fill="auto"/>
            <w:noWrap/>
            <w:vAlign w:val="center"/>
            <w:hideMark/>
          </w:tcPr>
          <w:p w14:paraId="54C5C8C9" w14:textId="54312FC8" w:rsidR="00E44DCC" w:rsidRDefault="005F6663" w:rsidP="005F6663">
            <w:pPr>
              <w:ind w:left="164"/>
              <w:rPr>
                <w:color w:val="000000"/>
              </w:rPr>
            </w:pPr>
            <w:r w:rsidRPr="00F85264">
              <w:rPr>
                <w:sz w:val="22"/>
                <w:szCs w:val="22"/>
              </w:rPr>
              <w:t>Análise da associação entre a função tireoidiana e genotipagem para o polimorfismo rs7045138 do gene</w:t>
            </w:r>
            <w:r w:rsidRPr="00F85264">
              <w:rPr>
                <w:i/>
                <w:iCs/>
                <w:sz w:val="22"/>
                <w:szCs w:val="22"/>
              </w:rPr>
              <w:t xml:space="preserve"> PTCSC2.</w:t>
            </w:r>
            <w:r w:rsidRPr="00F85264">
              <w:rPr>
                <w:sz w:val="22"/>
                <w:szCs w:val="22"/>
              </w:rPr>
              <w:t xml:space="preserve"> Comparação entre indivíduos portadores de alelos selvagem (C/C) e polimórfico (T/T + C/T)</w:t>
            </w:r>
          </w:p>
        </w:tc>
        <w:tc>
          <w:tcPr>
            <w:tcW w:w="675" w:type="dxa"/>
            <w:shd w:val="clear" w:color="auto" w:fill="auto"/>
            <w:vAlign w:val="center"/>
          </w:tcPr>
          <w:p w14:paraId="2EC1F75B" w14:textId="0266793B" w:rsidR="00E44DCC" w:rsidRDefault="005F6663" w:rsidP="00E44DCC">
            <w:pPr>
              <w:spacing w:line="360" w:lineRule="auto"/>
              <w:rPr>
                <w:color w:val="000000"/>
              </w:rPr>
            </w:pPr>
            <w:r>
              <w:rPr>
                <w:color w:val="000000"/>
              </w:rPr>
              <w:t>53</w:t>
            </w:r>
          </w:p>
        </w:tc>
      </w:tr>
      <w:tr w:rsidR="00E44DCC" w14:paraId="2B15C741" w14:textId="1A480553" w:rsidTr="005F6663">
        <w:trPr>
          <w:trHeight w:val="340"/>
        </w:trPr>
        <w:tc>
          <w:tcPr>
            <w:tcW w:w="1980" w:type="dxa"/>
            <w:shd w:val="clear" w:color="auto" w:fill="auto"/>
            <w:noWrap/>
            <w:vAlign w:val="center"/>
            <w:hideMark/>
          </w:tcPr>
          <w:p w14:paraId="299CA64A" w14:textId="6F57DC59" w:rsidR="00E44DCC" w:rsidRDefault="00E44DCC" w:rsidP="003E02A6">
            <w:pPr>
              <w:spacing w:line="360" w:lineRule="auto"/>
              <w:ind w:left="209"/>
              <w:rPr>
                <w:b/>
                <w:bCs/>
                <w:color w:val="000000"/>
              </w:rPr>
            </w:pPr>
            <w:r>
              <w:rPr>
                <w:b/>
                <w:bCs/>
                <w:color w:val="000000"/>
              </w:rPr>
              <w:t>Gráfico 8</w:t>
            </w:r>
          </w:p>
        </w:tc>
        <w:tc>
          <w:tcPr>
            <w:tcW w:w="6425" w:type="dxa"/>
            <w:shd w:val="clear" w:color="auto" w:fill="auto"/>
            <w:noWrap/>
            <w:vAlign w:val="center"/>
            <w:hideMark/>
          </w:tcPr>
          <w:p w14:paraId="79A431C2" w14:textId="46E02A45" w:rsidR="00E44DCC" w:rsidRDefault="005F6663" w:rsidP="005F6663">
            <w:pPr>
              <w:ind w:left="164"/>
              <w:rPr>
                <w:color w:val="000000"/>
              </w:rPr>
            </w:pPr>
            <w:r w:rsidRPr="00F85264">
              <w:rPr>
                <w:sz w:val="22"/>
                <w:szCs w:val="22"/>
              </w:rPr>
              <w:t>Análise da associação entre a função tireoidiana e genotipagem para o polimorfismo rs753760 do gene</w:t>
            </w:r>
            <w:r w:rsidRPr="00F85264">
              <w:rPr>
                <w:i/>
                <w:iCs/>
                <w:sz w:val="22"/>
                <w:szCs w:val="22"/>
              </w:rPr>
              <w:t xml:space="preserve"> PTCSC2.</w:t>
            </w:r>
            <w:r w:rsidRPr="00F85264">
              <w:rPr>
                <w:sz w:val="22"/>
                <w:szCs w:val="22"/>
              </w:rPr>
              <w:t xml:space="preserve"> Comparação entre indivíduos portadores de alelos selvagem (C/C) e polimórfico (G/G + C/G)</w:t>
            </w:r>
          </w:p>
        </w:tc>
        <w:tc>
          <w:tcPr>
            <w:tcW w:w="675" w:type="dxa"/>
            <w:shd w:val="clear" w:color="auto" w:fill="auto"/>
            <w:vAlign w:val="center"/>
          </w:tcPr>
          <w:p w14:paraId="5800F753" w14:textId="30457259" w:rsidR="00E44DCC" w:rsidRDefault="005F6663" w:rsidP="00E44DCC">
            <w:pPr>
              <w:spacing w:line="360" w:lineRule="auto"/>
              <w:rPr>
                <w:color w:val="000000"/>
              </w:rPr>
            </w:pPr>
            <w:r>
              <w:rPr>
                <w:color w:val="000000"/>
              </w:rPr>
              <w:t>54</w:t>
            </w:r>
          </w:p>
        </w:tc>
      </w:tr>
    </w:tbl>
    <w:p w14:paraId="309FD73B" w14:textId="7F10B232" w:rsidR="00B22AA1" w:rsidRDefault="00B22AA1" w:rsidP="00284B7F">
      <w:pPr>
        <w:widowControl w:val="0"/>
        <w:suppressAutoHyphens/>
        <w:spacing w:line="360" w:lineRule="auto"/>
        <w:jc w:val="both"/>
        <w:rPr>
          <w:rFonts w:eastAsia="SimSun"/>
          <w:b/>
          <w:color w:val="000000" w:themeColor="text1"/>
          <w:kern w:val="1"/>
          <w:lang w:eastAsia="hi-IN" w:bidi="hi-IN"/>
        </w:rPr>
      </w:pPr>
    </w:p>
    <w:p w14:paraId="443A8162" w14:textId="39737872" w:rsidR="00C847F0" w:rsidRDefault="00C847F0" w:rsidP="00284B7F">
      <w:pPr>
        <w:widowControl w:val="0"/>
        <w:suppressAutoHyphens/>
        <w:spacing w:line="360" w:lineRule="auto"/>
        <w:jc w:val="both"/>
        <w:rPr>
          <w:rFonts w:eastAsia="SimSun"/>
          <w:b/>
          <w:color w:val="000000" w:themeColor="text1"/>
          <w:kern w:val="1"/>
          <w:lang w:eastAsia="hi-IN" w:bidi="hi-IN"/>
        </w:rPr>
      </w:pPr>
    </w:p>
    <w:p w14:paraId="1DE07AAB" w14:textId="47CEB003" w:rsidR="00405E02" w:rsidRDefault="00405E02" w:rsidP="00284B7F">
      <w:pPr>
        <w:widowControl w:val="0"/>
        <w:suppressAutoHyphens/>
        <w:spacing w:line="360" w:lineRule="auto"/>
        <w:jc w:val="both"/>
        <w:rPr>
          <w:rFonts w:eastAsia="SimSun"/>
          <w:b/>
          <w:color w:val="000000" w:themeColor="text1"/>
          <w:kern w:val="1"/>
          <w:lang w:eastAsia="hi-IN" w:bidi="hi-IN"/>
        </w:rPr>
      </w:pPr>
    </w:p>
    <w:p w14:paraId="5F433E47" w14:textId="31B905CE" w:rsidR="00405E02" w:rsidRDefault="00405E02" w:rsidP="00284B7F">
      <w:pPr>
        <w:widowControl w:val="0"/>
        <w:suppressAutoHyphens/>
        <w:spacing w:line="360" w:lineRule="auto"/>
        <w:jc w:val="both"/>
        <w:rPr>
          <w:rFonts w:eastAsia="SimSun"/>
          <w:b/>
          <w:color w:val="000000" w:themeColor="text1"/>
          <w:kern w:val="1"/>
          <w:lang w:eastAsia="hi-IN" w:bidi="hi-IN"/>
        </w:rPr>
      </w:pPr>
    </w:p>
    <w:p w14:paraId="22208BC6" w14:textId="559EFFE6" w:rsidR="00405E02" w:rsidRDefault="00405E02" w:rsidP="00284B7F">
      <w:pPr>
        <w:widowControl w:val="0"/>
        <w:suppressAutoHyphens/>
        <w:spacing w:line="360" w:lineRule="auto"/>
        <w:jc w:val="both"/>
        <w:rPr>
          <w:rFonts w:eastAsia="SimSun"/>
          <w:b/>
          <w:color w:val="000000" w:themeColor="text1"/>
          <w:kern w:val="1"/>
          <w:lang w:eastAsia="hi-IN" w:bidi="hi-IN"/>
        </w:rPr>
      </w:pPr>
    </w:p>
    <w:p w14:paraId="4FCBF3A5" w14:textId="5E4ED9A8" w:rsidR="00405E02" w:rsidRDefault="00405E02" w:rsidP="00284B7F">
      <w:pPr>
        <w:widowControl w:val="0"/>
        <w:suppressAutoHyphens/>
        <w:spacing w:line="360" w:lineRule="auto"/>
        <w:jc w:val="both"/>
        <w:rPr>
          <w:rFonts w:eastAsia="SimSun"/>
          <w:b/>
          <w:color w:val="000000" w:themeColor="text1"/>
          <w:kern w:val="1"/>
          <w:lang w:eastAsia="hi-IN" w:bidi="hi-IN"/>
        </w:rPr>
      </w:pPr>
    </w:p>
    <w:p w14:paraId="1200DE45" w14:textId="465BC78C" w:rsidR="00405E02" w:rsidRDefault="00405E02" w:rsidP="00284B7F">
      <w:pPr>
        <w:widowControl w:val="0"/>
        <w:suppressAutoHyphens/>
        <w:spacing w:line="360" w:lineRule="auto"/>
        <w:jc w:val="both"/>
        <w:rPr>
          <w:rFonts w:eastAsia="SimSun"/>
          <w:b/>
          <w:color w:val="000000" w:themeColor="text1"/>
          <w:kern w:val="1"/>
          <w:lang w:eastAsia="hi-IN" w:bidi="hi-IN"/>
        </w:rPr>
      </w:pPr>
    </w:p>
    <w:p w14:paraId="4A030E77" w14:textId="724EC571" w:rsidR="00405E02" w:rsidRDefault="00405E02" w:rsidP="00284B7F">
      <w:pPr>
        <w:widowControl w:val="0"/>
        <w:suppressAutoHyphens/>
        <w:spacing w:line="360" w:lineRule="auto"/>
        <w:jc w:val="both"/>
        <w:rPr>
          <w:rFonts w:eastAsia="SimSun"/>
          <w:b/>
          <w:color w:val="000000" w:themeColor="text1"/>
          <w:kern w:val="1"/>
          <w:lang w:eastAsia="hi-IN" w:bidi="hi-IN"/>
        </w:rPr>
      </w:pPr>
    </w:p>
    <w:p w14:paraId="52F97490" w14:textId="46F9A389" w:rsidR="00405E02" w:rsidRDefault="00405E02" w:rsidP="00284B7F">
      <w:pPr>
        <w:widowControl w:val="0"/>
        <w:suppressAutoHyphens/>
        <w:spacing w:line="360" w:lineRule="auto"/>
        <w:jc w:val="both"/>
        <w:rPr>
          <w:rFonts w:eastAsia="SimSun"/>
          <w:b/>
          <w:color w:val="000000" w:themeColor="text1"/>
          <w:kern w:val="1"/>
          <w:lang w:eastAsia="hi-IN" w:bidi="hi-IN"/>
        </w:rPr>
      </w:pPr>
    </w:p>
    <w:p w14:paraId="720395D5" w14:textId="0E980F22" w:rsidR="00405E02" w:rsidRDefault="00405E02" w:rsidP="00284B7F">
      <w:pPr>
        <w:widowControl w:val="0"/>
        <w:suppressAutoHyphens/>
        <w:spacing w:line="360" w:lineRule="auto"/>
        <w:jc w:val="both"/>
        <w:rPr>
          <w:rFonts w:eastAsia="SimSun"/>
          <w:b/>
          <w:color w:val="000000" w:themeColor="text1"/>
          <w:kern w:val="1"/>
          <w:lang w:eastAsia="hi-IN" w:bidi="hi-IN"/>
        </w:rPr>
      </w:pPr>
    </w:p>
    <w:p w14:paraId="4EFC671E" w14:textId="303C3D35" w:rsidR="00284B7F" w:rsidRDefault="00284B7F" w:rsidP="00ED5956">
      <w:pPr>
        <w:widowControl w:val="0"/>
        <w:suppressAutoHyphens/>
        <w:spacing w:line="360" w:lineRule="auto"/>
        <w:jc w:val="center"/>
        <w:rPr>
          <w:rFonts w:eastAsia="SimSun"/>
          <w:b/>
          <w:color w:val="000000" w:themeColor="text1"/>
          <w:kern w:val="1"/>
          <w:lang w:eastAsia="hi-IN" w:bidi="hi-IN"/>
        </w:rPr>
      </w:pPr>
      <w:r w:rsidRPr="00AB2C18">
        <w:rPr>
          <w:rFonts w:eastAsia="SimSun"/>
          <w:b/>
          <w:color w:val="000000" w:themeColor="text1"/>
          <w:kern w:val="1"/>
          <w:lang w:eastAsia="hi-IN" w:bidi="hi-IN"/>
        </w:rPr>
        <w:lastRenderedPageBreak/>
        <w:t>LISTA DE TABELAS</w:t>
      </w:r>
      <w:r w:rsidR="00D46D4C">
        <w:rPr>
          <w:rFonts w:eastAsia="SimSun"/>
          <w:b/>
          <w:color w:val="000000" w:themeColor="text1"/>
          <w:kern w:val="1"/>
          <w:lang w:eastAsia="hi-IN" w:bidi="hi-IN"/>
        </w:rPr>
        <w:t xml:space="preserve"> E QUADRO</w:t>
      </w:r>
    </w:p>
    <w:p w14:paraId="199C3000" w14:textId="7DDC0013" w:rsidR="00B22AA1" w:rsidRDefault="00B22AA1" w:rsidP="00284B7F">
      <w:pPr>
        <w:widowControl w:val="0"/>
        <w:suppressAutoHyphens/>
        <w:spacing w:line="360" w:lineRule="auto"/>
        <w:jc w:val="both"/>
        <w:rPr>
          <w:rFonts w:eastAsia="SimSun"/>
          <w:b/>
          <w:color w:val="000000" w:themeColor="text1"/>
          <w:kern w:val="1"/>
          <w:lang w:eastAsia="hi-IN" w:bidi="hi-IN"/>
        </w:rPr>
      </w:pPr>
    </w:p>
    <w:p w14:paraId="5A0B67A3" w14:textId="77777777" w:rsidR="007217C4" w:rsidRDefault="007217C4" w:rsidP="00284B7F">
      <w:pPr>
        <w:widowControl w:val="0"/>
        <w:suppressAutoHyphens/>
        <w:spacing w:line="360" w:lineRule="auto"/>
        <w:jc w:val="both"/>
        <w:rPr>
          <w:rFonts w:eastAsia="SimSun"/>
          <w:b/>
          <w:color w:val="000000" w:themeColor="text1"/>
          <w:kern w:val="1"/>
          <w:lang w:eastAsia="hi-IN" w:bidi="hi-IN"/>
        </w:rPr>
      </w:pPr>
    </w:p>
    <w:p w14:paraId="7BFBC6BE" w14:textId="77777777" w:rsidR="002A4F84" w:rsidRDefault="002A4F84" w:rsidP="00284B7F">
      <w:pPr>
        <w:widowControl w:val="0"/>
        <w:suppressAutoHyphens/>
        <w:spacing w:line="360" w:lineRule="auto"/>
        <w:jc w:val="both"/>
        <w:rPr>
          <w:rFonts w:eastAsia="SimSun"/>
          <w:b/>
          <w:color w:val="000000" w:themeColor="text1"/>
          <w:kern w:val="1"/>
          <w:lang w:eastAsia="hi-IN" w:bidi="hi-IN"/>
        </w:rPr>
      </w:pPr>
    </w:p>
    <w:tbl>
      <w:tblPr>
        <w:tblW w:w="9080" w:type="dxa"/>
        <w:tblCellMar>
          <w:left w:w="70" w:type="dxa"/>
          <w:right w:w="70" w:type="dxa"/>
        </w:tblCellMar>
        <w:tblLook w:val="04A0" w:firstRow="1" w:lastRow="0" w:firstColumn="1" w:lastColumn="0" w:noHBand="0" w:noVBand="1"/>
      </w:tblPr>
      <w:tblGrid>
        <w:gridCol w:w="1980"/>
        <w:gridCol w:w="6463"/>
        <w:gridCol w:w="637"/>
      </w:tblGrid>
      <w:tr w:rsidR="00E44DCC" w14:paraId="145C9B5C" w14:textId="45EEEA70" w:rsidTr="00C512F1">
        <w:trPr>
          <w:trHeight w:val="340"/>
        </w:trPr>
        <w:tc>
          <w:tcPr>
            <w:tcW w:w="1980" w:type="dxa"/>
            <w:shd w:val="clear" w:color="auto" w:fill="auto"/>
            <w:noWrap/>
            <w:vAlign w:val="center"/>
            <w:hideMark/>
          </w:tcPr>
          <w:p w14:paraId="2BDE3F63" w14:textId="77777777" w:rsidR="00E44DCC" w:rsidRDefault="00E44DCC" w:rsidP="005F6663">
            <w:pPr>
              <w:spacing w:line="360" w:lineRule="auto"/>
              <w:ind w:left="492" w:hanging="283"/>
              <w:rPr>
                <w:b/>
                <w:bCs/>
                <w:color w:val="000000"/>
              </w:rPr>
            </w:pPr>
            <w:r>
              <w:rPr>
                <w:b/>
                <w:bCs/>
                <w:color w:val="000000"/>
              </w:rPr>
              <w:t>Tabela 1</w:t>
            </w:r>
          </w:p>
        </w:tc>
        <w:tc>
          <w:tcPr>
            <w:tcW w:w="6463" w:type="dxa"/>
            <w:shd w:val="clear" w:color="auto" w:fill="auto"/>
            <w:noWrap/>
            <w:vAlign w:val="bottom"/>
            <w:hideMark/>
          </w:tcPr>
          <w:p w14:paraId="08327FC7" w14:textId="77777777" w:rsidR="00E44DCC" w:rsidRDefault="00E44DCC" w:rsidP="002A4F84">
            <w:pPr>
              <w:spacing w:line="360" w:lineRule="auto"/>
              <w:rPr>
                <w:color w:val="000000"/>
              </w:rPr>
            </w:pPr>
            <w:r>
              <w:rPr>
                <w:color w:val="000000"/>
              </w:rPr>
              <w:t>Estado nutricional segundo critérios da MNA</w:t>
            </w:r>
          </w:p>
        </w:tc>
        <w:tc>
          <w:tcPr>
            <w:tcW w:w="637" w:type="dxa"/>
            <w:shd w:val="clear" w:color="auto" w:fill="auto"/>
            <w:vAlign w:val="bottom"/>
          </w:tcPr>
          <w:p w14:paraId="79A4AAE4" w14:textId="38CA069A" w:rsidR="00E44DCC" w:rsidRDefault="00C512F1" w:rsidP="00E44DCC">
            <w:pPr>
              <w:spacing w:line="360" w:lineRule="auto"/>
              <w:rPr>
                <w:color w:val="000000"/>
              </w:rPr>
            </w:pPr>
            <w:r>
              <w:rPr>
                <w:color w:val="000000"/>
              </w:rPr>
              <w:t>37</w:t>
            </w:r>
          </w:p>
        </w:tc>
      </w:tr>
      <w:tr w:rsidR="00E44DCC" w14:paraId="27D95B28" w14:textId="0B9DF13D" w:rsidTr="00C512F1">
        <w:trPr>
          <w:trHeight w:val="340"/>
        </w:trPr>
        <w:tc>
          <w:tcPr>
            <w:tcW w:w="1980" w:type="dxa"/>
            <w:shd w:val="clear" w:color="auto" w:fill="auto"/>
            <w:noWrap/>
            <w:vAlign w:val="center"/>
            <w:hideMark/>
          </w:tcPr>
          <w:p w14:paraId="3FC0D663" w14:textId="77777777" w:rsidR="00E44DCC" w:rsidRDefault="00E44DCC" w:rsidP="005F6663">
            <w:pPr>
              <w:spacing w:line="360" w:lineRule="auto"/>
              <w:ind w:left="492" w:hanging="283"/>
              <w:rPr>
                <w:b/>
                <w:bCs/>
                <w:color w:val="000000"/>
              </w:rPr>
            </w:pPr>
            <w:r>
              <w:rPr>
                <w:b/>
                <w:bCs/>
                <w:color w:val="000000"/>
              </w:rPr>
              <w:t>Tabela 2</w:t>
            </w:r>
          </w:p>
        </w:tc>
        <w:tc>
          <w:tcPr>
            <w:tcW w:w="6463" w:type="dxa"/>
            <w:shd w:val="clear" w:color="auto" w:fill="auto"/>
            <w:noWrap/>
            <w:vAlign w:val="center"/>
            <w:hideMark/>
          </w:tcPr>
          <w:p w14:paraId="63ED761E" w14:textId="2EF0C58C" w:rsidR="00E44DCC" w:rsidRDefault="00506A41" w:rsidP="002A4F84">
            <w:pPr>
              <w:spacing w:line="360" w:lineRule="auto"/>
              <w:rPr>
                <w:color w:val="000000"/>
              </w:rPr>
            </w:pPr>
            <w:r w:rsidRPr="009210F5">
              <w:rPr>
                <w:color w:val="212121"/>
                <w:sz w:val="22"/>
                <w:szCs w:val="22"/>
                <w:lang w:val="pt-PT"/>
              </w:rPr>
              <w:t>Índice de Massa Corporal</w:t>
            </w:r>
          </w:p>
        </w:tc>
        <w:tc>
          <w:tcPr>
            <w:tcW w:w="637" w:type="dxa"/>
            <w:shd w:val="clear" w:color="auto" w:fill="auto"/>
            <w:vAlign w:val="center"/>
          </w:tcPr>
          <w:p w14:paraId="453C6DED" w14:textId="15A53889" w:rsidR="00E44DCC" w:rsidRDefault="00C512F1" w:rsidP="00E44DCC">
            <w:pPr>
              <w:spacing w:line="360" w:lineRule="auto"/>
              <w:rPr>
                <w:color w:val="000000"/>
              </w:rPr>
            </w:pPr>
            <w:r>
              <w:rPr>
                <w:color w:val="000000"/>
              </w:rPr>
              <w:t>38</w:t>
            </w:r>
          </w:p>
        </w:tc>
      </w:tr>
      <w:tr w:rsidR="00E44DCC" w14:paraId="0CD637D7" w14:textId="2B7F3C4F" w:rsidTr="00C512F1">
        <w:trPr>
          <w:trHeight w:val="340"/>
        </w:trPr>
        <w:tc>
          <w:tcPr>
            <w:tcW w:w="1980" w:type="dxa"/>
            <w:shd w:val="clear" w:color="auto" w:fill="auto"/>
            <w:noWrap/>
            <w:vAlign w:val="center"/>
            <w:hideMark/>
          </w:tcPr>
          <w:p w14:paraId="588AC37A" w14:textId="77777777" w:rsidR="00E44DCC" w:rsidRDefault="00E44DCC" w:rsidP="005F6663">
            <w:pPr>
              <w:spacing w:line="360" w:lineRule="auto"/>
              <w:ind w:left="492" w:hanging="283"/>
              <w:rPr>
                <w:b/>
                <w:bCs/>
                <w:color w:val="000000"/>
              </w:rPr>
            </w:pPr>
            <w:r>
              <w:rPr>
                <w:b/>
                <w:bCs/>
                <w:color w:val="000000"/>
              </w:rPr>
              <w:t>Tabela 3</w:t>
            </w:r>
          </w:p>
        </w:tc>
        <w:tc>
          <w:tcPr>
            <w:tcW w:w="6463" w:type="dxa"/>
            <w:shd w:val="clear" w:color="auto" w:fill="auto"/>
            <w:noWrap/>
            <w:vAlign w:val="center"/>
            <w:hideMark/>
          </w:tcPr>
          <w:p w14:paraId="5E7A1721" w14:textId="4870C8B9" w:rsidR="00E44DCC" w:rsidRDefault="00506A41" w:rsidP="002A4F84">
            <w:pPr>
              <w:spacing w:line="360" w:lineRule="auto"/>
              <w:rPr>
                <w:color w:val="000000"/>
              </w:rPr>
            </w:pPr>
            <w:r w:rsidRPr="00083D5B">
              <w:t>Exames laboratoriais</w:t>
            </w:r>
          </w:p>
        </w:tc>
        <w:tc>
          <w:tcPr>
            <w:tcW w:w="637" w:type="dxa"/>
            <w:shd w:val="clear" w:color="auto" w:fill="auto"/>
            <w:vAlign w:val="center"/>
          </w:tcPr>
          <w:p w14:paraId="4B395F51" w14:textId="3AFDB63B" w:rsidR="00E44DCC" w:rsidRDefault="00C512F1" w:rsidP="00E44DCC">
            <w:pPr>
              <w:spacing w:line="360" w:lineRule="auto"/>
              <w:rPr>
                <w:color w:val="000000"/>
              </w:rPr>
            </w:pPr>
            <w:r>
              <w:rPr>
                <w:color w:val="000000"/>
              </w:rPr>
              <w:t>39</w:t>
            </w:r>
          </w:p>
        </w:tc>
      </w:tr>
      <w:tr w:rsidR="00E44DCC" w14:paraId="4218BBC5" w14:textId="0B54F504" w:rsidTr="00C512F1">
        <w:trPr>
          <w:trHeight w:val="340"/>
        </w:trPr>
        <w:tc>
          <w:tcPr>
            <w:tcW w:w="1980" w:type="dxa"/>
            <w:shd w:val="clear" w:color="auto" w:fill="auto"/>
            <w:noWrap/>
            <w:vAlign w:val="center"/>
            <w:hideMark/>
          </w:tcPr>
          <w:p w14:paraId="1128E755" w14:textId="77777777" w:rsidR="00E44DCC" w:rsidRDefault="00E44DCC" w:rsidP="005F6663">
            <w:pPr>
              <w:spacing w:line="360" w:lineRule="auto"/>
              <w:ind w:left="492" w:hanging="283"/>
              <w:rPr>
                <w:b/>
                <w:bCs/>
                <w:color w:val="000000"/>
              </w:rPr>
            </w:pPr>
            <w:r>
              <w:rPr>
                <w:b/>
                <w:bCs/>
                <w:color w:val="000000"/>
              </w:rPr>
              <w:t>Tabela 4</w:t>
            </w:r>
          </w:p>
        </w:tc>
        <w:tc>
          <w:tcPr>
            <w:tcW w:w="6463" w:type="dxa"/>
            <w:shd w:val="clear" w:color="auto" w:fill="auto"/>
            <w:noWrap/>
            <w:vAlign w:val="center"/>
            <w:hideMark/>
          </w:tcPr>
          <w:p w14:paraId="693F7281" w14:textId="7BEFFD27" w:rsidR="00E44DCC" w:rsidRDefault="00506A41" w:rsidP="00506A41">
            <w:pPr>
              <w:rPr>
                <w:color w:val="000000"/>
              </w:rPr>
            </w:pPr>
            <w:r w:rsidRPr="00215564">
              <w:rPr>
                <w:sz w:val="22"/>
                <w:szCs w:val="22"/>
              </w:rPr>
              <w:t>Características demográficas</w:t>
            </w:r>
            <w:r w:rsidRPr="00F85264">
              <w:rPr>
                <w:sz w:val="22"/>
                <w:szCs w:val="22"/>
              </w:rPr>
              <w:t>, clínicas e antropométricas dos participantes do estudo (n=64)</w:t>
            </w:r>
          </w:p>
        </w:tc>
        <w:tc>
          <w:tcPr>
            <w:tcW w:w="637" w:type="dxa"/>
            <w:shd w:val="clear" w:color="auto" w:fill="auto"/>
            <w:vAlign w:val="center"/>
          </w:tcPr>
          <w:p w14:paraId="55484F94" w14:textId="7E7694BE" w:rsidR="00E44DCC" w:rsidRDefault="00C512F1" w:rsidP="00E44DCC">
            <w:pPr>
              <w:spacing w:line="360" w:lineRule="auto"/>
              <w:rPr>
                <w:color w:val="000000"/>
              </w:rPr>
            </w:pPr>
            <w:r>
              <w:rPr>
                <w:color w:val="000000"/>
              </w:rPr>
              <w:t>44</w:t>
            </w:r>
          </w:p>
        </w:tc>
      </w:tr>
      <w:tr w:rsidR="00E44DCC" w14:paraId="2BD37603" w14:textId="091A6207" w:rsidTr="00C512F1">
        <w:trPr>
          <w:trHeight w:val="340"/>
        </w:trPr>
        <w:tc>
          <w:tcPr>
            <w:tcW w:w="1980" w:type="dxa"/>
            <w:shd w:val="clear" w:color="auto" w:fill="auto"/>
            <w:noWrap/>
            <w:vAlign w:val="center"/>
            <w:hideMark/>
          </w:tcPr>
          <w:p w14:paraId="49E8468A" w14:textId="77777777" w:rsidR="00E44DCC" w:rsidRDefault="00E44DCC" w:rsidP="005F6663">
            <w:pPr>
              <w:spacing w:line="360" w:lineRule="auto"/>
              <w:ind w:left="492" w:hanging="283"/>
              <w:rPr>
                <w:b/>
                <w:bCs/>
                <w:color w:val="222222"/>
              </w:rPr>
            </w:pPr>
            <w:r>
              <w:rPr>
                <w:b/>
                <w:bCs/>
                <w:color w:val="222222"/>
              </w:rPr>
              <w:t>Tabela 5</w:t>
            </w:r>
          </w:p>
        </w:tc>
        <w:tc>
          <w:tcPr>
            <w:tcW w:w="6463" w:type="dxa"/>
            <w:shd w:val="clear" w:color="auto" w:fill="auto"/>
            <w:noWrap/>
            <w:vAlign w:val="center"/>
            <w:hideMark/>
          </w:tcPr>
          <w:p w14:paraId="6EE6EB08" w14:textId="4FD46769" w:rsidR="00E44DCC" w:rsidRDefault="00C512F1" w:rsidP="002A4F84">
            <w:pPr>
              <w:spacing w:line="360" w:lineRule="auto"/>
              <w:rPr>
                <w:color w:val="000000"/>
              </w:rPr>
            </w:pPr>
            <w:r w:rsidRPr="00215564">
              <w:t xml:space="preserve">Frequência alélica dos polimorfismos </w:t>
            </w:r>
            <w:r>
              <w:t>estudados</w:t>
            </w:r>
          </w:p>
        </w:tc>
        <w:tc>
          <w:tcPr>
            <w:tcW w:w="637" w:type="dxa"/>
            <w:shd w:val="clear" w:color="auto" w:fill="auto"/>
            <w:vAlign w:val="center"/>
          </w:tcPr>
          <w:p w14:paraId="542F5BD1" w14:textId="263526F9" w:rsidR="00E44DCC" w:rsidRDefault="00C512F1" w:rsidP="00E44DCC">
            <w:pPr>
              <w:spacing w:line="360" w:lineRule="auto"/>
              <w:rPr>
                <w:color w:val="000000"/>
              </w:rPr>
            </w:pPr>
            <w:r>
              <w:rPr>
                <w:color w:val="000000"/>
              </w:rPr>
              <w:t>45</w:t>
            </w:r>
          </w:p>
        </w:tc>
      </w:tr>
      <w:tr w:rsidR="00E44DCC" w14:paraId="63BF7A1C" w14:textId="514A3D63" w:rsidTr="00C512F1">
        <w:trPr>
          <w:trHeight w:val="340"/>
        </w:trPr>
        <w:tc>
          <w:tcPr>
            <w:tcW w:w="1980" w:type="dxa"/>
            <w:shd w:val="clear" w:color="auto" w:fill="auto"/>
            <w:noWrap/>
            <w:vAlign w:val="center"/>
            <w:hideMark/>
          </w:tcPr>
          <w:p w14:paraId="6A631E57" w14:textId="77777777" w:rsidR="00E44DCC" w:rsidRDefault="00E44DCC" w:rsidP="005F6663">
            <w:pPr>
              <w:spacing w:line="360" w:lineRule="auto"/>
              <w:ind w:left="492" w:hanging="283"/>
              <w:rPr>
                <w:b/>
                <w:bCs/>
                <w:color w:val="000000"/>
              </w:rPr>
            </w:pPr>
            <w:r>
              <w:rPr>
                <w:b/>
                <w:bCs/>
                <w:color w:val="000000"/>
              </w:rPr>
              <w:t>Tabela 6</w:t>
            </w:r>
          </w:p>
        </w:tc>
        <w:tc>
          <w:tcPr>
            <w:tcW w:w="6463" w:type="dxa"/>
            <w:shd w:val="clear" w:color="auto" w:fill="auto"/>
            <w:noWrap/>
            <w:vAlign w:val="center"/>
            <w:hideMark/>
          </w:tcPr>
          <w:p w14:paraId="778FD3DB" w14:textId="5FB66D7C" w:rsidR="00E44DCC" w:rsidRDefault="00C512F1" w:rsidP="002A4F84">
            <w:pPr>
              <w:spacing w:line="360" w:lineRule="auto"/>
              <w:rPr>
                <w:color w:val="000000"/>
              </w:rPr>
            </w:pPr>
            <w:r>
              <w:rPr>
                <w:sz w:val="22"/>
                <w:szCs w:val="22"/>
              </w:rPr>
              <w:t>Frequência alélica da</w:t>
            </w:r>
            <w:r w:rsidRPr="00F85264">
              <w:rPr>
                <w:sz w:val="22"/>
                <w:szCs w:val="22"/>
              </w:rPr>
              <w:t>s</w:t>
            </w:r>
            <w:r>
              <w:rPr>
                <w:sz w:val="22"/>
                <w:szCs w:val="22"/>
              </w:rPr>
              <w:t xml:space="preserve"> populações global, europeia, africana e brasileira</w:t>
            </w:r>
          </w:p>
        </w:tc>
        <w:tc>
          <w:tcPr>
            <w:tcW w:w="637" w:type="dxa"/>
            <w:shd w:val="clear" w:color="auto" w:fill="auto"/>
            <w:vAlign w:val="center"/>
          </w:tcPr>
          <w:p w14:paraId="2821E671" w14:textId="6024F24D" w:rsidR="00E44DCC" w:rsidRDefault="00C512F1" w:rsidP="00E44DCC">
            <w:pPr>
              <w:spacing w:line="360" w:lineRule="auto"/>
              <w:rPr>
                <w:color w:val="000000"/>
              </w:rPr>
            </w:pPr>
            <w:r>
              <w:rPr>
                <w:color w:val="000000"/>
              </w:rPr>
              <w:t>46</w:t>
            </w:r>
          </w:p>
        </w:tc>
      </w:tr>
      <w:tr w:rsidR="00E44DCC" w14:paraId="359FFCF3" w14:textId="02A09BB2" w:rsidTr="00C512F1">
        <w:trPr>
          <w:trHeight w:val="340"/>
        </w:trPr>
        <w:tc>
          <w:tcPr>
            <w:tcW w:w="1980" w:type="dxa"/>
            <w:shd w:val="clear" w:color="auto" w:fill="auto"/>
            <w:noWrap/>
            <w:vAlign w:val="center"/>
            <w:hideMark/>
          </w:tcPr>
          <w:p w14:paraId="43BC6042" w14:textId="77777777" w:rsidR="00E44DCC" w:rsidRDefault="00E44DCC" w:rsidP="005F6663">
            <w:pPr>
              <w:spacing w:line="360" w:lineRule="auto"/>
              <w:ind w:left="492" w:hanging="283"/>
              <w:rPr>
                <w:b/>
                <w:bCs/>
                <w:color w:val="000000"/>
              </w:rPr>
            </w:pPr>
            <w:r>
              <w:rPr>
                <w:b/>
                <w:bCs/>
                <w:color w:val="000000"/>
              </w:rPr>
              <w:t>Tabela 7</w:t>
            </w:r>
          </w:p>
        </w:tc>
        <w:tc>
          <w:tcPr>
            <w:tcW w:w="6463" w:type="dxa"/>
            <w:shd w:val="clear" w:color="auto" w:fill="auto"/>
            <w:noWrap/>
            <w:vAlign w:val="center"/>
            <w:hideMark/>
          </w:tcPr>
          <w:p w14:paraId="2CC5A6E2" w14:textId="1DE8D24C" w:rsidR="00E44DCC" w:rsidRDefault="00C512F1" w:rsidP="00C512F1">
            <w:pPr>
              <w:rPr>
                <w:color w:val="000000"/>
              </w:rPr>
            </w:pPr>
            <w:r w:rsidRPr="00F85264">
              <w:rPr>
                <w:sz w:val="22"/>
                <w:szCs w:val="22"/>
              </w:rPr>
              <w:t xml:space="preserve">Comparação entre os grupos selvagem (n=12, T/T) e polimórfico (n=29, C/C + C/T) do polimorfismo rs225014 do gene </w:t>
            </w:r>
            <w:r w:rsidRPr="00F85264">
              <w:rPr>
                <w:i/>
                <w:iCs/>
                <w:sz w:val="22"/>
                <w:szCs w:val="22"/>
              </w:rPr>
              <w:t>DIO2</w:t>
            </w:r>
            <w:r w:rsidRPr="00F85264">
              <w:rPr>
                <w:sz w:val="22"/>
                <w:szCs w:val="22"/>
              </w:rPr>
              <w:t xml:space="preserve"> quanto </w:t>
            </w:r>
            <w:r>
              <w:rPr>
                <w:sz w:val="22"/>
                <w:szCs w:val="22"/>
              </w:rPr>
              <w:t>à</w:t>
            </w:r>
            <w:r w:rsidRPr="00F85264">
              <w:rPr>
                <w:sz w:val="22"/>
                <w:szCs w:val="22"/>
              </w:rPr>
              <w:t xml:space="preserve"> presença de comorbidades clínicas</w:t>
            </w:r>
          </w:p>
        </w:tc>
        <w:tc>
          <w:tcPr>
            <w:tcW w:w="637" w:type="dxa"/>
            <w:shd w:val="clear" w:color="auto" w:fill="auto"/>
            <w:vAlign w:val="center"/>
          </w:tcPr>
          <w:p w14:paraId="6681A8C5" w14:textId="047057A2" w:rsidR="00E44DCC" w:rsidRDefault="00C512F1" w:rsidP="00E44DCC">
            <w:pPr>
              <w:spacing w:line="360" w:lineRule="auto"/>
              <w:rPr>
                <w:color w:val="000000"/>
              </w:rPr>
            </w:pPr>
            <w:r>
              <w:rPr>
                <w:color w:val="000000"/>
              </w:rPr>
              <w:t>48</w:t>
            </w:r>
          </w:p>
        </w:tc>
      </w:tr>
      <w:tr w:rsidR="00C512F1" w14:paraId="00321C45" w14:textId="77777777" w:rsidTr="00C512F1">
        <w:trPr>
          <w:trHeight w:val="340"/>
        </w:trPr>
        <w:tc>
          <w:tcPr>
            <w:tcW w:w="1980" w:type="dxa"/>
            <w:shd w:val="clear" w:color="auto" w:fill="auto"/>
            <w:noWrap/>
            <w:vAlign w:val="center"/>
          </w:tcPr>
          <w:p w14:paraId="1D7335A6" w14:textId="77777777" w:rsidR="00C512F1" w:rsidRDefault="00C512F1" w:rsidP="005F6663">
            <w:pPr>
              <w:spacing w:line="360" w:lineRule="auto"/>
              <w:ind w:left="492" w:hanging="283"/>
              <w:rPr>
                <w:b/>
                <w:bCs/>
                <w:color w:val="000000"/>
              </w:rPr>
            </w:pPr>
          </w:p>
          <w:p w14:paraId="75A0BAD9" w14:textId="77777777" w:rsidR="00C512F1" w:rsidRDefault="00C512F1" w:rsidP="005F6663">
            <w:pPr>
              <w:spacing w:line="360" w:lineRule="auto"/>
              <w:ind w:left="492" w:hanging="283"/>
              <w:rPr>
                <w:b/>
                <w:bCs/>
                <w:color w:val="000000"/>
              </w:rPr>
            </w:pPr>
          </w:p>
        </w:tc>
        <w:tc>
          <w:tcPr>
            <w:tcW w:w="6463" w:type="dxa"/>
            <w:shd w:val="clear" w:color="auto" w:fill="auto"/>
            <w:noWrap/>
            <w:vAlign w:val="center"/>
          </w:tcPr>
          <w:p w14:paraId="322CFB50" w14:textId="77777777" w:rsidR="00C512F1" w:rsidRPr="00F85264" w:rsidRDefault="00C512F1" w:rsidP="00C512F1">
            <w:pPr>
              <w:rPr>
                <w:sz w:val="22"/>
                <w:szCs w:val="22"/>
              </w:rPr>
            </w:pPr>
          </w:p>
        </w:tc>
        <w:tc>
          <w:tcPr>
            <w:tcW w:w="637" w:type="dxa"/>
            <w:shd w:val="clear" w:color="auto" w:fill="auto"/>
            <w:vAlign w:val="center"/>
          </w:tcPr>
          <w:p w14:paraId="02B1F5DF" w14:textId="77777777" w:rsidR="00C512F1" w:rsidRDefault="00C512F1" w:rsidP="00E44DCC">
            <w:pPr>
              <w:spacing w:line="360" w:lineRule="auto"/>
              <w:rPr>
                <w:color w:val="000000"/>
              </w:rPr>
            </w:pPr>
          </w:p>
        </w:tc>
      </w:tr>
      <w:tr w:rsidR="00D46D4C" w14:paraId="2D709EE9" w14:textId="77777777" w:rsidTr="00C512F1">
        <w:trPr>
          <w:trHeight w:val="340"/>
        </w:trPr>
        <w:tc>
          <w:tcPr>
            <w:tcW w:w="1980" w:type="dxa"/>
            <w:shd w:val="clear" w:color="auto" w:fill="auto"/>
            <w:noWrap/>
            <w:vAlign w:val="center"/>
          </w:tcPr>
          <w:p w14:paraId="3F314685" w14:textId="44FD1BBB" w:rsidR="00D46D4C" w:rsidRDefault="00D46D4C" w:rsidP="005F6663">
            <w:pPr>
              <w:spacing w:line="360" w:lineRule="auto"/>
              <w:ind w:left="492" w:hanging="283"/>
              <w:rPr>
                <w:b/>
                <w:bCs/>
                <w:color w:val="000000"/>
              </w:rPr>
            </w:pPr>
            <w:r>
              <w:rPr>
                <w:b/>
                <w:bCs/>
                <w:color w:val="000000"/>
              </w:rPr>
              <w:t>Quadro 1</w:t>
            </w:r>
          </w:p>
        </w:tc>
        <w:tc>
          <w:tcPr>
            <w:tcW w:w="6463" w:type="dxa"/>
            <w:shd w:val="clear" w:color="auto" w:fill="auto"/>
            <w:noWrap/>
            <w:vAlign w:val="center"/>
          </w:tcPr>
          <w:p w14:paraId="606B3DF2" w14:textId="0EE4A532" w:rsidR="00D46D4C" w:rsidRDefault="00C512F1" w:rsidP="00E44DCC">
            <w:pPr>
              <w:rPr>
                <w:color w:val="000000"/>
              </w:rPr>
            </w:pPr>
            <w:r w:rsidRPr="00E247D1">
              <w:rPr>
                <w:color w:val="000000"/>
                <w:sz w:val="22"/>
                <w:szCs w:val="22"/>
              </w:rPr>
              <w:t xml:space="preserve">Laudo da análise de </w:t>
            </w:r>
            <w:r w:rsidRPr="00E247D1">
              <w:rPr>
                <w:bCs/>
                <w:sz w:val="22"/>
                <w:szCs w:val="22"/>
                <w:lang w:val="pt-PT"/>
              </w:rPr>
              <w:t xml:space="preserve">composição corporal </w:t>
            </w:r>
            <w:r w:rsidRPr="00E247D1">
              <w:rPr>
                <w:sz w:val="22"/>
                <w:szCs w:val="22"/>
              </w:rPr>
              <w:t xml:space="preserve">por </w:t>
            </w:r>
            <w:proofErr w:type="spellStart"/>
            <w:r w:rsidRPr="00E247D1">
              <w:rPr>
                <w:sz w:val="22"/>
                <w:szCs w:val="22"/>
              </w:rPr>
              <w:t>absorciometria</w:t>
            </w:r>
            <w:proofErr w:type="spellEnd"/>
            <w:r w:rsidRPr="00E247D1">
              <w:rPr>
                <w:sz w:val="22"/>
                <w:szCs w:val="22"/>
              </w:rPr>
              <w:t xml:space="preserve"> radiológica de dupla energia feita em </w:t>
            </w:r>
            <w:proofErr w:type="spellStart"/>
            <w:r w:rsidRPr="00E247D1">
              <w:rPr>
                <w:sz w:val="22"/>
                <w:szCs w:val="22"/>
              </w:rPr>
              <w:t>densitômetro</w:t>
            </w:r>
            <w:proofErr w:type="spellEnd"/>
          </w:p>
        </w:tc>
        <w:tc>
          <w:tcPr>
            <w:tcW w:w="637" w:type="dxa"/>
            <w:shd w:val="clear" w:color="auto" w:fill="auto"/>
            <w:vAlign w:val="center"/>
          </w:tcPr>
          <w:p w14:paraId="0D3460C2" w14:textId="67DDDCB7" w:rsidR="00D46D4C" w:rsidRDefault="00C512F1">
            <w:pPr>
              <w:rPr>
                <w:color w:val="000000"/>
              </w:rPr>
            </w:pPr>
            <w:r>
              <w:rPr>
                <w:color w:val="000000"/>
              </w:rPr>
              <w:t>37</w:t>
            </w:r>
          </w:p>
        </w:tc>
      </w:tr>
      <w:tr w:rsidR="00C512F1" w14:paraId="4F972127" w14:textId="77777777" w:rsidTr="00C512F1">
        <w:trPr>
          <w:trHeight w:val="340"/>
        </w:trPr>
        <w:tc>
          <w:tcPr>
            <w:tcW w:w="1980" w:type="dxa"/>
            <w:shd w:val="clear" w:color="auto" w:fill="auto"/>
            <w:noWrap/>
            <w:vAlign w:val="center"/>
          </w:tcPr>
          <w:p w14:paraId="789E0038" w14:textId="072886DA" w:rsidR="00C512F1" w:rsidRDefault="00C512F1" w:rsidP="005F6663">
            <w:pPr>
              <w:spacing w:line="360" w:lineRule="auto"/>
              <w:ind w:left="492" w:hanging="283"/>
              <w:rPr>
                <w:b/>
                <w:bCs/>
                <w:color w:val="000000"/>
              </w:rPr>
            </w:pPr>
            <w:r>
              <w:rPr>
                <w:b/>
                <w:bCs/>
                <w:color w:val="000000"/>
              </w:rPr>
              <w:t>Quadro 2</w:t>
            </w:r>
          </w:p>
        </w:tc>
        <w:tc>
          <w:tcPr>
            <w:tcW w:w="6463" w:type="dxa"/>
            <w:shd w:val="clear" w:color="auto" w:fill="auto"/>
            <w:noWrap/>
            <w:vAlign w:val="center"/>
          </w:tcPr>
          <w:p w14:paraId="607B4A2B" w14:textId="73DFB500" w:rsidR="00C512F1" w:rsidRPr="00E247D1" w:rsidRDefault="00C512F1" w:rsidP="00E44DCC">
            <w:pPr>
              <w:rPr>
                <w:color w:val="000000"/>
                <w:sz w:val="22"/>
                <w:szCs w:val="22"/>
              </w:rPr>
            </w:pPr>
            <w:r w:rsidRPr="00083D5B">
              <w:rPr>
                <w:color w:val="000000"/>
              </w:rPr>
              <w:t xml:space="preserve">Caracterização dos polimorfismos de nucleotídeo único </w:t>
            </w:r>
            <w:r>
              <w:rPr>
                <w:color w:val="000000"/>
              </w:rPr>
              <w:t>selecionados</w:t>
            </w:r>
          </w:p>
        </w:tc>
        <w:tc>
          <w:tcPr>
            <w:tcW w:w="637" w:type="dxa"/>
            <w:shd w:val="clear" w:color="auto" w:fill="auto"/>
            <w:vAlign w:val="center"/>
          </w:tcPr>
          <w:p w14:paraId="74D94E20" w14:textId="456949FF" w:rsidR="00C512F1" w:rsidRDefault="00C512F1">
            <w:pPr>
              <w:rPr>
                <w:color w:val="000000"/>
              </w:rPr>
            </w:pPr>
            <w:r>
              <w:rPr>
                <w:color w:val="000000"/>
              </w:rPr>
              <w:t>40</w:t>
            </w:r>
          </w:p>
        </w:tc>
      </w:tr>
    </w:tbl>
    <w:p w14:paraId="0DC440F6" w14:textId="3CFCC41B" w:rsidR="00B22AA1" w:rsidRDefault="00B22AA1" w:rsidP="00284B7F">
      <w:pPr>
        <w:widowControl w:val="0"/>
        <w:suppressAutoHyphens/>
        <w:spacing w:line="360" w:lineRule="auto"/>
        <w:jc w:val="both"/>
        <w:rPr>
          <w:rFonts w:eastAsia="SimSun"/>
          <w:b/>
          <w:color w:val="000000" w:themeColor="text1"/>
          <w:kern w:val="1"/>
          <w:lang w:eastAsia="hi-IN" w:bidi="hi-IN"/>
        </w:rPr>
      </w:pPr>
    </w:p>
    <w:p w14:paraId="53E1C151" w14:textId="2C77C544" w:rsidR="00B22AA1" w:rsidRDefault="00B22AA1" w:rsidP="00284B7F">
      <w:pPr>
        <w:widowControl w:val="0"/>
        <w:suppressAutoHyphens/>
        <w:spacing w:line="360" w:lineRule="auto"/>
        <w:jc w:val="both"/>
        <w:rPr>
          <w:rFonts w:eastAsia="SimSun"/>
          <w:b/>
          <w:color w:val="000000" w:themeColor="text1"/>
          <w:kern w:val="1"/>
          <w:lang w:eastAsia="hi-IN" w:bidi="hi-IN"/>
        </w:rPr>
      </w:pPr>
    </w:p>
    <w:p w14:paraId="09D78927" w14:textId="2CB544EB" w:rsidR="00405E02" w:rsidRDefault="00405E02" w:rsidP="00284B7F">
      <w:pPr>
        <w:widowControl w:val="0"/>
        <w:suppressAutoHyphens/>
        <w:spacing w:line="360" w:lineRule="auto"/>
        <w:jc w:val="both"/>
        <w:rPr>
          <w:rFonts w:eastAsia="SimSun"/>
          <w:b/>
          <w:color w:val="000000" w:themeColor="text1"/>
          <w:kern w:val="1"/>
          <w:lang w:eastAsia="hi-IN" w:bidi="hi-IN"/>
        </w:rPr>
      </w:pPr>
    </w:p>
    <w:p w14:paraId="4121BFDA" w14:textId="46C9F389" w:rsidR="00405E02" w:rsidRDefault="00405E02" w:rsidP="00284B7F">
      <w:pPr>
        <w:widowControl w:val="0"/>
        <w:suppressAutoHyphens/>
        <w:spacing w:line="360" w:lineRule="auto"/>
        <w:jc w:val="both"/>
        <w:rPr>
          <w:rFonts w:eastAsia="SimSun"/>
          <w:b/>
          <w:color w:val="000000" w:themeColor="text1"/>
          <w:kern w:val="1"/>
          <w:lang w:eastAsia="hi-IN" w:bidi="hi-IN"/>
        </w:rPr>
      </w:pPr>
    </w:p>
    <w:p w14:paraId="4C90AF20" w14:textId="659B4F17" w:rsidR="00405E02" w:rsidRDefault="00405E02" w:rsidP="00284B7F">
      <w:pPr>
        <w:widowControl w:val="0"/>
        <w:suppressAutoHyphens/>
        <w:spacing w:line="360" w:lineRule="auto"/>
        <w:jc w:val="both"/>
        <w:rPr>
          <w:rFonts w:eastAsia="SimSun"/>
          <w:b/>
          <w:color w:val="000000" w:themeColor="text1"/>
          <w:kern w:val="1"/>
          <w:lang w:eastAsia="hi-IN" w:bidi="hi-IN"/>
        </w:rPr>
      </w:pPr>
    </w:p>
    <w:p w14:paraId="123617D9" w14:textId="403DA84A" w:rsidR="00405E02" w:rsidRDefault="00405E02" w:rsidP="00284B7F">
      <w:pPr>
        <w:widowControl w:val="0"/>
        <w:suppressAutoHyphens/>
        <w:spacing w:line="360" w:lineRule="auto"/>
        <w:jc w:val="both"/>
        <w:rPr>
          <w:rFonts w:eastAsia="SimSun"/>
          <w:b/>
          <w:color w:val="000000" w:themeColor="text1"/>
          <w:kern w:val="1"/>
          <w:lang w:eastAsia="hi-IN" w:bidi="hi-IN"/>
        </w:rPr>
      </w:pPr>
    </w:p>
    <w:p w14:paraId="186DEB2A" w14:textId="4BE35A49" w:rsidR="00405E02" w:rsidRDefault="00405E02" w:rsidP="00284B7F">
      <w:pPr>
        <w:widowControl w:val="0"/>
        <w:suppressAutoHyphens/>
        <w:spacing w:line="360" w:lineRule="auto"/>
        <w:jc w:val="both"/>
        <w:rPr>
          <w:rFonts w:eastAsia="SimSun"/>
          <w:b/>
          <w:color w:val="000000" w:themeColor="text1"/>
          <w:kern w:val="1"/>
          <w:lang w:eastAsia="hi-IN" w:bidi="hi-IN"/>
        </w:rPr>
      </w:pPr>
    </w:p>
    <w:p w14:paraId="6C0B8CEA" w14:textId="1229EA84" w:rsidR="00405E02" w:rsidRDefault="00405E02" w:rsidP="00284B7F">
      <w:pPr>
        <w:widowControl w:val="0"/>
        <w:suppressAutoHyphens/>
        <w:spacing w:line="360" w:lineRule="auto"/>
        <w:jc w:val="both"/>
        <w:rPr>
          <w:rFonts w:eastAsia="SimSun"/>
          <w:b/>
          <w:color w:val="000000" w:themeColor="text1"/>
          <w:kern w:val="1"/>
          <w:lang w:eastAsia="hi-IN" w:bidi="hi-IN"/>
        </w:rPr>
      </w:pPr>
    </w:p>
    <w:p w14:paraId="6D168704" w14:textId="1446A615" w:rsidR="00405E02" w:rsidRDefault="00405E02" w:rsidP="00284B7F">
      <w:pPr>
        <w:widowControl w:val="0"/>
        <w:suppressAutoHyphens/>
        <w:spacing w:line="360" w:lineRule="auto"/>
        <w:jc w:val="both"/>
        <w:rPr>
          <w:rFonts w:eastAsia="SimSun"/>
          <w:b/>
          <w:color w:val="000000" w:themeColor="text1"/>
          <w:kern w:val="1"/>
          <w:lang w:eastAsia="hi-IN" w:bidi="hi-IN"/>
        </w:rPr>
      </w:pPr>
    </w:p>
    <w:p w14:paraId="755E3065" w14:textId="77777777" w:rsidR="00405E02" w:rsidRDefault="00405E02" w:rsidP="00284B7F">
      <w:pPr>
        <w:widowControl w:val="0"/>
        <w:suppressAutoHyphens/>
        <w:spacing w:line="360" w:lineRule="auto"/>
        <w:jc w:val="both"/>
        <w:rPr>
          <w:rFonts w:eastAsia="SimSun"/>
          <w:b/>
          <w:color w:val="000000" w:themeColor="text1"/>
          <w:kern w:val="1"/>
          <w:lang w:eastAsia="hi-IN" w:bidi="hi-IN"/>
        </w:rPr>
      </w:pPr>
    </w:p>
    <w:p w14:paraId="2FBE5125" w14:textId="33EC271E" w:rsidR="00B22AA1" w:rsidRDefault="00B22AA1" w:rsidP="00284B7F">
      <w:pPr>
        <w:widowControl w:val="0"/>
        <w:suppressAutoHyphens/>
        <w:spacing w:line="360" w:lineRule="auto"/>
        <w:jc w:val="both"/>
        <w:rPr>
          <w:rFonts w:eastAsia="SimSun"/>
          <w:b/>
          <w:color w:val="000000" w:themeColor="text1"/>
          <w:kern w:val="1"/>
          <w:lang w:eastAsia="hi-IN" w:bidi="hi-IN"/>
        </w:rPr>
      </w:pPr>
    </w:p>
    <w:p w14:paraId="05A5797A" w14:textId="3831ED0D" w:rsidR="00405E02" w:rsidRDefault="00405E02" w:rsidP="00284B7F">
      <w:pPr>
        <w:widowControl w:val="0"/>
        <w:suppressAutoHyphens/>
        <w:spacing w:line="360" w:lineRule="auto"/>
        <w:jc w:val="both"/>
        <w:rPr>
          <w:rFonts w:eastAsia="SimSun"/>
          <w:b/>
          <w:color w:val="000000" w:themeColor="text1"/>
          <w:kern w:val="1"/>
          <w:lang w:eastAsia="hi-IN" w:bidi="hi-IN"/>
        </w:rPr>
      </w:pPr>
    </w:p>
    <w:p w14:paraId="6E5FDA3F" w14:textId="6E448A83" w:rsidR="00405E02" w:rsidRDefault="00405E02" w:rsidP="00284B7F">
      <w:pPr>
        <w:widowControl w:val="0"/>
        <w:suppressAutoHyphens/>
        <w:spacing w:line="360" w:lineRule="auto"/>
        <w:jc w:val="both"/>
        <w:rPr>
          <w:rFonts w:eastAsia="SimSun"/>
          <w:b/>
          <w:color w:val="000000" w:themeColor="text1"/>
          <w:kern w:val="1"/>
          <w:lang w:eastAsia="hi-IN" w:bidi="hi-IN"/>
        </w:rPr>
      </w:pPr>
    </w:p>
    <w:p w14:paraId="5682A585" w14:textId="6D14C8BD" w:rsidR="00405E02" w:rsidRDefault="00405E02" w:rsidP="00284B7F">
      <w:pPr>
        <w:widowControl w:val="0"/>
        <w:suppressAutoHyphens/>
        <w:spacing w:line="360" w:lineRule="auto"/>
        <w:jc w:val="both"/>
        <w:rPr>
          <w:rFonts w:eastAsia="SimSun"/>
          <w:b/>
          <w:color w:val="000000" w:themeColor="text1"/>
          <w:kern w:val="1"/>
          <w:lang w:eastAsia="hi-IN" w:bidi="hi-IN"/>
        </w:rPr>
      </w:pPr>
    </w:p>
    <w:p w14:paraId="5165EA4D" w14:textId="4DDA7EB0" w:rsidR="00405E02" w:rsidRDefault="00405E02" w:rsidP="00284B7F">
      <w:pPr>
        <w:widowControl w:val="0"/>
        <w:suppressAutoHyphens/>
        <w:spacing w:line="360" w:lineRule="auto"/>
        <w:jc w:val="both"/>
        <w:rPr>
          <w:rFonts w:eastAsia="SimSun"/>
          <w:b/>
          <w:color w:val="000000" w:themeColor="text1"/>
          <w:kern w:val="1"/>
          <w:lang w:eastAsia="hi-IN" w:bidi="hi-IN"/>
        </w:rPr>
      </w:pPr>
    </w:p>
    <w:p w14:paraId="523B034C" w14:textId="3CFA60E3" w:rsidR="00405E02" w:rsidRDefault="00405E02" w:rsidP="00284B7F">
      <w:pPr>
        <w:widowControl w:val="0"/>
        <w:suppressAutoHyphens/>
        <w:spacing w:line="360" w:lineRule="auto"/>
        <w:jc w:val="both"/>
        <w:rPr>
          <w:rFonts w:eastAsia="SimSun"/>
          <w:b/>
          <w:color w:val="000000" w:themeColor="text1"/>
          <w:kern w:val="1"/>
          <w:lang w:eastAsia="hi-IN" w:bidi="hi-IN"/>
        </w:rPr>
      </w:pPr>
    </w:p>
    <w:p w14:paraId="6C63BBFB" w14:textId="492F6C04" w:rsidR="00405E02" w:rsidRDefault="00405E02" w:rsidP="00284B7F">
      <w:pPr>
        <w:widowControl w:val="0"/>
        <w:suppressAutoHyphens/>
        <w:spacing w:line="360" w:lineRule="auto"/>
        <w:jc w:val="both"/>
        <w:rPr>
          <w:rFonts w:eastAsia="SimSun"/>
          <w:b/>
          <w:color w:val="000000" w:themeColor="text1"/>
          <w:kern w:val="1"/>
          <w:lang w:eastAsia="hi-IN" w:bidi="hi-IN"/>
        </w:rPr>
      </w:pPr>
    </w:p>
    <w:p w14:paraId="066447CB" w14:textId="66D9D42E" w:rsidR="005D383D" w:rsidRDefault="005D383D" w:rsidP="00ED5956">
      <w:pPr>
        <w:widowControl w:val="0"/>
        <w:suppressAutoHyphens/>
        <w:jc w:val="center"/>
        <w:rPr>
          <w:rFonts w:eastAsia="SimSun"/>
          <w:b/>
          <w:color w:val="000000" w:themeColor="text1"/>
          <w:kern w:val="1"/>
          <w:lang w:eastAsia="hi-IN" w:bidi="hi-IN"/>
        </w:rPr>
      </w:pPr>
      <w:r w:rsidRPr="006A3007">
        <w:rPr>
          <w:rFonts w:eastAsia="SimSun"/>
          <w:b/>
          <w:color w:val="000000" w:themeColor="text1"/>
          <w:kern w:val="1"/>
          <w:lang w:eastAsia="hi-IN" w:bidi="hi-IN"/>
        </w:rPr>
        <w:lastRenderedPageBreak/>
        <w:t>LISTA DE ABREVIATURAS E SIGLAS</w:t>
      </w:r>
    </w:p>
    <w:p w14:paraId="4DADCEC3" w14:textId="1FE1F7D1" w:rsidR="00413231" w:rsidRDefault="00413231" w:rsidP="002A4F84">
      <w:pPr>
        <w:widowControl w:val="0"/>
        <w:suppressAutoHyphens/>
        <w:rPr>
          <w:rFonts w:eastAsia="SimSun"/>
          <w:b/>
          <w:color w:val="000000" w:themeColor="text1"/>
          <w:kern w:val="1"/>
          <w:lang w:eastAsia="hi-IN" w:bidi="hi-IN"/>
        </w:rPr>
      </w:pPr>
    </w:p>
    <w:p w14:paraId="7CFFFFF4" w14:textId="040B374B" w:rsidR="00413231" w:rsidRDefault="00413231" w:rsidP="002A4F84">
      <w:pPr>
        <w:widowControl w:val="0"/>
        <w:suppressAutoHyphens/>
        <w:rPr>
          <w:rFonts w:eastAsia="SimSun"/>
          <w:b/>
          <w:color w:val="000000" w:themeColor="text1"/>
          <w:kern w:val="1"/>
          <w:lang w:eastAsia="hi-IN" w:bidi="hi-IN"/>
        </w:rPr>
      </w:pPr>
    </w:p>
    <w:p w14:paraId="3D54F144" w14:textId="7EB8A04E" w:rsidR="00413231" w:rsidRDefault="00413231" w:rsidP="002A4F84">
      <w:pPr>
        <w:widowControl w:val="0"/>
        <w:suppressAutoHyphens/>
        <w:rPr>
          <w:rFonts w:eastAsia="SimSun"/>
          <w:b/>
          <w:color w:val="000000" w:themeColor="text1"/>
          <w:kern w:val="1"/>
          <w:lang w:eastAsia="hi-IN" w:bidi="hi-IN"/>
        </w:rPr>
      </w:pPr>
    </w:p>
    <w:tbl>
      <w:tblPr>
        <w:tblW w:w="8075" w:type="dxa"/>
        <w:tblCellMar>
          <w:left w:w="70" w:type="dxa"/>
          <w:right w:w="70" w:type="dxa"/>
        </w:tblCellMar>
        <w:tblLook w:val="04A0" w:firstRow="1" w:lastRow="0" w:firstColumn="1" w:lastColumn="0" w:noHBand="0" w:noVBand="1"/>
      </w:tblPr>
      <w:tblGrid>
        <w:gridCol w:w="1696"/>
        <w:gridCol w:w="6379"/>
      </w:tblGrid>
      <w:tr w:rsidR="00413231" w14:paraId="0EC3B971" w14:textId="77777777" w:rsidTr="003E02A6">
        <w:trPr>
          <w:trHeight w:val="340"/>
        </w:trPr>
        <w:tc>
          <w:tcPr>
            <w:tcW w:w="1696" w:type="dxa"/>
            <w:shd w:val="clear" w:color="auto" w:fill="auto"/>
            <w:vAlign w:val="center"/>
            <w:hideMark/>
          </w:tcPr>
          <w:p w14:paraId="2C4EEA8A" w14:textId="77777777" w:rsidR="00413231" w:rsidRDefault="00413231" w:rsidP="003E02A6">
            <w:pPr>
              <w:rPr>
                <w:b/>
                <w:bCs/>
                <w:color w:val="000000"/>
              </w:rPr>
            </w:pPr>
            <w:r>
              <w:rPr>
                <w:b/>
                <w:bCs/>
                <w:color w:val="000000"/>
              </w:rPr>
              <w:t>AAT</w:t>
            </w:r>
          </w:p>
        </w:tc>
        <w:tc>
          <w:tcPr>
            <w:tcW w:w="6379" w:type="dxa"/>
            <w:shd w:val="clear" w:color="auto" w:fill="auto"/>
            <w:vAlign w:val="center"/>
            <w:hideMark/>
          </w:tcPr>
          <w:p w14:paraId="6A886CD3" w14:textId="77777777" w:rsidR="00413231" w:rsidRDefault="00413231" w:rsidP="003E02A6">
            <w:pPr>
              <w:rPr>
                <w:color w:val="000000"/>
              </w:rPr>
            </w:pPr>
            <w:proofErr w:type="spellStart"/>
            <w:r>
              <w:rPr>
                <w:color w:val="000000"/>
                <w:lang w:val="en-US"/>
              </w:rPr>
              <w:t>Anticorpo</w:t>
            </w:r>
            <w:proofErr w:type="spellEnd"/>
            <w:r>
              <w:rPr>
                <w:color w:val="000000"/>
                <w:lang w:val="en-US"/>
              </w:rPr>
              <w:t xml:space="preserve"> </w:t>
            </w:r>
            <w:proofErr w:type="spellStart"/>
            <w:r>
              <w:rPr>
                <w:color w:val="000000"/>
                <w:lang w:val="en-US"/>
              </w:rPr>
              <w:t>Antitireoglobulina</w:t>
            </w:r>
            <w:proofErr w:type="spellEnd"/>
          </w:p>
        </w:tc>
      </w:tr>
      <w:tr w:rsidR="00413231" w14:paraId="0A88DF72" w14:textId="77777777" w:rsidTr="003E02A6">
        <w:trPr>
          <w:trHeight w:val="340"/>
        </w:trPr>
        <w:tc>
          <w:tcPr>
            <w:tcW w:w="1696" w:type="dxa"/>
            <w:shd w:val="clear" w:color="auto" w:fill="auto"/>
            <w:noWrap/>
            <w:vAlign w:val="bottom"/>
            <w:hideMark/>
          </w:tcPr>
          <w:p w14:paraId="05ADCEEA" w14:textId="77777777" w:rsidR="00413231" w:rsidRDefault="00413231" w:rsidP="003E02A6">
            <w:pPr>
              <w:rPr>
                <w:b/>
                <w:bCs/>
                <w:color w:val="000000"/>
              </w:rPr>
            </w:pPr>
            <w:r>
              <w:rPr>
                <w:b/>
                <w:bCs/>
                <w:color w:val="000000"/>
              </w:rPr>
              <w:t>ALM</w:t>
            </w:r>
          </w:p>
        </w:tc>
        <w:tc>
          <w:tcPr>
            <w:tcW w:w="6379" w:type="dxa"/>
            <w:shd w:val="clear" w:color="auto" w:fill="auto"/>
            <w:vAlign w:val="center"/>
            <w:hideMark/>
          </w:tcPr>
          <w:p w14:paraId="77E79696" w14:textId="77777777" w:rsidR="00413231" w:rsidRDefault="00413231" w:rsidP="003E02A6">
            <w:pPr>
              <w:rPr>
                <w:color w:val="000000"/>
              </w:rPr>
            </w:pPr>
            <w:proofErr w:type="spellStart"/>
            <w:r>
              <w:rPr>
                <w:color w:val="000000"/>
              </w:rPr>
              <w:t>Appendicular</w:t>
            </w:r>
            <w:proofErr w:type="spellEnd"/>
            <w:r>
              <w:rPr>
                <w:color w:val="000000"/>
              </w:rPr>
              <w:t xml:space="preserve"> Lean Mass </w:t>
            </w:r>
          </w:p>
        </w:tc>
      </w:tr>
      <w:tr w:rsidR="00413231" w14:paraId="64F26686" w14:textId="77777777" w:rsidTr="003E02A6">
        <w:trPr>
          <w:trHeight w:val="340"/>
        </w:trPr>
        <w:tc>
          <w:tcPr>
            <w:tcW w:w="1696" w:type="dxa"/>
            <w:shd w:val="clear" w:color="auto" w:fill="auto"/>
            <w:vAlign w:val="center"/>
            <w:hideMark/>
          </w:tcPr>
          <w:p w14:paraId="3FF0E212" w14:textId="77777777" w:rsidR="00413231" w:rsidRDefault="00413231" w:rsidP="003E02A6">
            <w:pPr>
              <w:rPr>
                <w:b/>
                <w:bCs/>
                <w:color w:val="000000"/>
              </w:rPr>
            </w:pPr>
            <w:r>
              <w:rPr>
                <w:rFonts w:eastAsia="Arial"/>
                <w:b/>
                <w:bCs/>
                <w:color w:val="000000" w:themeColor="text1"/>
              </w:rPr>
              <w:t>APO</w:t>
            </w:r>
          </w:p>
        </w:tc>
        <w:tc>
          <w:tcPr>
            <w:tcW w:w="6379" w:type="dxa"/>
            <w:shd w:val="clear" w:color="auto" w:fill="auto"/>
            <w:vAlign w:val="center"/>
            <w:hideMark/>
          </w:tcPr>
          <w:p w14:paraId="171D9539" w14:textId="77777777" w:rsidR="00413231" w:rsidRDefault="00413231" w:rsidP="003E02A6">
            <w:pPr>
              <w:rPr>
                <w:color w:val="000000"/>
              </w:rPr>
            </w:pPr>
            <w:proofErr w:type="spellStart"/>
            <w:r>
              <w:rPr>
                <w:rFonts w:eastAsia="Arial"/>
                <w:color w:val="000000" w:themeColor="text1"/>
                <w:lang w:val="en-US"/>
              </w:rPr>
              <w:t>Anticorpo</w:t>
            </w:r>
            <w:proofErr w:type="spellEnd"/>
            <w:r>
              <w:rPr>
                <w:rFonts w:eastAsia="Arial"/>
                <w:color w:val="000000" w:themeColor="text1"/>
                <w:lang w:val="en-US"/>
              </w:rPr>
              <w:t xml:space="preserve"> </w:t>
            </w:r>
            <w:proofErr w:type="spellStart"/>
            <w:r>
              <w:rPr>
                <w:rFonts w:eastAsia="Arial"/>
                <w:color w:val="000000" w:themeColor="text1"/>
                <w:lang w:val="en-US"/>
              </w:rPr>
              <w:t>Antiperoxidase</w:t>
            </w:r>
            <w:proofErr w:type="spellEnd"/>
            <w:r>
              <w:rPr>
                <w:rFonts w:eastAsia="Arial"/>
                <w:color w:val="000000" w:themeColor="text1"/>
                <w:lang w:val="en-US"/>
              </w:rPr>
              <w:t xml:space="preserve"> </w:t>
            </w:r>
            <w:proofErr w:type="spellStart"/>
            <w:r>
              <w:rPr>
                <w:rFonts w:eastAsia="Arial"/>
                <w:color w:val="000000" w:themeColor="text1"/>
                <w:lang w:val="en-US"/>
              </w:rPr>
              <w:t>tireoidiana</w:t>
            </w:r>
            <w:proofErr w:type="spellEnd"/>
          </w:p>
        </w:tc>
      </w:tr>
      <w:tr w:rsidR="00413231" w14:paraId="14398364" w14:textId="77777777" w:rsidTr="003E02A6">
        <w:trPr>
          <w:trHeight w:val="340"/>
        </w:trPr>
        <w:tc>
          <w:tcPr>
            <w:tcW w:w="1696" w:type="dxa"/>
            <w:shd w:val="clear" w:color="auto" w:fill="auto"/>
            <w:vAlign w:val="center"/>
            <w:hideMark/>
          </w:tcPr>
          <w:p w14:paraId="42541313" w14:textId="77777777" w:rsidR="00413231" w:rsidRDefault="00413231" w:rsidP="003E02A6">
            <w:pPr>
              <w:rPr>
                <w:b/>
                <w:bCs/>
                <w:color w:val="000000"/>
              </w:rPr>
            </w:pPr>
            <w:r>
              <w:rPr>
                <w:rFonts w:eastAsia="Arial"/>
                <w:b/>
                <w:bCs/>
                <w:color w:val="000000" w:themeColor="text1"/>
              </w:rPr>
              <w:t>BIA</w:t>
            </w:r>
          </w:p>
        </w:tc>
        <w:tc>
          <w:tcPr>
            <w:tcW w:w="6379" w:type="dxa"/>
            <w:shd w:val="clear" w:color="auto" w:fill="auto"/>
            <w:vAlign w:val="center"/>
            <w:hideMark/>
          </w:tcPr>
          <w:p w14:paraId="2E6C8510" w14:textId="77777777" w:rsidR="00413231" w:rsidRDefault="00413231" w:rsidP="003E02A6">
            <w:pPr>
              <w:rPr>
                <w:color w:val="000000"/>
              </w:rPr>
            </w:pPr>
            <w:r>
              <w:rPr>
                <w:rFonts w:eastAsia="Arial"/>
                <w:color w:val="000000" w:themeColor="text1"/>
              </w:rPr>
              <w:t xml:space="preserve">Bioimpedância </w:t>
            </w:r>
          </w:p>
        </w:tc>
      </w:tr>
      <w:tr w:rsidR="00413231" w14:paraId="7A3112F8" w14:textId="77777777" w:rsidTr="003E02A6">
        <w:trPr>
          <w:trHeight w:val="340"/>
        </w:trPr>
        <w:tc>
          <w:tcPr>
            <w:tcW w:w="1696" w:type="dxa"/>
            <w:shd w:val="clear" w:color="auto" w:fill="auto"/>
            <w:noWrap/>
            <w:vAlign w:val="bottom"/>
            <w:hideMark/>
          </w:tcPr>
          <w:p w14:paraId="7D725F3A" w14:textId="77777777" w:rsidR="00413231" w:rsidRDefault="00413231" w:rsidP="003E02A6">
            <w:pPr>
              <w:rPr>
                <w:b/>
                <w:bCs/>
                <w:color w:val="000000"/>
              </w:rPr>
            </w:pPr>
            <w:r>
              <w:rPr>
                <w:b/>
                <w:bCs/>
                <w:color w:val="000000"/>
              </w:rPr>
              <w:t>CC</w:t>
            </w:r>
          </w:p>
        </w:tc>
        <w:tc>
          <w:tcPr>
            <w:tcW w:w="6379" w:type="dxa"/>
            <w:shd w:val="clear" w:color="auto" w:fill="auto"/>
            <w:vAlign w:val="center"/>
            <w:hideMark/>
          </w:tcPr>
          <w:p w14:paraId="27BC3459" w14:textId="44C5F1FA" w:rsidR="00413231" w:rsidRDefault="00BE3D63" w:rsidP="003E02A6">
            <w:pPr>
              <w:rPr>
                <w:color w:val="000000"/>
              </w:rPr>
            </w:pPr>
            <w:r>
              <w:rPr>
                <w:color w:val="000000"/>
              </w:rPr>
              <w:t>Circunferência</w:t>
            </w:r>
            <w:r w:rsidR="00413231">
              <w:rPr>
                <w:color w:val="000000"/>
              </w:rPr>
              <w:t xml:space="preserve"> Cintura</w:t>
            </w:r>
          </w:p>
        </w:tc>
      </w:tr>
      <w:tr w:rsidR="00413231" w14:paraId="0C69BCF6" w14:textId="77777777" w:rsidTr="003E02A6">
        <w:trPr>
          <w:trHeight w:val="340"/>
        </w:trPr>
        <w:tc>
          <w:tcPr>
            <w:tcW w:w="1696" w:type="dxa"/>
            <w:shd w:val="clear" w:color="auto" w:fill="auto"/>
            <w:vAlign w:val="center"/>
            <w:hideMark/>
          </w:tcPr>
          <w:p w14:paraId="47B1AFBA" w14:textId="77777777" w:rsidR="00413231" w:rsidRDefault="00413231" w:rsidP="003E02A6">
            <w:pPr>
              <w:rPr>
                <w:b/>
                <w:bCs/>
                <w:color w:val="000000"/>
              </w:rPr>
            </w:pPr>
            <w:r>
              <w:rPr>
                <w:rFonts w:eastAsia="Arial"/>
                <w:b/>
                <w:bCs/>
                <w:color w:val="000000" w:themeColor="text1"/>
              </w:rPr>
              <w:t>CEP</w:t>
            </w:r>
          </w:p>
        </w:tc>
        <w:tc>
          <w:tcPr>
            <w:tcW w:w="6379" w:type="dxa"/>
            <w:shd w:val="clear" w:color="auto" w:fill="auto"/>
            <w:vAlign w:val="center"/>
            <w:hideMark/>
          </w:tcPr>
          <w:p w14:paraId="06AF4153" w14:textId="77777777" w:rsidR="00413231" w:rsidRDefault="00413231" w:rsidP="003E02A6">
            <w:pPr>
              <w:rPr>
                <w:color w:val="000000"/>
              </w:rPr>
            </w:pPr>
            <w:bookmarkStart w:id="1" w:name="RANGE!B6"/>
            <w:r>
              <w:rPr>
                <w:rFonts w:eastAsia="Arial"/>
                <w:color w:val="000000" w:themeColor="text1"/>
              </w:rPr>
              <w:t>Comitê de Ética e Pesquisa em Seres Humanos</w:t>
            </w:r>
            <w:bookmarkEnd w:id="1"/>
          </w:p>
        </w:tc>
      </w:tr>
      <w:tr w:rsidR="00413231" w14:paraId="61D36CCF" w14:textId="77777777" w:rsidTr="003E02A6">
        <w:trPr>
          <w:trHeight w:val="340"/>
        </w:trPr>
        <w:tc>
          <w:tcPr>
            <w:tcW w:w="1696" w:type="dxa"/>
            <w:shd w:val="clear" w:color="auto" w:fill="auto"/>
            <w:vAlign w:val="center"/>
            <w:hideMark/>
          </w:tcPr>
          <w:p w14:paraId="4F82D87F" w14:textId="77777777" w:rsidR="00413231" w:rsidRDefault="00413231" w:rsidP="003E02A6">
            <w:pPr>
              <w:rPr>
                <w:b/>
                <w:bCs/>
                <w:color w:val="000000"/>
              </w:rPr>
            </w:pPr>
            <w:r>
              <w:rPr>
                <w:rFonts w:eastAsia="Arial"/>
                <w:b/>
                <w:bCs/>
                <w:color w:val="000000" w:themeColor="text1"/>
              </w:rPr>
              <w:t>CPT</w:t>
            </w:r>
          </w:p>
        </w:tc>
        <w:tc>
          <w:tcPr>
            <w:tcW w:w="6379" w:type="dxa"/>
            <w:shd w:val="clear" w:color="auto" w:fill="auto"/>
            <w:vAlign w:val="center"/>
            <w:hideMark/>
          </w:tcPr>
          <w:p w14:paraId="69B863A4" w14:textId="77777777" w:rsidR="00413231" w:rsidRDefault="00413231" w:rsidP="003E02A6">
            <w:pPr>
              <w:rPr>
                <w:color w:val="000000"/>
              </w:rPr>
            </w:pPr>
            <w:r>
              <w:rPr>
                <w:rFonts w:eastAsia="Arial"/>
                <w:color w:val="000000" w:themeColor="text1"/>
              </w:rPr>
              <w:t>Carcinoma papilífero de tireoide</w:t>
            </w:r>
          </w:p>
        </w:tc>
      </w:tr>
      <w:tr w:rsidR="00413231" w:rsidRPr="00D06311" w14:paraId="1F55E067" w14:textId="77777777" w:rsidTr="003E02A6">
        <w:trPr>
          <w:trHeight w:val="340"/>
        </w:trPr>
        <w:tc>
          <w:tcPr>
            <w:tcW w:w="1696" w:type="dxa"/>
            <w:shd w:val="clear" w:color="auto" w:fill="auto"/>
            <w:vAlign w:val="center"/>
            <w:hideMark/>
          </w:tcPr>
          <w:p w14:paraId="07022010" w14:textId="77777777" w:rsidR="00413231" w:rsidRDefault="00413231" w:rsidP="003E02A6">
            <w:pPr>
              <w:rPr>
                <w:b/>
                <w:bCs/>
                <w:color w:val="000000"/>
              </w:rPr>
            </w:pPr>
            <w:proofErr w:type="spellStart"/>
            <w:r>
              <w:rPr>
                <w:rFonts w:eastAsia="Arial"/>
                <w:b/>
                <w:bCs/>
                <w:color w:val="000000" w:themeColor="text1"/>
              </w:rPr>
              <w:t>dbSNP</w:t>
            </w:r>
            <w:proofErr w:type="spellEnd"/>
          </w:p>
        </w:tc>
        <w:tc>
          <w:tcPr>
            <w:tcW w:w="6379" w:type="dxa"/>
            <w:shd w:val="clear" w:color="auto" w:fill="auto"/>
            <w:vAlign w:val="center"/>
            <w:hideMark/>
          </w:tcPr>
          <w:p w14:paraId="7794B7A3" w14:textId="77777777" w:rsidR="00413231" w:rsidRPr="00413231" w:rsidRDefault="00413231" w:rsidP="003E02A6">
            <w:pPr>
              <w:rPr>
                <w:i/>
                <w:iCs/>
                <w:color w:val="000000"/>
                <w:lang w:val="en-US"/>
              </w:rPr>
            </w:pPr>
            <w:r>
              <w:rPr>
                <w:rFonts w:eastAsia="Arial"/>
                <w:i/>
                <w:iCs/>
                <w:color w:val="000000" w:themeColor="text1"/>
                <w:lang w:val="en-US"/>
              </w:rPr>
              <w:t>The Single Nucleotide Polymorphism Database</w:t>
            </w:r>
          </w:p>
        </w:tc>
      </w:tr>
      <w:tr w:rsidR="00413231" w14:paraId="43B9D7FE" w14:textId="77777777" w:rsidTr="003E02A6">
        <w:trPr>
          <w:trHeight w:val="340"/>
        </w:trPr>
        <w:tc>
          <w:tcPr>
            <w:tcW w:w="1696" w:type="dxa"/>
            <w:shd w:val="clear" w:color="auto" w:fill="auto"/>
            <w:vAlign w:val="center"/>
            <w:hideMark/>
          </w:tcPr>
          <w:p w14:paraId="3C8E9062" w14:textId="77777777" w:rsidR="00413231" w:rsidRDefault="00413231" w:rsidP="003E02A6">
            <w:pPr>
              <w:rPr>
                <w:b/>
                <w:bCs/>
                <w:color w:val="000000"/>
              </w:rPr>
            </w:pPr>
            <w:r>
              <w:rPr>
                <w:rFonts w:eastAsia="Arial"/>
                <w:b/>
                <w:bCs/>
                <w:color w:val="000000" w:themeColor="text1"/>
              </w:rPr>
              <w:t>DIO1</w:t>
            </w:r>
          </w:p>
        </w:tc>
        <w:tc>
          <w:tcPr>
            <w:tcW w:w="6379" w:type="dxa"/>
            <w:shd w:val="clear" w:color="auto" w:fill="auto"/>
            <w:vAlign w:val="center"/>
            <w:hideMark/>
          </w:tcPr>
          <w:p w14:paraId="4445C596" w14:textId="77777777" w:rsidR="00413231" w:rsidRDefault="00413231" w:rsidP="003E02A6">
            <w:pPr>
              <w:rPr>
                <w:color w:val="000000"/>
              </w:rPr>
            </w:pPr>
            <w:r>
              <w:rPr>
                <w:rFonts w:eastAsia="Arial"/>
                <w:color w:val="000000" w:themeColor="text1"/>
              </w:rPr>
              <w:t xml:space="preserve">Desiodase tipo 1 </w:t>
            </w:r>
          </w:p>
        </w:tc>
      </w:tr>
      <w:tr w:rsidR="00413231" w14:paraId="19F85A2C" w14:textId="77777777" w:rsidTr="003E02A6">
        <w:trPr>
          <w:trHeight w:val="340"/>
        </w:trPr>
        <w:tc>
          <w:tcPr>
            <w:tcW w:w="1696" w:type="dxa"/>
            <w:shd w:val="clear" w:color="auto" w:fill="auto"/>
            <w:vAlign w:val="center"/>
            <w:hideMark/>
          </w:tcPr>
          <w:p w14:paraId="4BA01692" w14:textId="77777777" w:rsidR="00413231" w:rsidRDefault="00413231" w:rsidP="003E02A6">
            <w:pPr>
              <w:rPr>
                <w:b/>
                <w:bCs/>
                <w:color w:val="000000"/>
              </w:rPr>
            </w:pPr>
            <w:r>
              <w:rPr>
                <w:rFonts w:eastAsia="Arial"/>
                <w:b/>
                <w:bCs/>
                <w:color w:val="000000" w:themeColor="text1"/>
              </w:rPr>
              <w:t>DIO2</w:t>
            </w:r>
          </w:p>
        </w:tc>
        <w:tc>
          <w:tcPr>
            <w:tcW w:w="6379" w:type="dxa"/>
            <w:shd w:val="clear" w:color="auto" w:fill="auto"/>
            <w:vAlign w:val="center"/>
            <w:hideMark/>
          </w:tcPr>
          <w:p w14:paraId="578EBD13" w14:textId="77777777" w:rsidR="00413231" w:rsidRDefault="00413231" w:rsidP="003E02A6">
            <w:pPr>
              <w:rPr>
                <w:color w:val="000000"/>
              </w:rPr>
            </w:pPr>
            <w:r>
              <w:rPr>
                <w:rFonts w:eastAsia="Arial"/>
                <w:color w:val="000000" w:themeColor="text1"/>
              </w:rPr>
              <w:t>Desiodase tipo 2</w:t>
            </w:r>
          </w:p>
        </w:tc>
      </w:tr>
      <w:tr w:rsidR="00413231" w14:paraId="200AE20E" w14:textId="77777777" w:rsidTr="003E02A6">
        <w:trPr>
          <w:trHeight w:val="340"/>
        </w:trPr>
        <w:tc>
          <w:tcPr>
            <w:tcW w:w="1696" w:type="dxa"/>
            <w:shd w:val="clear" w:color="auto" w:fill="auto"/>
            <w:vAlign w:val="center"/>
            <w:hideMark/>
          </w:tcPr>
          <w:p w14:paraId="67A7FC69" w14:textId="77777777" w:rsidR="00413231" w:rsidRDefault="00413231" w:rsidP="003E02A6">
            <w:pPr>
              <w:rPr>
                <w:b/>
                <w:bCs/>
                <w:color w:val="000000"/>
              </w:rPr>
            </w:pPr>
            <w:r>
              <w:rPr>
                <w:rFonts w:eastAsia="Arial"/>
                <w:b/>
                <w:bCs/>
                <w:color w:val="000000" w:themeColor="text1"/>
              </w:rPr>
              <w:t>DM</w:t>
            </w:r>
          </w:p>
        </w:tc>
        <w:tc>
          <w:tcPr>
            <w:tcW w:w="6379" w:type="dxa"/>
            <w:shd w:val="clear" w:color="auto" w:fill="auto"/>
            <w:vAlign w:val="center"/>
            <w:hideMark/>
          </w:tcPr>
          <w:p w14:paraId="328B2B5A" w14:textId="77777777" w:rsidR="00413231" w:rsidRDefault="00413231" w:rsidP="003E02A6">
            <w:pPr>
              <w:rPr>
                <w:color w:val="000000"/>
              </w:rPr>
            </w:pPr>
            <w:proofErr w:type="spellStart"/>
            <w:r>
              <w:rPr>
                <w:rFonts w:eastAsia="Arial"/>
                <w:color w:val="000000" w:themeColor="text1"/>
                <w:lang w:val="en-US"/>
              </w:rPr>
              <w:t>Diabete</w:t>
            </w:r>
            <w:proofErr w:type="spellEnd"/>
            <w:r>
              <w:rPr>
                <w:rFonts w:eastAsia="Arial"/>
                <w:color w:val="000000" w:themeColor="text1"/>
                <w:lang w:val="en-US"/>
              </w:rPr>
              <w:t xml:space="preserve"> </w:t>
            </w:r>
            <w:proofErr w:type="spellStart"/>
            <w:r>
              <w:rPr>
                <w:rFonts w:eastAsia="Arial"/>
                <w:color w:val="000000" w:themeColor="text1"/>
                <w:lang w:val="en-US"/>
              </w:rPr>
              <w:t>Melito</w:t>
            </w:r>
            <w:proofErr w:type="spellEnd"/>
          </w:p>
        </w:tc>
      </w:tr>
      <w:tr w:rsidR="00413231" w14:paraId="78A09A8E" w14:textId="77777777" w:rsidTr="003E02A6">
        <w:trPr>
          <w:trHeight w:val="340"/>
        </w:trPr>
        <w:tc>
          <w:tcPr>
            <w:tcW w:w="1696" w:type="dxa"/>
            <w:shd w:val="clear" w:color="auto" w:fill="auto"/>
            <w:vAlign w:val="center"/>
            <w:hideMark/>
          </w:tcPr>
          <w:p w14:paraId="5C8EFC11" w14:textId="77777777" w:rsidR="00413231" w:rsidRDefault="00413231" w:rsidP="003E02A6">
            <w:pPr>
              <w:rPr>
                <w:b/>
                <w:bCs/>
                <w:color w:val="000000"/>
              </w:rPr>
            </w:pPr>
            <w:r>
              <w:rPr>
                <w:rFonts w:eastAsia="Arial"/>
                <w:b/>
                <w:bCs/>
                <w:color w:val="000000" w:themeColor="text1"/>
              </w:rPr>
              <w:t>DNA</w:t>
            </w:r>
          </w:p>
        </w:tc>
        <w:tc>
          <w:tcPr>
            <w:tcW w:w="6379" w:type="dxa"/>
            <w:shd w:val="clear" w:color="auto" w:fill="auto"/>
            <w:vAlign w:val="center"/>
            <w:hideMark/>
          </w:tcPr>
          <w:p w14:paraId="7468EEDD" w14:textId="77777777" w:rsidR="00413231" w:rsidRDefault="00413231" w:rsidP="003E02A6">
            <w:pPr>
              <w:rPr>
                <w:i/>
                <w:iCs/>
                <w:color w:val="000000"/>
              </w:rPr>
            </w:pPr>
            <w:proofErr w:type="spellStart"/>
            <w:r>
              <w:rPr>
                <w:rFonts w:eastAsia="Arial"/>
                <w:i/>
                <w:iCs/>
                <w:color w:val="000000" w:themeColor="text1"/>
              </w:rPr>
              <w:t>Deoxyribonucleic</w:t>
            </w:r>
            <w:proofErr w:type="spellEnd"/>
            <w:r>
              <w:rPr>
                <w:rFonts w:eastAsia="Arial"/>
                <w:i/>
                <w:iCs/>
                <w:color w:val="000000" w:themeColor="text1"/>
              </w:rPr>
              <w:t xml:space="preserve"> </w:t>
            </w:r>
            <w:proofErr w:type="spellStart"/>
            <w:r>
              <w:rPr>
                <w:rFonts w:eastAsia="Arial"/>
                <w:i/>
                <w:iCs/>
                <w:color w:val="000000" w:themeColor="text1"/>
              </w:rPr>
              <w:t>acid</w:t>
            </w:r>
            <w:proofErr w:type="spellEnd"/>
          </w:p>
        </w:tc>
      </w:tr>
      <w:tr w:rsidR="00413231" w14:paraId="6F810A55" w14:textId="77777777" w:rsidTr="003E02A6">
        <w:trPr>
          <w:trHeight w:val="340"/>
        </w:trPr>
        <w:tc>
          <w:tcPr>
            <w:tcW w:w="1696" w:type="dxa"/>
            <w:shd w:val="clear" w:color="auto" w:fill="auto"/>
            <w:noWrap/>
            <w:vAlign w:val="bottom"/>
            <w:hideMark/>
          </w:tcPr>
          <w:p w14:paraId="4456269B" w14:textId="77777777" w:rsidR="00413231" w:rsidRDefault="00413231" w:rsidP="003E02A6">
            <w:pPr>
              <w:rPr>
                <w:b/>
                <w:bCs/>
                <w:color w:val="000000"/>
              </w:rPr>
            </w:pPr>
            <w:r>
              <w:rPr>
                <w:b/>
                <w:bCs/>
                <w:color w:val="000000"/>
              </w:rPr>
              <w:t>FMI</w:t>
            </w:r>
          </w:p>
        </w:tc>
        <w:tc>
          <w:tcPr>
            <w:tcW w:w="6379" w:type="dxa"/>
            <w:shd w:val="clear" w:color="auto" w:fill="auto"/>
            <w:vAlign w:val="center"/>
            <w:hideMark/>
          </w:tcPr>
          <w:p w14:paraId="3813ED3D" w14:textId="77777777" w:rsidR="00413231" w:rsidRDefault="00413231" w:rsidP="003E02A6">
            <w:pPr>
              <w:rPr>
                <w:color w:val="000000"/>
              </w:rPr>
            </w:pPr>
            <w:r>
              <w:rPr>
                <w:color w:val="000000"/>
              </w:rPr>
              <w:t>Fat Mass Index</w:t>
            </w:r>
          </w:p>
        </w:tc>
      </w:tr>
      <w:tr w:rsidR="00413231" w14:paraId="254C9C35" w14:textId="77777777" w:rsidTr="003E02A6">
        <w:trPr>
          <w:trHeight w:val="340"/>
        </w:trPr>
        <w:tc>
          <w:tcPr>
            <w:tcW w:w="1696" w:type="dxa"/>
            <w:shd w:val="clear" w:color="auto" w:fill="auto"/>
            <w:vAlign w:val="center"/>
            <w:hideMark/>
          </w:tcPr>
          <w:p w14:paraId="44766287" w14:textId="77777777" w:rsidR="00413231" w:rsidRDefault="00413231" w:rsidP="003E02A6">
            <w:pPr>
              <w:rPr>
                <w:b/>
                <w:bCs/>
                <w:color w:val="000000"/>
              </w:rPr>
            </w:pPr>
            <w:r>
              <w:rPr>
                <w:rFonts w:eastAsia="Arial"/>
                <w:b/>
                <w:bCs/>
                <w:color w:val="000000" w:themeColor="text1"/>
              </w:rPr>
              <w:t>FOXO1</w:t>
            </w:r>
          </w:p>
        </w:tc>
        <w:tc>
          <w:tcPr>
            <w:tcW w:w="6379" w:type="dxa"/>
            <w:shd w:val="clear" w:color="auto" w:fill="auto"/>
            <w:vAlign w:val="center"/>
            <w:hideMark/>
          </w:tcPr>
          <w:p w14:paraId="0CAEB46E" w14:textId="77777777" w:rsidR="00413231" w:rsidRDefault="00413231" w:rsidP="003E02A6">
            <w:pPr>
              <w:rPr>
                <w:i/>
                <w:iCs/>
                <w:color w:val="000000"/>
              </w:rPr>
            </w:pPr>
            <w:proofErr w:type="spellStart"/>
            <w:r>
              <w:rPr>
                <w:rFonts w:eastAsia="Arial"/>
                <w:i/>
                <w:iCs/>
                <w:color w:val="000000" w:themeColor="text1"/>
              </w:rPr>
              <w:t>Forkhead</w:t>
            </w:r>
            <w:proofErr w:type="spellEnd"/>
            <w:r>
              <w:rPr>
                <w:rFonts w:eastAsia="Arial"/>
                <w:i/>
                <w:iCs/>
                <w:color w:val="000000" w:themeColor="text1"/>
              </w:rPr>
              <w:t xml:space="preserve"> box o1</w:t>
            </w:r>
          </w:p>
        </w:tc>
      </w:tr>
      <w:tr w:rsidR="00413231" w14:paraId="2B0C4483" w14:textId="77777777" w:rsidTr="003E02A6">
        <w:trPr>
          <w:trHeight w:val="340"/>
        </w:trPr>
        <w:tc>
          <w:tcPr>
            <w:tcW w:w="1696" w:type="dxa"/>
            <w:shd w:val="clear" w:color="auto" w:fill="auto"/>
            <w:vAlign w:val="center"/>
            <w:hideMark/>
          </w:tcPr>
          <w:p w14:paraId="0711523B" w14:textId="77777777" w:rsidR="00413231" w:rsidRDefault="00413231" w:rsidP="003E02A6">
            <w:pPr>
              <w:rPr>
                <w:b/>
                <w:bCs/>
                <w:color w:val="000000"/>
              </w:rPr>
            </w:pPr>
            <w:r>
              <w:rPr>
                <w:rFonts w:eastAsia="Arial"/>
                <w:b/>
                <w:bCs/>
                <w:color w:val="000000" w:themeColor="text1"/>
              </w:rPr>
              <w:t>FPP</w:t>
            </w:r>
          </w:p>
        </w:tc>
        <w:tc>
          <w:tcPr>
            <w:tcW w:w="6379" w:type="dxa"/>
            <w:shd w:val="clear" w:color="auto" w:fill="auto"/>
            <w:vAlign w:val="center"/>
            <w:hideMark/>
          </w:tcPr>
          <w:p w14:paraId="3E8C6505" w14:textId="77777777" w:rsidR="00413231" w:rsidRDefault="00413231" w:rsidP="003E02A6">
            <w:pPr>
              <w:rPr>
                <w:color w:val="000000"/>
              </w:rPr>
            </w:pPr>
            <w:r>
              <w:rPr>
                <w:rFonts w:eastAsia="Arial"/>
                <w:color w:val="000000" w:themeColor="text1"/>
              </w:rPr>
              <w:t>Força de preensão palmar</w:t>
            </w:r>
          </w:p>
        </w:tc>
      </w:tr>
      <w:tr w:rsidR="00413231" w14:paraId="195145FD" w14:textId="77777777" w:rsidTr="003E02A6">
        <w:trPr>
          <w:trHeight w:val="340"/>
        </w:trPr>
        <w:tc>
          <w:tcPr>
            <w:tcW w:w="1696" w:type="dxa"/>
            <w:shd w:val="clear" w:color="auto" w:fill="auto"/>
            <w:vAlign w:val="center"/>
            <w:hideMark/>
          </w:tcPr>
          <w:p w14:paraId="00E1DD9A" w14:textId="77777777" w:rsidR="00413231" w:rsidRDefault="00413231" w:rsidP="003E02A6">
            <w:pPr>
              <w:rPr>
                <w:b/>
                <w:bCs/>
                <w:color w:val="000000"/>
              </w:rPr>
            </w:pPr>
            <w:r>
              <w:rPr>
                <w:b/>
                <w:bCs/>
                <w:color w:val="000000"/>
              </w:rPr>
              <w:t>GLIS3</w:t>
            </w:r>
          </w:p>
        </w:tc>
        <w:tc>
          <w:tcPr>
            <w:tcW w:w="6379" w:type="dxa"/>
            <w:shd w:val="clear" w:color="auto" w:fill="auto"/>
            <w:vAlign w:val="center"/>
            <w:hideMark/>
          </w:tcPr>
          <w:p w14:paraId="73FF0434" w14:textId="77777777" w:rsidR="00413231" w:rsidRDefault="00413231" w:rsidP="003E02A6">
            <w:pPr>
              <w:rPr>
                <w:i/>
                <w:iCs/>
                <w:color w:val="000000"/>
              </w:rPr>
            </w:pPr>
            <w:r>
              <w:rPr>
                <w:rFonts w:eastAsia="Arial"/>
                <w:i/>
                <w:iCs/>
                <w:color w:val="000000" w:themeColor="text1"/>
              </w:rPr>
              <w:t xml:space="preserve">GLIS Family </w:t>
            </w:r>
            <w:proofErr w:type="spellStart"/>
            <w:r>
              <w:rPr>
                <w:rFonts w:eastAsia="Arial"/>
                <w:i/>
                <w:iCs/>
                <w:color w:val="000000" w:themeColor="text1"/>
              </w:rPr>
              <w:t>Zinc</w:t>
            </w:r>
            <w:proofErr w:type="spellEnd"/>
            <w:r>
              <w:rPr>
                <w:rFonts w:eastAsia="Arial"/>
                <w:i/>
                <w:iCs/>
                <w:color w:val="000000" w:themeColor="text1"/>
              </w:rPr>
              <w:t xml:space="preserve"> </w:t>
            </w:r>
            <w:proofErr w:type="spellStart"/>
            <w:r>
              <w:rPr>
                <w:rFonts w:eastAsia="Arial"/>
                <w:i/>
                <w:iCs/>
                <w:color w:val="000000" w:themeColor="text1"/>
              </w:rPr>
              <w:t>Finger</w:t>
            </w:r>
            <w:proofErr w:type="spellEnd"/>
            <w:r>
              <w:rPr>
                <w:rFonts w:eastAsia="Arial"/>
                <w:i/>
                <w:iCs/>
                <w:color w:val="000000" w:themeColor="text1"/>
              </w:rPr>
              <w:t xml:space="preserve"> 3</w:t>
            </w:r>
          </w:p>
        </w:tc>
      </w:tr>
      <w:tr w:rsidR="00413231" w14:paraId="62E526C6" w14:textId="77777777" w:rsidTr="003E02A6">
        <w:trPr>
          <w:trHeight w:val="340"/>
        </w:trPr>
        <w:tc>
          <w:tcPr>
            <w:tcW w:w="1696" w:type="dxa"/>
            <w:shd w:val="clear" w:color="auto" w:fill="auto"/>
            <w:vAlign w:val="center"/>
            <w:hideMark/>
          </w:tcPr>
          <w:p w14:paraId="5DF6CD1B" w14:textId="77777777" w:rsidR="00413231" w:rsidRDefault="00413231" w:rsidP="003E02A6">
            <w:pPr>
              <w:rPr>
                <w:b/>
                <w:bCs/>
                <w:color w:val="000000"/>
              </w:rPr>
            </w:pPr>
            <w:r>
              <w:rPr>
                <w:b/>
                <w:bCs/>
                <w:color w:val="000000"/>
              </w:rPr>
              <w:t>GWAS</w:t>
            </w:r>
          </w:p>
        </w:tc>
        <w:tc>
          <w:tcPr>
            <w:tcW w:w="6379" w:type="dxa"/>
            <w:shd w:val="clear" w:color="auto" w:fill="auto"/>
            <w:vAlign w:val="center"/>
            <w:hideMark/>
          </w:tcPr>
          <w:p w14:paraId="6027689D" w14:textId="77777777" w:rsidR="00413231" w:rsidRDefault="00413231" w:rsidP="003E02A6">
            <w:pPr>
              <w:rPr>
                <w:i/>
                <w:iCs/>
                <w:color w:val="000000"/>
              </w:rPr>
            </w:pPr>
            <w:proofErr w:type="spellStart"/>
            <w:r>
              <w:rPr>
                <w:rFonts w:eastAsia="Arial"/>
                <w:i/>
                <w:iCs/>
                <w:color w:val="000000" w:themeColor="text1"/>
              </w:rPr>
              <w:t>Genome</w:t>
            </w:r>
            <w:proofErr w:type="spellEnd"/>
            <w:r>
              <w:rPr>
                <w:rFonts w:eastAsia="Arial"/>
                <w:i/>
                <w:iCs/>
                <w:color w:val="000000" w:themeColor="text1"/>
              </w:rPr>
              <w:t xml:space="preserve"> </w:t>
            </w:r>
            <w:proofErr w:type="spellStart"/>
            <w:r>
              <w:rPr>
                <w:rFonts w:eastAsia="Arial"/>
                <w:i/>
                <w:iCs/>
                <w:color w:val="000000" w:themeColor="text1"/>
              </w:rPr>
              <w:t>Wide</w:t>
            </w:r>
            <w:proofErr w:type="spellEnd"/>
            <w:r>
              <w:rPr>
                <w:rFonts w:eastAsia="Arial"/>
                <w:i/>
                <w:iCs/>
                <w:color w:val="000000" w:themeColor="text1"/>
              </w:rPr>
              <w:t xml:space="preserve"> </w:t>
            </w:r>
            <w:proofErr w:type="spellStart"/>
            <w:r>
              <w:rPr>
                <w:rFonts w:eastAsia="Arial"/>
                <w:i/>
                <w:iCs/>
                <w:color w:val="000000" w:themeColor="text1"/>
              </w:rPr>
              <w:t>Association</w:t>
            </w:r>
            <w:proofErr w:type="spellEnd"/>
            <w:r>
              <w:rPr>
                <w:rFonts w:eastAsia="Arial"/>
                <w:i/>
                <w:iCs/>
                <w:color w:val="000000" w:themeColor="text1"/>
              </w:rPr>
              <w:t xml:space="preserve"> Study </w:t>
            </w:r>
          </w:p>
        </w:tc>
      </w:tr>
      <w:tr w:rsidR="00413231" w14:paraId="20DD424D" w14:textId="77777777" w:rsidTr="003E02A6">
        <w:trPr>
          <w:trHeight w:val="340"/>
        </w:trPr>
        <w:tc>
          <w:tcPr>
            <w:tcW w:w="1696" w:type="dxa"/>
            <w:shd w:val="clear" w:color="auto" w:fill="auto"/>
            <w:noWrap/>
            <w:vAlign w:val="bottom"/>
            <w:hideMark/>
          </w:tcPr>
          <w:p w14:paraId="0C0D6EAC" w14:textId="77777777" w:rsidR="00413231" w:rsidRDefault="00413231" w:rsidP="003E02A6">
            <w:pPr>
              <w:rPr>
                <w:b/>
                <w:bCs/>
                <w:color w:val="000000"/>
              </w:rPr>
            </w:pPr>
            <w:r>
              <w:rPr>
                <w:b/>
                <w:bCs/>
                <w:color w:val="000000"/>
              </w:rPr>
              <w:t>HAS</w:t>
            </w:r>
          </w:p>
        </w:tc>
        <w:tc>
          <w:tcPr>
            <w:tcW w:w="6379" w:type="dxa"/>
            <w:shd w:val="clear" w:color="auto" w:fill="auto"/>
            <w:vAlign w:val="center"/>
            <w:hideMark/>
          </w:tcPr>
          <w:p w14:paraId="7A5B6FCF" w14:textId="77777777" w:rsidR="00413231" w:rsidRDefault="00413231" w:rsidP="003E02A6">
            <w:pPr>
              <w:rPr>
                <w:color w:val="000000"/>
              </w:rPr>
            </w:pPr>
            <w:r>
              <w:rPr>
                <w:color w:val="000000"/>
              </w:rPr>
              <w:t>Hipertensão Arterial Sistêmica</w:t>
            </w:r>
          </w:p>
        </w:tc>
      </w:tr>
      <w:tr w:rsidR="00413231" w14:paraId="4B8501CC" w14:textId="77777777" w:rsidTr="003E02A6">
        <w:trPr>
          <w:trHeight w:val="340"/>
        </w:trPr>
        <w:tc>
          <w:tcPr>
            <w:tcW w:w="1696" w:type="dxa"/>
            <w:shd w:val="clear" w:color="auto" w:fill="auto"/>
            <w:noWrap/>
            <w:vAlign w:val="bottom"/>
            <w:hideMark/>
          </w:tcPr>
          <w:p w14:paraId="63453F3D" w14:textId="77777777" w:rsidR="00413231" w:rsidRDefault="00413231" w:rsidP="003E02A6">
            <w:pPr>
              <w:rPr>
                <w:b/>
                <w:bCs/>
                <w:color w:val="000000"/>
              </w:rPr>
            </w:pPr>
            <w:r>
              <w:rPr>
                <w:b/>
                <w:bCs/>
                <w:color w:val="000000"/>
              </w:rPr>
              <w:t>HHT</w:t>
            </w:r>
          </w:p>
        </w:tc>
        <w:tc>
          <w:tcPr>
            <w:tcW w:w="6379" w:type="dxa"/>
            <w:shd w:val="clear" w:color="auto" w:fill="auto"/>
            <w:vAlign w:val="center"/>
            <w:hideMark/>
          </w:tcPr>
          <w:p w14:paraId="7297FAFF" w14:textId="77777777" w:rsidR="00413231" w:rsidRDefault="00413231" w:rsidP="003E02A6">
            <w:pPr>
              <w:rPr>
                <w:color w:val="000000"/>
              </w:rPr>
            </w:pPr>
            <w:r>
              <w:rPr>
                <w:color w:val="000000"/>
              </w:rPr>
              <w:t>Hipotálamo Hipófise Tireoide</w:t>
            </w:r>
          </w:p>
        </w:tc>
      </w:tr>
      <w:tr w:rsidR="00413231" w14:paraId="542456A1" w14:textId="77777777" w:rsidTr="003E02A6">
        <w:trPr>
          <w:trHeight w:val="340"/>
        </w:trPr>
        <w:tc>
          <w:tcPr>
            <w:tcW w:w="1696" w:type="dxa"/>
            <w:shd w:val="clear" w:color="auto" w:fill="auto"/>
            <w:vAlign w:val="center"/>
            <w:hideMark/>
          </w:tcPr>
          <w:p w14:paraId="48A2BE02" w14:textId="77777777" w:rsidR="00413231" w:rsidRDefault="00413231" w:rsidP="003E02A6">
            <w:pPr>
              <w:rPr>
                <w:b/>
                <w:bCs/>
                <w:color w:val="000000"/>
              </w:rPr>
            </w:pPr>
            <w:r>
              <w:rPr>
                <w:b/>
                <w:bCs/>
                <w:color w:val="000000"/>
              </w:rPr>
              <w:t>HT</w:t>
            </w:r>
          </w:p>
        </w:tc>
        <w:tc>
          <w:tcPr>
            <w:tcW w:w="6379" w:type="dxa"/>
            <w:shd w:val="clear" w:color="auto" w:fill="auto"/>
            <w:vAlign w:val="center"/>
            <w:hideMark/>
          </w:tcPr>
          <w:p w14:paraId="266036D5" w14:textId="7CB56D6A" w:rsidR="00413231" w:rsidRDefault="00413231" w:rsidP="003E02A6">
            <w:pPr>
              <w:rPr>
                <w:color w:val="000000"/>
              </w:rPr>
            </w:pPr>
            <w:r>
              <w:rPr>
                <w:color w:val="000000"/>
              </w:rPr>
              <w:t>Hormônio</w:t>
            </w:r>
            <w:r w:rsidR="00BE5021">
              <w:rPr>
                <w:color w:val="000000"/>
              </w:rPr>
              <w:t>s</w:t>
            </w:r>
            <w:r>
              <w:rPr>
                <w:color w:val="000000"/>
              </w:rPr>
              <w:t xml:space="preserve"> Tireoidiano</w:t>
            </w:r>
            <w:r w:rsidR="00BE5021">
              <w:rPr>
                <w:color w:val="000000"/>
              </w:rPr>
              <w:t>s</w:t>
            </w:r>
            <w:r>
              <w:rPr>
                <w:color w:val="000000"/>
              </w:rPr>
              <w:t xml:space="preserve"> </w:t>
            </w:r>
          </w:p>
        </w:tc>
      </w:tr>
      <w:tr w:rsidR="00413231" w14:paraId="257A49A2" w14:textId="77777777" w:rsidTr="003E02A6">
        <w:trPr>
          <w:trHeight w:val="340"/>
        </w:trPr>
        <w:tc>
          <w:tcPr>
            <w:tcW w:w="1696" w:type="dxa"/>
            <w:shd w:val="clear" w:color="auto" w:fill="auto"/>
            <w:vAlign w:val="center"/>
            <w:hideMark/>
          </w:tcPr>
          <w:p w14:paraId="111C42BF" w14:textId="77777777" w:rsidR="00413231" w:rsidRDefault="00413231" w:rsidP="003E02A6">
            <w:pPr>
              <w:rPr>
                <w:b/>
                <w:bCs/>
                <w:color w:val="000000"/>
              </w:rPr>
            </w:pPr>
            <w:r>
              <w:rPr>
                <w:b/>
                <w:bCs/>
                <w:color w:val="000000"/>
              </w:rPr>
              <w:t>HWE</w:t>
            </w:r>
          </w:p>
        </w:tc>
        <w:tc>
          <w:tcPr>
            <w:tcW w:w="6379" w:type="dxa"/>
            <w:shd w:val="clear" w:color="auto" w:fill="auto"/>
            <w:vAlign w:val="center"/>
            <w:hideMark/>
          </w:tcPr>
          <w:p w14:paraId="04394E37" w14:textId="77777777" w:rsidR="00413231" w:rsidRDefault="00413231" w:rsidP="003E02A6">
            <w:pPr>
              <w:rPr>
                <w:i/>
                <w:iCs/>
                <w:color w:val="000000"/>
              </w:rPr>
            </w:pPr>
            <w:r>
              <w:rPr>
                <w:i/>
                <w:iCs/>
                <w:color w:val="000000"/>
              </w:rPr>
              <w:t>Hardy-Weinberg Equilibrium</w:t>
            </w:r>
          </w:p>
        </w:tc>
      </w:tr>
      <w:tr w:rsidR="00413231" w14:paraId="5A781EC4" w14:textId="77777777" w:rsidTr="003E02A6">
        <w:trPr>
          <w:trHeight w:val="340"/>
        </w:trPr>
        <w:tc>
          <w:tcPr>
            <w:tcW w:w="1696" w:type="dxa"/>
            <w:shd w:val="clear" w:color="auto" w:fill="auto"/>
            <w:noWrap/>
            <w:vAlign w:val="bottom"/>
            <w:hideMark/>
          </w:tcPr>
          <w:p w14:paraId="5F67816C" w14:textId="77777777" w:rsidR="00413231" w:rsidRDefault="00413231" w:rsidP="003E02A6">
            <w:pPr>
              <w:rPr>
                <w:b/>
                <w:bCs/>
                <w:color w:val="000000"/>
              </w:rPr>
            </w:pPr>
            <w:r>
              <w:rPr>
                <w:b/>
                <w:bCs/>
                <w:color w:val="000000"/>
              </w:rPr>
              <w:t>IMC</w:t>
            </w:r>
          </w:p>
        </w:tc>
        <w:tc>
          <w:tcPr>
            <w:tcW w:w="6379" w:type="dxa"/>
            <w:shd w:val="clear" w:color="auto" w:fill="auto"/>
            <w:vAlign w:val="center"/>
            <w:hideMark/>
          </w:tcPr>
          <w:p w14:paraId="20DD0792" w14:textId="77777777" w:rsidR="00413231" w:rsidRDefault="00413231" w:rsidP="003E02A6">
            <w:pPr>
              <w:rPr>
                <w:color w:val="000000"/>
              </w:rPr>
            </w:pPr>
            <w:r>
              <w:rPr>
                <w:color w:val="000000"/>
              </w:rPr>
              <w:t>Índice de Massa Corpórea</w:t>
            </w:r>
          </w:p>
        </w:tc>
      </w:tr>
      <w:tr w:rsidR="00413231" w14:paraId="7BF5D726" w14:textId="77777777" w:rsidTr="003E02A6">
        <w:trPr>
          <w:trHeight w:val="340"/>
        </w:trPr>
        <w:tc>
          <w:tcPr>
            <w:tcW w:w="1696" w:type="dxa"/>
            <w:shd w:val="clear" w:color="auto" w:fill="auto"/>
            <w:noWrap/>
            <w:vAlign w:val="bottom"/>
            <w:hideMark/>
          </w:tcPr>
          <w:p w14:paraId="4D411DEB" w14:textId="77777777" w:rsidR="00413231" w:rsidRDefault="00413231" w:rsidP="003E02A6">
            <w:pPr>
              <w:rPr>
                <w:b/>
                <w:bCs/>
                <w:color w:val="000000"/>
              </w:rPr>
            </w:pPr>
            <w:r>
              <w:rPr>
                <w:b/>
                <w:bCs/>
                <w:color w:val="000000"/>
              </w:rPr>
              <w:t>IQR</w:t>
            </w:r>
          </w:p>
        </w:tc>
        <w:tc>
          <w:tcPr>
            <w:tcW w:w="6379" w:type="dxa"/>
            <w:shd w:val="clear" w:color="auto" w:fill="auto"/>
            <w:vAlign w:val="center"/>
            <w:hideMark/>
          </w:tcPr>
          <w:p w14:paraId="56259C9B" w14:textId="77777777" w:rsidR="00413231" w:rsidRPr="00B42082" w:rsidRDefault="00413231" w:rsidP="003E02A6">
            <w:pPr>
              <w:rPr>
                <w:i/>
                <w:iCs/>
                <w:color w:val="000000"/>
              </w:rPr>
            </w:pPr>
            <w:proofErr w:type="spellStart"/>
            <w:r w:rsidRPr="00B42082">
              <w:rPr>
                <w:i/>
                <w:iCs/>
                <w:color w:val="000000"/>
              </w:rPr>
              <w:t>Interquartile</w:t>
            </w:r>
            <w:proofErr w:type="spellEnd"/>
            <w:r w:rsidRPr="00B42082">
              <w:rPr>
                <w:i/>
                <w:iCs/>
                <w:color w:val="000000"/>
              </w:rPr>
              <w:t xml:space="preserve"> Range</w:t>
            </w:r>
          </w:p>
        </w:tc>
      </w:tr>
      <w:tr w:rsidR="00413231" w14:paraId="5BF0BA76" w14:textId="77777777" w:rsidTr="003E02A6">
        <w:trPr>
          <w:trHeight w:val="340"/>
        </w:trPr>
        <w:tc>
          <w:tcPr>
            <w:tcW w:w="1696" w:type="dxa"/>
            <w:shd w:val="clear" w:color="auto" w:fill="auto"/>
            <w:vAlign w:val="center"/>
            <w:hideMark/>
          </w:tcPr>
          <w:p w14:paraId="214BBBC7" w14:textId="77777777" w:rsidR="00413231" w:rsidRDefault="00413231" w:rsidP="003E02A6">
            <w:pPr>
              <w:rPr>
                <w:b/>
                <w:bCs/>
                <w:color w:val="000000"/>
              </w:rPr>
            </w:pPr>
            <w:r>
              <w:rPr>
                <w:b/>
                <w:bCs/>
                <w:color w:val="000000"/>
              </w:rPr>
              <w:t>LET</w:t>
            </w:r>
          </w:p>
        </w:tc>
        <w:tc>
          <w:tcPr>
            <w:tcW w:w="6379" w:type="dxa"/>
            <w:shd w:val="clear" w:color="auto" w:fill="auto"/>
            <w:vAlign w:val="center"/>
            <w:hideMark/>
          </w:tcPr>
          <w:p w14:paraId="716F7537" w14:textId="77777777" w:rsidR="00413231" w:rsidRDefault="00413231" w:rsidP="003E02A6">
            <w:pPr>
              <w:rPr>
                <w:color w:val="000000"/>
              </w:rPr>
            </w:pPr>
            <w:r>
              <w:rPr>
                <w:color w:val="000000"/>
              </w:rPr>
              <w:t xml:space="preserve">Laboratório de Estudo da Tireoide </w:t>
            </w:r>
          </w:p>
        </w:tc>
      </w:tr>
      <w:tr w:rsidR="00413231" w14:paraId="2F32F2BF" w14:textId="77777777" w:rsidTr="003E02A6">
        <w:trPr>
          <w:trHeight w:val="340"/>
        </w:trPr>
        <w:tc>
          <w:tcPr>
            <w:tcW w:w="1696" w:type="dxa"/>
            <w:shd w:val="clear" w:color="auto" w:fill="auto"/>
            <w:vAlign w:val="center"/>
            <w:hideMark/>
          </w:tcPr>
          <w:p w14:paraId="3D2E27E5" w14:textId="77777777" w:rsidR="00413231" w:rsidRDefault="00413231" w:rsidP="003E02A6">
            <w:pPr>
              <w:rPr>
                <w:b/>
                <w:bCs/>
                <w:color w:val="000000"/>
              </w:rPr>
            </w:pPr>
            <w:r>
              <w:rPr>
                <w:b/>
                <w:bCs/>
                <w:color w:val="000000"/>
              </w:rPr>
              <w:t>MAF</w:t>
            </w:r>
          </w:p>
        </w:tc>
        <w:tc>
          <w:tcPr>
            <w:tcW w:w="6379" w:type="dxa"/>
            <w:shd w:val="clear" w:color="auto" w:fill="auto"/>
            <w:vAlign w:val="center"/>
            <w:hideMark/>
          </w:tcPr>
          <w:p w14:paraId="2EBD4CAA" w14:textId="77777777" w:rsidR="00413231" w:rsidRDefault="00413231" w:rsidP="003E02A6">
            <w:pPr>
              <w:rPr>
                <w:i/>
                <w:iCs/>
                <w:color w:val="000000"/>
              </w:rPr>
            </w:pPr>
            <w:r>
              <w:rPr>
                <w:rFonts w:eastAsia="Arial"/>
                <w:i/>
                <w:iCs/>
                <w:color w:val="000000" w:themeColor="text1"/>
              </w:rPr>
              <w:t xml:space="preserve">Minor </w:t>
            </w:r>
            <w:proofErr w:type="spellStart"/>
            <w:r>
              <w:rPr>
                <w:rFonts w:eastAsia="Arial"/>
                <w:i/>
                <w:iCs/>
                <w:color w:val="000000" w:themeColor="text1"/>
              </w:rPr>
              <w:t>Allele</w:t>
            </w:r>
            <w:proofErr w:type="spellEnd"/>
            <w:r>
              <w:rPr>
                <w:rFonts w:eastAsia="Arial"/>
                <w:i/>
                <w:iCs/>
                <w:color w:val="000000" w:themeColor="text1"/>
              </w:rPr>
              <w:t xml:space="preserve"> </w:t>
            </w:r>
            <w:proofErr w:type="spellStart"/>
            <w:r>
              <w:rPr>
                <w:rFonts w:eastAsia="Arial"/>
                <w:i/>
                <w:iCs/>
                <w:color w:val="000000" w:themeColor="text1"/>
              </w:rPr>
              <w:t>Frequency</w:t>
            </w:r>
            <w:proofErr w:type="spellEnd"/>
          </w:p>
        </w:tc>
      </w:tr>
      <w:tr w:rsidR="00413231" w14:paraId="3EFB9A1B" w14:textId="77777777" w:rsidTr="003E02A6">
        <w:trPr>
          <w:trHeight w:val="340"/>
        </w:trPr>
        <w:tc>
          <w:tcPr>
            <w:tcW w:w="1696" w:type="dxa"/>
            <w:shd w:val="clear" w:color="auto" w:fill="auto"/>
            <w:noWrap/>
            <w:vAlign w:val="bottom"/>
          </w:tcPr>
          <w:p w14:paraId="50974CD2" w14:textId="52966571" w:rsidR="00413231" w:rsidRDefault="00873778" w:rsidP="003E02A6">
            <w:pPr>
              <w:rPr>
                <w:b/>
                <w:bCs/>
                <w:color w:val="000000"/>
              </w:rPr>
            </w:pPr>
            <w:r>
              <w:rPr>
                <w:b/>
                <w:bCs/>
                <w:color w:val="000000"/>
              </w:rPr>
              <w:t>NIS</w:t>
            </w:r>
          </w:p>
        </w:tc>
        <w:tc>
          <w:tcPr>
            <w:tcW w:w="6379" w:type="dxa"/>
            <w:shd w:val="clear" w:color="auto" w:fill="auto"/>
            <w:vAlign w:val="center"/>
          </w:tcPr>
          <w:p w14:paraId="576B0069" w14:textId="7FE868E3" w:rsidR="00413231" w:rsidRDefault="00873778" w:rsidP="003E02A6">
            <w:pPr>
              <w:rPr>
                <w:color w:val="000000"/>
              </w:rPr>
            </w:pPr>
            <w:proofErr w:type="spellStart"/>
            <w:r>
              <w:rPr>
                <w:color w:val="000000"/>
              </w:rPr>
              <w:t>Co-transportador</w:t>
            </w:r>
            <w:proofErr w:type="spellEnd"/>
            <w:r>
              <w:rPr>
                <w:color w:val="000000"/>
              </w:rPr>
              <w:t xml:space="preserve"> de Sódio / Iodeto</w:t>
            </w:r>
          </w:p>
        </w:tc>
      </w:tr>
      <w:tr w:rsidR="00873778" w14:paraId="425D44AD" w14:textId="77777777" w:rsidTr="003E02A6">
        <w:trPr>
          <w:trHeight w:val="340"/>
        </w:trPr>
        <w:tc>
          <w:tcPr>
            <w:tcW w:w="1696" w:type="dxa"/>
            <w:shd w:val="clear" w:color="auto" w:fill="auto"/>
            <w:vAlign w:val="bottom"/>
          </w:tcPr>
          <w:p w14:paraId="5553CF1B" w14:textId="65C88178" w:rsidR="00873778" w:rsidRDefault="00873778" w:rsidP="003E02A6">
            <w:pPr>
              <w:rPr>
                <w:b/>
                <w:bCs/>
                <w:color w:val="000000"/>
              </w:rPr>
            </w:pPr>
            <w:r>
              <w:rPr>
                <w:b/>
                <w:bCs/>
                <w:color w:val="000000"/>
              </w:rPr>
              <w:t>OMS</w:t>
            </w:r>
          </w:p>
        </w:tc>
        <w:tc>
          <w:tcPr>
            <w:tcW w:w="6379" w:type="dxa"/>
            <w:shd w:val="clear" w:color="auto" w:fill="auto"/>
            <w:vAlign w:val="center"/>
          </w:tcPr>
          <w:p w14:paraId="0B3D1BB9" w14:textId="3C8A949C" w:rsidR="00873778" w:rsidRPr="00873778" w:rsidRDefault="00873778" w:rsidP="003E02A6">
            <w:pPr>
              <w:rPr>
                <w:color w:val="000000"/>
              </w:rPr>
            </w:pPr>
            <w:r>
              <w:rPr>
                <w:color w:val="000000"/>
              </w:rPr>
              <w:t xml:space="preserve">Organização Mundial da Saúde </w:t>
            </w:r>
          </w:p>
        </w:tc>
      </w:tr>
      <w:tr w:rsidR="00873778" w:rsidRPr="005274AE" w14:paraId="69A2B659" w14:textId="77777777" w:rsidTr="003E02A6">
        <w:trPr>
          <w:trHeight w:val="340"/>
        </w:trPr>
        <w:tc>
          <w:tcPr>
            <w:tcW w:w="1696" w:type="dxa"/>
            <w:shd w:val="clear" w:color="auto" w:fill="auto"/>
            <w:vAlign w:val="center"/>
          </w:tcPr>
          <w:p w14:paraId="0F206ABB" w14:textId="027DC702" w:rsidR="00873778" w:rsidRDefault="00873778" w:rsidP="003E02A6">
            <w:pPr>
              <w:rPr>
                <w:b/>
                <w:bCs/>
                <w:color w:val="000000"/>
              </w:rPr>
            </w:pPr>
            <w:r>
              <w:rPr>
                <w:b/>
                <w:bCs/>
                <w:color w:val="000000"/>
              </w:rPr>
              <w:t>P</w:t>
            </w:r>
            <w:r w:rsidR="000B31C0">
              <w:rPr>
                <w:b/>
                <w:bCs/>
                <w:color w:val="000000"/>
              </w:rPr>
              <w:t>DS</w:t>
            </w:r>
          </w:p>
        </w:tc>
        <w:tc>
          <w:tcPr>
            <w:tcW w:w="6379" w:type="dxa"/>
            <w:shd w:val="clear" w:color="auto" w:fill="auto"/>
            <w:vAlign w:val="center"/>
          </w:tcPr>
          <w:p w14:paraId="69AB3F27" w14:textId="2B740662" w:rsidR="00873778" w:rsidRPr="00873778" w:rsidRDefault="00873778" w:rsidP="003E02A6">
            <w:pPr>
              <w:rPr>
                <w:i/>
                <w:iCs/>
                <w:color w:val="000000"/>
              </w:rPr>
            </w:pPr>
            <w:r>
              <w:rPr>
                <w:color w:val="000000"/>
              </w:rPr>
              <w:t>Pendrina</w:t>
            </w:r>
          </w:p>
        </w:tc>
      </w:tr>
      <w:tr w:rsidR="00873778" w:rsidRPr="0040498B" w14:paraId="0F111EE0" w14:textId="77777777" w:rsidTr="003E02A6">
        <w:trPr>
          <w:trHeight w:val="340"/>
        </w:trPr>
        <w:tc>
          <w:tcPr>
            <w:tcW w:w="1696" w:type="dxa"/>
            <w:shd w:val="clear" w:color="auto" w:fill="auto"/>
            <w:vAlign w:val="center"/>
          </w:tcPr>
          <w:p w14:paraId="223A65DA" w14:textId="3AAA31B6" w:rsidR="00873778" w:rsidRDefault="00873778" w:rsidP="003E02A6">
            <w:pPr>
              <w:rPr>
                <w:b/>
                <w:bCs/>
                <w:color w:val="000000"/>
              </w:rPr>
            </w:pPr>
            <w:r>
              <w:rPr>
                <w:b/>
                <w:bCs/>
                <w:color w:val="000000"/>
              </w:rPr>
              <w:t>PDE10A</w:t>
            </w:r>
          </w:p>
        </w:tc>
        <w:tc>
          <w:tcPr>
            <w:tcW w:w="6379" w:type="dxa"/>
            <w:shd w:val="clear" w:color="auto" w:fill="auto"/>
            <w:vAlign w:val="center"/>
          </w:tcPr>
          <w:p w14:paraId="356216CA" w14:textId="1D25A2B0" w:rsidR="00873778" w:rsidRPr="0040498B" w:rsidRDefault="00873778" w:rsidP="003E02A6">
            <w:pPr>
              <w:rPr>
                <w:color w:val="000000"/>
                <w:lang w:val="en-US"/>
              </w:rPr>
            </w:pPr>
            <w:proofErr w:type="spellStart"/>
            <w:r>
              <w:rPr>
                <w:i/>
                <w:iCs/>
                <w:color w:val="000000"/>
              </w:rPr>
              <w:t>Phosphodiesterase</w:t>
            </w:r>
            <w:proofErr w:type="spellEnd"/>
            <w:r>
              <w:rPr>
                <w:i/>
                <w:iCs/>
                <w:color w:val="000000"/>
              </w:rPr>
              <w:t xml:space="preserve"> 10 A</w:t>
            </w:r>
          </w:p>
        </w:tc>
      </w:tr>
      <w:tr w:rsidR="00873778" w:rsidRPr="00D06311" w14:paraId="0AE13A2E" w14:textId="77777777" w:rsidTr="003E02A6">
        <w:trPr>
          <w:trHeight w:val="340"/>
        </w:trPr>
        <w:tc>
          <w:tcPr>
            <w:tcW w:w="1696" w:type="dxa"/>
            <w:shd w:val="clear" w:color="auto" w:fill="auto"/>
            <w:vAlign w:val="center"/>
          </w:tcPr>
          <w:p w14:paraId="1EDA2289" w14:textId="2E41E4A4" w:rsidR="00873778" w:rsidRDefault="00873778" w:rsidP="003E02A6">
            <w:pPr>
              <w:rPr>
                <w:b/>
                <w:bCs/>
                <w:color w:val="000000"/>
              </w:rPr>
            </w:pPr>
            <w:r>
              <w:rPr>
                <w:b/>
                <w:bCs/>
                <w:color w:val="000000"/>
              </w:rPr>
              <w:t>PTCSC2</w:t>
            </w:r>
          </w:p>
        </w:tc>
        <w:tc>
          <w:tcPr>
            <w:tcW w:w="6379" w:type="dxa"/>
            <w:shd w:val="clear" w:color="auto" w:fill="auto"/>
            <w:vAlign w:val="center"/>
          </w:tcPr>
          <w:p w14:paraId="316BAD39" w14:textId="47DEFF8C" w:rsidR="00873778" w:rsidRPr="00873778" w:rsidRDefault="00873778" w:rsidP="003E02A6">
            <w:pPr>
              <w:rPr>
                <w:i/>
                <w:iCs/>
                <w:color w:val="000000"/>
                <w:lang w:val="en-US"/>
              </w:rPr>
            </w:pPr>
            <w:r>
              <w:rPr>
                <w:rFonts w:eastAsia="Arial"/>
                <w:i/>
                <w:iCs/>
                <w:color w:val="000000" w:themeColor="text1"/>
                <w:lang w:val="en-US"/>
              </w:rPr>
              <w:t>Papillary Thyroid Carcinoma Susceptibility Candidate 2</w:t>
            </w:r>
          </w:p>
        </w:tc>
      </w:tr>
      <w:tr w:rsidR="00873778" w14:paraId="3AA2B636" w14:textId="77777777" w:rsidTr="003E02A6">
        <w:trPr>
          <w:trHeight w:val="340"/>
        </w:trPr>
        <w:tc>
          <w:tcPr>
            <w:tcW w:w="1696" w:type="dxa"/>
            <w:shd w:val="clear" w:color="auto" w:fill="auto"/>
            <w:vAlign w:val="center"/>
          </w:tcPr>
          <w:p w14:paraId="7D819B59" w14:textId="71D6486F" w:rsidR="00873778" w:rsidRDefault="003E02A6" w:rsidP="003E02A6">
            <w:pPr>
              <w:rPr>
                <w:b/>
                <w:bCs/>
                <w:color w:val="000000"/>
              </w:rPr>
            </w:pPr>
            <w:r>
              <w:rPr>
                <w:b/>
                <w:bCs/>
                <w:color w:val="000000"/>
              </w:rPr>
              <w:t>RNAm</w:t>
            </w:r>
          </w:p>
        </w:tc>
        <w:tc>
          <w:tcPr>
            <w:tcW w:w="6379" w:type="dxa"/>
            <w:shd w:val="clear" w:color="auto" w:fill="auto"/>
            <w:vAlign w:val="center"/>
          </w:tcPr>
          <w:p w14:paraId="70319EB7" w14:textId="3EA8EE99" w:rsidR="00873778" w:rsidRDefault="00873778" w:rsidP="003E02A6">
            <w:pPr>
              <w:rPr>
                <w:color w:val="000000"/>
              </w:rPr>
            </w:pPr>
            <w:r>
              <w:rPr>
                <w:color w:val="000000"/>
              </w:rPr>
              <w:t>RNA mensageiro</w:t>
            </w:r>
          </w:p>
        </w:tc>
      </w:tr>
      <w:tr w:rsidR="00873778" w14:paraId="13306DDC" w14:textId="77777777" w:rsidTr="003E02A6">
        <w:trPr>
          <w:trHeight w:val="340"/>
        </w:trPr>
        <w:tc>
          <w:tcPr>
            <w:tcW w:w="1696" w:type="dxa"/>
            <w:shd w:val="clear" w:color="auto" w:fill="auto"/>
            <w:vAlign w:val="center"/>
          </w:tcPr>
          <w:p w14:paraId="0F350678" w14:textId="16CB9060" w:rsidR="00873778" w:rsidRDefault="00873778" w:rsidP="003E02A6">
            <w:pPr>
              <w:jc w:val="both"/>
              <w:rPr>
                <w:b/>
                <w:bCs/>
                <w:color w:val="000000"/>
              </w:rPr>
            </w:pPr>
            <w:r>
              <w:rPr>
                <w:b/>
                <w:bCs/>
                <w:color w:val="000000" w:themeColor="text1"/>
              </w:rPr>
              <w:t>SCL17A4</w:t>
            </w:r>
          </w:p>
        </w:tc>
        <w:tc>
          <w:tcPr>
            <w:tcW w:w="6379" w:type="dxa"/>
            <w:shd w:val="clear" w:color="auto" w:fill="auto"/>
            <w:vAlign w:val="center"/>
          </w:tcPr>
          <w:p w14:paraId="0045DCB3" w14:textId="4BCA50A4" w:rsidR="00873778" w:rsidRDefault="00873778" w:rsidP="003E02A6">
            <w:pPr>
              <w:rPr>
                <w:color w:val="000000"/>
              </w:rPr>
            </w:pPr>
            <w:proofErr w:type="spellStart"/>
            <w:r>
              <w:rPr>
                <w:rFonts w:eastAsia="Arial"/>
                <w:i/>
                <w:iCs/>
                <w:color w:val="000000" w:themeColor="text1"/>
              </w:rPr>
              <w:t>Solute</w:t>
            </w:r>
            <w:proofErr w:type="spellEnd"/>
            <w:r>
              <w:rPr>
                <w:rFonts w:eastAsia="Arial"/>
                <w:i/>
                <w:iCs/>
                <w:color w:val="000000" w:themeColor="text1"/>
              </w:rPr>
              <w:t xml:space="preserve"> Carrier Family 17 </w:t>
            </w:r>
            <w:proofErr w:type="spellStart"/>
            <w:r>
              <w:rPr>
                <w:rFonts w:eastAsia="Arial"/>
                <w:i/>
                <w:iCs/>
                <w:color w:val="000000" w:themeColor="text1"/>
              </w:rPr>
              <w:t>Member</w:t>
            </w:r>
            <w:proofErr w:type="spellEnd"/>
            <w:r>
              <w:rPr>
                <w:rFonts w:eastAsia="Arial"/>
                <w:i/>
                <w:iCs/>
                <w:color w:val="000000" w:themeColor="text1"/>
              </w:rPr>
              <w:t xml:space="preserve"> 4</w:t>
            </w:r>
          </w:p>
        </w:tc>
      </w:tr>
      <w:tr w:rsidR="00873778" w14:paraId="319302C5" w14:textId="77777777" w:rsidTr="003E02A6">
        <w:trPr>
          <w:trHeight w:val="340"/>
        </w:trPr>
        <w:tc>
          <w:tcPr>
            <w:tcW w:w="1696" w:type="dxa"/>
            <w:shd w:val="clear" w:color="auto" w:fill="auto"/>
            <w:vAlign w:val="center"/>
          </w:tcPr>
          <w:p w14:paraId="43F3588E" w14:textId="1A6E7DE1" w:rsidR="00873778" w:rsidRDefault="00873778" w:rsidP="003E02A6">
            <w:pPr>
              <w:jc w:val="both"/>
              <w:rPr>
                <w:b/>
                <w:bCs/>
                <w:color w:val="000000"/>
              </w:rPr>
            </w:pPr>
            <w:r>
              <w:rPr>
                <w:rFonts w:eastAsia="Arial"/>
                <w:b/>
                <w:bCs/>
                <w:color w:val="000000" w:themeColor="text1"/>
              </w:rPr>
              <w:t>SNP</w:t>
            </w:r>
          </w:p>
        </w:tc>
        <w:tc>
          <w:tcPr>
            <w:tcW w:w="6379" w:type="dxa"/>
            <w:shd w:val="clear" w:color="auto" w:fill="auto"/>
            <w:vAlign w:val="center"/>
          </w:tcPr>
          <w:p w14:paraId="69991A4E" w14:textId="2B847FBE" w:rsidR="00873778" w:rsidRDefault="00873778" w:rsidP="003E02A6">
            <w:pPr>
              <w:rPr>
                <w:color w:val="000000"/>
              </w:rPr>
            </w:pPr>
            <w:r>
              <w:rPr>
                <w:rFonts w:eastAsia="Arial"/>
                <w:i/>
                <w:iCs/>
                <w:color w:val="000000" w:themeColor="text1"/>
              </w:rPr>
              <w:t xml:space="preserve">Single </w:t>
            </w:r>
            <w:proofErr w:type="spellStart"/>
            <w:r>
              <w:rPr>
                <w:rFonts w:eastAsia="Arial"/>
                <w:i/>
                <w:iCs/>
                <w:color w:val="000000" w:themeColor="text1"/>
              </w:rPr>
              <w:t>Nucleotide</w:t>
            </w:r>
            <w:proofErr w:type="spellEnd"/>
            <w:r>
              <w:rPr>
                <w:rFonts w:eastAsia="Arial"/>
                <w:i/>
                <w:iCs/>
                <w:color w:val="000000" w:themeColor="text1"/>
              </w:rPr>
              <w:t xml:space="preserve"> </w:t>
            </w:r>
            <w:proofErr w:type="spellStart"/>
            <w:r>
              <w:rPr>
                <w:rFonts w:eastAsia="Arial"/>
                <w:i/>
                <w:iCs/>
                <w:color w:val="000000" w:themeColor="text1"/>
              </w:rPr>
              <w:t>Polimorphism</w:t>
            </w:r>
            <w:proofErr w:type="spellEnd"/>
          </w:p>
        </w:tc>
      </w:tr>
      <w:tr w:rsidR="00873778" w14:paraId="3A61E266" w14:textId="77777777" w:rsidTr="003E02A6">
        <w:trPr>
          <w:trHeight w:val="340"/>
        </w:trPr>
        <w:tc>
          <w:tcPr>
            <w:tcW w:w="1696" w:type="dxa"/>
            <w:shd w:val="clear" w:color="auto" w:fill="auto"/>
            <w:vAlign w:val="center"/>
          </w:tcPr>
          <w:p w14:paraId="6FDE10A3" w14:textId="1BDFF3C3" w:rsidR="00873778" w:rsidRDefault="00873778" w:rsidP="003E02A6">
            <w:pPr>
              <w:jc w:val="both"/>
              <w:rPr>
                <w:b/>
                <w:bCs/>
                <w:color w:val="000000"/>
              </w:rPr>
            </w:pPr>
            <w:r>
              <w:rPr>
                <w:rFonts w:eastAsia="Arial"/>
                <w:b/>
                <w:bCs/>
                <w:color w:val="000000" w:themeColor="text1"/>
              </w:rPr>
              <w:t>T3l</w:t>
            </w:r>
          </w:p>
        </w:tc>
        <w:tc>
          <w:tcPr>
            <w:tcW w:w="6379" w:type="dxa"/>
            <w:shd w:val="clear" w:color="auto" w:fill="auto"/>
            <w:vAlign w:val="center"/>
          </w:tcPr>
          <w:p w14:paraId="35312B96" w14:textId="15255F89" w:rsidR="00873778" w:rsidRDefault="00873778" w:rsidP="003E02A6">
            <w:pPr>
              <w:rPr>
                <w:color w:val="000000"/>
              </w:rPr>
            </w:pPr>
            <w:r>
              <w:rPr>
                <w:rFonts w:eastAsia="Arial"/>
                <w:iCs/>
                <w:color w:val="000000" w:themeColor="text1"/>
              </w:rPr>
              <w:t>Triiodotironina Livre</w:t>
            </w:r>
          </w:p>
        </w:tc>
      </w:tr>
      <w:tr w:rsidR="00873778" w14:paraId="21E19670" w14:textId="77777777" w:rsidTr="003E02A6">
        <w:trPr>
          <w:trHeight w:val="340"/>
        </w:trPr>
        <w:tc>
          <w:tcPr>
            <w:tcW w:w="1696" w:type="dxa"/>
            <w:shd w:val="clear" w:color="auto" w:fill="auto"/>
            <w:vAlign w:val="center"/>
          </w:tcPr>
          <w:p w14:paraId="583732C7" w14:textId="79973D34" w:rsidR="00873778" w:rsidRDefault="00873778" w:rsidP="003E02A6">
            <w:pPr>
              <w:jc w:val="both"/>
              <w:rPr>
                <w:b/>
                <w:bCs/>
                <w:color w:val="000000"/>
              </w:rPr>
            </w:pPr>
            <w:r>
              <w:rPr>
                <w:b/>
                <w:bCs/>
                <w:color w:val="000000"/>
              </w:rPr>
              <w:t>T4l</w:t>
            </w:r>
          </w:p>
        </w:tc>
        <w:tc>
          <w:tcPr>
            <w:tcW w:w="6379" w:type="dxa"/>
            <w:shd w:val="clear" w:color="auto" w:fill="auto"/>
            <w:vAlign w:val="center"/>
          </w:tcPr>
          <w:p w14:paraId="58A3E052" w14:textId="55CED77F" w:rsidR="00873778" w:rsidRDefault="00873778" w:rsidP="003E02A6">
            <w:pPr>
              <w:rPr>
                <w:color w:val="000000"/>
              </w:rPr>
            </w:pPr>
            <w:r>
              <w:rPr>
                <w:rFonts w:eastAsia="Arial"/>
                <w:color w:val="000000" w:themeColor="text1"/>
              </w:rPr>
              <w:t>Tetraiodotironina Livre</w:t>
            </w:r>
          </w:p>
        </w:tc>
      </w:tr>
      <w:tr w:rsidR="00873778" w14:paraId="73F038A3" w14:textId="77777777" w:rsidTr="003E02A6">
        <w:trPr>
          <w:trHeight w:val="340"/>
        </w:trPr>
        <w:tc>
          <w:tcPr>
            <w:tcW w:w="1696" w:type="dxa"/>
            <w:shd w:val="clear" w:color="auto" w:fill="auto"/>
            <w:vAlign w:val="center"/>
          </w:tcPr>
          <w:p w14:paraId="665508B3" w14:textId="3A13EB07" w:rsidR="00873778" w:rsidRDefault="00873778" w:rsidP="003E02A6">
            <w:pPr>
              <w:jc w:val="both"/>
              <w:rPr>
                <w:b/>
                <w:bCs/>
                <w:color w:val="000000"/>
              </w:rPr>
            </w:pPr>
            <w:r>
              <w:rPr>
                <w:b/>
                <w:bCs/>
                <w:color w:val="000000"/>
              </w:rPr>
              <w:t>TSH</w:t>
            </w:r>
          </w:p>
        </w:tc>
        <w:tc>
          <w:tcPr>
            <w:tcW w:w="6379" w:type="dxa"/>
            <w:shd w:val="clear" w:color="auto" w:fill="auto"/>
            <w:vAlign w:val="center"/>
          </w:tcPr>
          <w:p w14:paraId="673B95D7" w14:textId="7B2DFCF9" w:rsidR="00873778" w:rsidRDefault="00873778" w:rsidP="003E02A6">
            <w:pPr>
              <w:rPr>
                <w:color w:val="000000"/>
              </w:rPr>
            </w:pPr>
            <w:r>
              <w:rPr>
                <w:color w:val="000000"/>
              </w:rPr>
              <w:t xml:space="preserve">Hormônio Tireoestimulante  </w:t>
            </w:r>
          </w:p>
        </w:tc>
      </w:tr>
      <w:tr w:rsidR="00873778" w14:paraId="46D7D01C" w14:textId="77777777" w:rsidTr="003E02A6">
        <w:trPr>
          <w:trHeight w:val="340"/>
        </w:trPr>
        <w:tc>
          <w:tcPr>
            <w:tcW w:w="1696" w:type="dxa"/>
            <w:shd w:val="clear" w:color="auto" w:fill="auto"/>
            <w:vAlign w:val="center"/>
          </w:tcPr>
          <w:p w14:paraId="6CACD4C1" w14:textId="292C3E31" w:rsidR="00873778" w:rsidRDefault="00873778" w:rsidP="003E02A6">
            <w:pPr>
              <w:jc w:val="both"/>
              <w:rPr>
                <w:rFonts w:eastAsia="Arial"/>
                <w:b/>
                <w:bCs/>
                <w:color w:val="000000" w:themeColor="text1"/>
              </w:rPr>
            </w:pPr>
            <w:r>
              <w:rPr>
                <w:rFonts w:eastAsia="Arial"/>
                <w:b/>
                <w:bCs/>
                <w:color w:val="000000" w:themeColor="text1"/>
              </w:rPr>
              <w:t>UATI</w:t>
            </w:r>
          </w:p>
        </w:tc>
        <w:tc>
          <w:tcPr>
            <w:tcW w:w="6379" w:type="dxa"/>
            <w:shd w:val="clear" w:color="auto" w:fill="auto"/>
            <w:vAlign w:val="center"/>
          </w:tcPr>
          <w:p w14:paraId="3D6AD771" w14:textId="2E4ED47E" w:rsidR="00873778" w:rsidRDefault="00873778" w:rsidP="003E02A6">
            <w:pPr>
              <w:rPr>
                <w:rFonts w:eastAsia="Arial"/>
                <w:color w:val="000000" w:themeColor="text1"/>
              </w:rPr>
            </w:pPr>
            <w:r>
              <w:rPr>
                <w:rFonts w:eastAsia="Arial"/>
                <w:color w:val="000000" w:themeColor="text1"/>
              </w:rPr>
              <w:t xml:space="preserve">Universidade Aberta para Terceira idade </w:t>
            </w:r>
          </w:p>
        </w:tc>
      </w:tr>
      <w:tr w:rsidR="00873778" w14:paraId="4765B56E" w14:textId="77777777" w:rsidTr="003E02A6">
        <w:trPr>
          <w:trHeight w:val="340"/>
        </w:trPr>
        <w:tc>
          <w:tcPr>
            <w:tcW w:w="1696" w:type="dxa"/>
            <w:shd w:val="clear" w:color="auto" w:fill="auto"/>
            <w:vAlign w:val="center"/>
          </w:tcPr>
          <w:p w14:paraId="246AEA0F" w14:textId="215A9EB1" w:rsidR="00873778" w:rsidRDefault="00873778" w:rsidP="003E02A6">
            <w:pPr>
              <w:jc w:val="both"/>
              <w:rPr>
                <w:rFonts w:eastAsia="Arial"/>
                <w:b/>
                <w:bCs/>
                <w:color w:val="000000" w:themeColor="text1"/>
              </w:rPr>
            </w:pPr>
            <w:r>
              <w:rPr>
                <w:rFonts w:eastAsia="Arial"/>
                <w:b/>
                <w:bCs/>
                <w:color w:val="000000" w:themeColor="text1"/>
              </w:rPr>
              <w:lastRenderedPageBreak/>
              <w:t>UFBA</w:t>
            </w:r>
          </w:p>
        </w:tc>
        <w:tc>
          <w:tcPr>
            <w:tcW w:w="6379" w:type="dxa"/>
            <w:shd w:val="clear" w:color="auto" w:fill="auto"/>
            <w:vAlign w:val="center"/>
          </w:tcPr>
          <w:p w14:paraId="34A209FB" w14:textId="213ABF51" w:rsidR="00873778" w:rsidRDefault="00873778" w:rsidP="003E02A6">
            <w:pPr>
              <w:rPr>
                <w:rFonts w:eastAsia="Arial"/>
                <w:color w:val="000000" w:themeColor="text1"/>
              </w:rPr>
            </w:pPr>
            <w:r>
              <w:rPr>
                <w:rFonts w:eastAsia="Arial"/>
                <w:color w:val="000000" w:themeColor="text1"/>
              </w:rPr>
              <w:t xml:space="preserve">Universidade Federal da Bahia </w:t>
            </w:r>
          </w:p>
        </w:tc>
      </w:tr>
      <w:tr w:rsidR="00873778" w14:paraId="25A75FFD" w14:textId="77777777" w:rsidTr="003E02A6">
        <w:trPr>
          <w:trHeight w:val="340"/>
        </w:trPr>
        <w:tc>
          <w:tcPr>
            <w:tcW w:w="1696" w:type="dxa"/>
            <w:shd w:val="clear" w:color="auto" w:fill="auto"/>
            <w:vAlign w:val="center"/>
          </w:tcPr>
          <w:p w14:paraId="1E529E49" w14:textId="211A43D4" w:rsidR="00873778" w:rsidRDefault="00873778" w:rsidP="003E02A6">
            <w:pPr>
              <w:jc w:val="both"/>
              <w:rPr>
                <w:rFonts w:eastAsia="Arial"/>
                <w:b/>
                <w:bCs/>
                <w:color w:val="000000" w:themeColor="text1"/>
              </w:rPr>
            </w:pPr>
            <w:r>
              <w:rPr>
                <w:rFonts w:eastAsia="Arial"/>
                <w:b/>
                <w:bCs/>
                <w:color w:val="000000" w:themeColor="text1"/>
              </w:rPr>
              <w:t>UNEB</w:t>
            </w:r>
          </w:p>
        </w:tc>
        <w:tc>
          <w:tcPr>
            <w:tcW w:w="6379" w:type="dxa"/>
            <w:shd w:val="clear" w:color="auto" w:fill="auto"/>
            <w:vAlign w:val="center"/>
          </w:tcPr>
          <w:p w14:paraId="628F11B6" w14:textId="65CA3C39" w:rsidR="00873778" w:rsidRDefault="00873778" w:rsidP="003E02A6">
            <w:pPr>
              <w:rPr>
                <w:rFonts w:eastAsia="Arial"/>
                <w:color w:val="000000" w:themeColor="text1"/>
              </w:rPr>
            </w:pPr>
            <w:r>
              <w:rPr>
                <w:rFonts w:eastAsia="Arial"/>
                <w:color w:val="000000" w:themeColor="text1"/>
              </w:rPr>
              <w:t xml:space="preserve">Universidade do Estado da Bahia </w:t>
            </w:r>
          </w:p>
        </w:tc>
      </w:tr>
    </w:tbl>
    <w:p w14:paraId="0BEAD20A" w14:textId="77777777" w:rsidR="00413231" w:rsidRPr="006A3007" w:rsidRDefault="00413231" w:rsidP="002A4F84">
      <w:pPr>
        <w:widowControl w:val="0"/>
        <w:suppressAutoHyphens/>
        <w:spacing w:line="360" w:lineRule="auto"/>
        <w:rPr>
          <w:rFonts w:eastAsia="SimSun"/>
          <w:b/>
          <w:color w:val="000000" w:themeColor="text1"/>
          <w:kern w:val="1"/>
          <w:lang w:eastAsia="hi-IN" w:bidi="hi-IN"/>
        </w:rPr>
      </w:pPr>
    </w:p>
    <w:p w14:paraId="5022DB16" w14:textId="77777777" w:rsidR="005D383D" w:rsidRPr="006A3007" w:rsidRDefault="005D383D" w:rsidP="002A4F84">
      <w:pPr>
        <w:widowControl w:val="0"/>
        <w:suppressAutoHyphens/>
        <w:spacing w:line="360" w:lineRule="auto"/>
        <w:rPr>
          <w:rFonts w:eastAsia="SimSun"/>
          <w:b/>
          <w:color w:val="000000" w:themeColor="text1"/>
          <w:kern w:val="1"/>
          <w:lang w:eastAsia="hi-IN" w:bidi="hi-IN"/>
        </w:rPr>
      </w:pPr>
    </w:p>
    <w:p w14:paraId="643BB880" w14:textId="77777777" w:rsidR="005D383D" w:rsidRPr="006A3007" w:rsidRDefault="005D383D" w:rsidP="002A4F84">
      <w:pPr>
        <w:widowControl w:val="0"/>
        <w:suppressAutoHyphens/>
        <w:spacing w:line="360" w:lineRule="auto"/>
        <w:rPr>
          <w:rFonts w:eastAsia="SimSun"/>
          <w:b/>
          <w:color w:val="000000" w:themeColor="text1"/>
          <w:kern w:val="1"/>
          <w:lang w:eastAsia="hi-IN" w:bidi="hi-IN"/>
        </w:rPr>
      </w:pPr>
    </w:p>
    <w:p w14:paraId="2C7EA6B9" w14:textId="77777777" w:rsidR="00413231" w:rsidRPr="00BE3D63" w:rsidRDefault="00413231" w:rsidP="002A4F84">
      <w:pPr>
        <w:widowControl w:val="0"/>
        <w:suppressAutoHyphens/>
        <w:spacing w:line="360" w:lineRule="auto"/>
        <w:rPr>
          <w:rFonts w:eastAsia="SimSun"/>
          <w:b/>
          <w:color w:val="000000" w:themeColor="text1"/>
          <w:kern w:val="1"/>
          <w:lang w:eastAsia="hi-IN" w:bidi="hi-IN"/>
        </w:rPr>
      </w:pPr>
    </w:p>
    <w:p w14:paraId="477A0818" w14:textId="77777777" w:rsidR="00413231" w:rsidRPr="00BE3D63" w:rsidRDefault="00413231" w:rsidP="002A4F84">
      <w:pPr>
        <w:widowControl w:val="0"/>
        <w:suppressAutoHyphens/>
        <w:spacing w:line="360" w:lineRule="auto"/>
        <w:rPr>
          <w:rFonts w:eastAsia="SimSun"/>
          <w:b/>
          <w:color w:val="000000" w:themeColor="text1"/>
          <w:kern w:val="1"/>
          <w:lang w:eastAsia="hi-IN" w:bidi="hi-IN"/>
        </w:rPr>
      </w:pPr>
    </w:p>
    <w:p w14:paraId="0ED15C5C" w14:textId="77777777" w:rsidR="00413231" w:rsidRPr="00BE3D63" w:rsidRDefault="00413231" w:rsidP="002A4F84">
      <w:pPr>
        <w:widowControl w:val="0"/>
        <w:suppressAutoHyphens/>
        <w:spacing w:line="360" w:lineRule="auto"/>
        <w:rPr>
          <w:rFonts w:eastAsia="SimSun"/>
          <w:b/>
          <w:color w:val="000000" w:themeColor="text1"/>
          <w:kern w:val="1"/>
          <w:lang w:eastAsia="hi-IN" w:bidi="hi-IN"/>
        </w:rPr>
      </w:pPr>
    </w:p>
    <w:p w14:paraId="38F6B790" w14:textId="77777777" w:rsidR="00413231" w:rsidRPr="00BE3D63" w:rsidRDefault="00413231" w:rsidP="002A4F84">
      <w:pPr>
        <w:widowControl w:val="0"/>
        <w:suppressAutoHyphens/>
        <w:spacing w:line="360" w:lineRule="auto"/>
        <w:rPr>
          <w:rFonts w:eastAsia="SimSun"/>
          <w:b/>
          <w:color w:val="000000" w:themeColor="text1"/>
          <w:kern w:val="1"/>
          <w:lang w:eastAsia="hi-IN" w:bidi="hi-IN"/>
        </w:rPr>
      </w:pPr>
    </w:p>
    <w:p w14:paraId="7C2C1E27"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30908B77"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0F84E323"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44BF93F6"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7411AAFE"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11BD3778"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2CFB1376"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55370B5A"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1EA7851B"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67C3A0BB"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52A1E066"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264DECF5"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04AE3B04"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3D9F7480" w14:textId="77777777" w:rsidR="00413231" w:rsidRPr="00BE3D63" w:rsidRDefault="00413231" w:rsidP="00284B7F">
      <w:pPr>
        <w:widowControl w:val="0"/>
        <w:suppressAutoHyphens/>
        <w:spacing w:line="360" w:lineRule="auto"/>
        <w:jc w:val="both"/>
        <w:rPr>
          <w:rFonts w:eastAsia="SimSun"/>
          <w:b/>
          <w:color w:val="000000" w:themeColor="text1"/>
          <w:kern w:val="1"/>
          <w:lang w:eastAsia="hi-IN" w:bidi="hi-IN"/>
        </w:rPr>
      </w:pPr>
    </w:p>
    <w:p w14:paraId="74743091" w14:textId="3F7BF9C1" w:rsidR="00413231" w:rsidRDefault="00413231" w:rsidP="00284B7F">
      <w:pPr>
        <w:widowControl w:val="0"/>
        <w:suppressAutoHyphens/>
        <w:spacing w:line="360" w:lineRule="auto"/>
        <w:jc w:val="both"/>
        <w:rPr>
          <w:rFonts w:eastAsia="SimSun"/>
          <w:b/>
          <w:color w:val="000000" w:themeColor="text1"/>
          <w:kern w:val="1"/>
          <w:lang w:eastAsia="hi-IN" w:bidi="hi-IN"/>
        </w:rPr>
      </w:pPr>
    </w:p>
    <w:p w14:paraId="12294167" w14:textId="1965BA54" w:rsidR="0085770B" w:rsidRDefault="0085770B" w:rsidP="00284B7F">
      <w:pPr>
        <w:widowControl w:val="0"/>
        <w:suppressAutoHyphens/>
        <w:spacing w:line="360" w:lineRule="auto"/>
        <w:jc w:val="both"/>
        <w:rPr>
          <w:rFonts w:eastAsia="SimSun"/>
          <w:b/>
          <w:color w:val="000000" w:themeColor="text1"/>
          <w:kern w:val="1"/>
          <w:lang w:eastAsia="hi-IN" w:bidi="hi-IN"/>
        </w:rPr>
      </w:pPr>
    </w:p>
    <w:p w14:paraId="6EA9E834" w14:textId="073E12DF" w:rsidR="0038430D" w:rsidRDefault="0038430D" w:rsidP="00284B7F">
      <w:pPr>
        <w:widowControl w:val="0"/>
        <w:suppressAutoHyphens/>
        <w:spacing w:line="360" w:lineRule="auto"/>
        <w:jc w:val="both"/>
        <w:rPr>
          <w:rFonts w:eastAsia="SimSun"/>
          <w:b/>
          <w:color w:val="000000" w:themeColor="text1"/>
          <w:kern w:val="1"/>
          <w:lang w:eastAsia="hi-IN" w:bidi="hi-IN"/>
        </w:rPr>
      </w:pPr>
    </w:p>
    <w:p w14:paraId="031B57A3" w14:textId="77777777" w:rsidR="002A4F84" w:rsidRDefault="002A4F84" w:rsidP="00284B7F">
      <w:pPr>
        <w:widowControl w:val="0"/>
        <w:suppressAutoHyphens/>
        <w:spacing w:line="360" w:lineRule="auto"/>
        <w:jc w:val="both"/>
        <w:rPr>
          <w:rFonts w:eastAsia="SimSun"/>
          <w:b/>
          <w:color w:val="000000" w:themeColor="text1"/>
          <w:kern w:val="1"/>
          <w:lang w:eastAsia="hi-IN" w:bidi="hi-IN"/>
        </w:rPr>
      </w:pPr>
    </w:p>
    <w:p w14:paraId="1D3A7C5C" w14:textId="77777777" w:rsidR="003E02A6" w:rsidRPr="00B53006" w:rsidRDefault="003E02A6" w:rsidP="00ED5956">
      <w:pPr>
        <w:widowControl w:val="0"/>
        <w:suppressAutoHyphens/>
        <w:spacing w:line="360" w:lineRule="auto"/>
        <w:jc w:val="center"/>
        <w:rPr>
          <w:rFonts w:eastAsia="SimSun"/>
          <w:b/>
          <w:color w:val="000000" w:themeColor="text1"/>
          <w:kern w:val="1"/>
          <w:lang w:eastAsia="hi-IN" w:bidi="hi-IN"/>
        </w:rPr>
      </w:pPr>
    </w:p>
    <w:p w14:paraId="67C18A05" w14:textId="77777777" w:rsidR="003E02A6" w:rsidRPr="00B53006" w:rsidRDefault="003E02A6" w:rsidP="00ED5956">
      <w:pPr>
        <w:widowControl w:val="0"/>
        <w:suppressAutoHyphens/>
        <w:spacing w:line="360" w:lineRule="auto"/>
        <w:jc w:val="center"/>
        <w:rPr>
          <w:rFonts w:eastAsia="SimSun"/>
          <w:b/>
          <w:color w:val="000000" w:themeColor="text1"/>
          <w:kern w:val="1"/>
          <w:lang w:eastAsia="hi-IN" w:bidi="hi-IN"/>
        </w:rPr>
      </w:pPr>
    </w:p>
    <w:p w14:paraId="06D8CF4A" w14:textId="77777777" w:rsidR="003E02A6" w:rsidRPr="00B53006" w:rsidRDefault="003E02A6" w:rsidP="00ED5956">
      <w:pPr>
        <w:widowControl w:val="0"/>
        <w:suppressAutoHyphens/>
        <w:spacing w:line="360" w:lineRule="auto"/>
        <w:jc w:val="center"/>
        <w:rPr>
          <w:rFonts w:eastAsia="SimSun"/>
          <w:b/>
          <w:color w:val="000000" w:themeColor="text1"/>
          <w:kern w:val="1"/>
          <w:lang w:eastAsia="hi-IN" w:bidi="hi-IN"/>
        </w:rPr>
      </w:pPr>
    </w:p>
    <w:p w14:paraId="46950BD2" w14:textId="77777777" w:rsidR="003E02A6" w:rsidRPr="00B53006" w:rsidRDefault="003E02A6" w:rsidP="00ED5956">
      <w:pPr>
        <w:widowControl w:val="0"/>
        <w:suppressAutoHyphens/>
        <w:spacing w:line="360" w:lineRule="auto"/>
        <w:jc w:val="center"/>
        <w:rPr>
          <w:rFonts w:eastAsia="SimSun"/>
          <w:b/>
          <w:color w:val="000000" w:themeColor="text1"/>
          <w:kern w:val="1"/>
          <w:lang w:eastAsia="hi-IN" w:bidi="hi-IN"/>
        </w:rPr>
      </w:pPr>
    </w:p>
    <w:p w14:paraId="5EF34B22" w14:textId="77777777" w:rsidR="003E02A6" w:rsidRPr="00B53006" w:rsidRDefault="003E02A6" w:rsidP="00ED5956">
      <w:pPr>
        <w:widowControl w:val="0"/>
        <w:suppressAutoHyphens/>
        <w:spacing w:line="360" w:lineRule="auto"/>
        <w:jc w:val="center"/>
        <w:rPr>
          <w:rFonts w:eastAsia="SimSun"/>
          <w:b/>
          <w:color w:val="000000" w:themeColor="text1"/>
          <w:kern w:val="1"/>
          <w:lang w:eastAsia="hi-IN" w:bidi="hi-IN"/>
        </w:rPr>
      </w:pPr>
    </w:p>
    <w:p w14:paraId="36963B02" w14:textId="77777777" w:rsidR="003E02A6" w:rsidRPr="00B53006" w:rsidRDefault="003E02A6" w:rsidP="00ED5956">
      <w:pPr>
        <w:widowControl w:val="0"/>
        <w:suppressAutoHyphens/>
        <w:spacing w:line="360" w:lineRule="auto"/>
        <w:jc w:val="center"/>
        <w:rPr>
          <w:rFonts w:eastAsia="SimSun"/>
          <w:b/>
          <w:color w:val="000000" w:themeColor="text1"/>
          <w:kern w:val="1"/>
          <w:lang w:eastAsia="hi-IN" w:bidi="hi-IN"/>
        </w:rPr>
      </w:pPr>
    </w:p>
    <w:p w14:paraId="0293B009" w14:textId="77777777" w:rsidR="007217C4" w:rsidRPr="00B53006" w:rsidRDefault="007217C4" w:rsidP="00ED5956">
      <w:pPr>
        <w:widowControl w:val="0"/>
        <w:suppressAutoHyphens/>
        <w:spacing w:line="360" w:lineRule="auto"/>
        <w:jc w:val="center"/>
        <w:rPr>
          <w:rFonts w:eastAsia="SimSun"/>
          <w:b/>
          <w:color w:val="000000" w:themeColor="text1"/>
          <w:kern w:val="1"/>
          <w:lang w:eastAsia="hi-IN" w:bidi="hi-IN"/>
        </w:rPr>
      </w:pPr>
    </w:p>
    <w:p w14:paraId="4943139D" w14:textId="7835CED7" w:rsidR="00284B7F" w:rsidRDefault="00284B7F" w:rsidP="00ED5956">
      <w:pPr>
        <w:widowControl w:val="0"/>
        <w:suppressAutoHyphens/>
        <w:spacing w:line="360" w:lineRule="auto"/>
        <w:jc w:val="center"/>
        <w:rPr>
          <w:rFonts w:eastAsia="SimSun"/>
          <w:b/>
          <w:color w:val="000000" w:themeColor="text1"/>
          <w:kern w:val="1"/>
          <w:lang w:val="en-US" w:eastAsia="hi-IN" w:bidi="hi-IN"/>
        </w:rPr>
      </w:pPr>
      <w:r w:rsidRPr="00AB2C18">
        <w:rPr>
          <w:rFonts w:eastAsia="SimSun"/>
          <w:b/>
          <w:color w:val="000000" w:themeColor="text1"/>
          <w:kern w:val="1"/>
          <w:lang w:val="en-US" w:eastAsia="hi-IN" w:bidi="hi-IN"/>
        </w:rPr>
        <w:lastRenderedPageBreak/>
        <w:t>SUMÁRIO</w:t>
      </w:r>
    </w:p>
    <w:p w14:paraId="2BA4038B" w14:textId="4AFDBDF0" w:rsidR="000856B1" w:rsidRDefault="000856B1" w:rsidP="00284B7F">
      <w:pPr>
        <w:widowControl w:val="0"/>
        <w:suppressAutoHyphens/>
        <w:spacing w:line="360" w:lineRule="auto"/>
        <w:jc w:val="both"/>
        <w:rPr>
          <w:rFonts w:eastAsia="SimSun"/>
          <w:b/>
          <w:color w:val="000000" w:themeColor="text1"/>
          <w:kern w:val="1"/>
          <w:lang w:val="en-US" w:eastAsia="hi-IN" w:bidi="hi-IN"/>
        </w:rPr>
      </w:pPr>
    </w:p>
    <w:p w14:paraId="036C8319" w14:textId="77777777" w:rsidR="002A4F84" w:rsidRDefault="002A4F84" w:rsidP="00284B7F">
      <w:pPr>
        <w:widowControl w:val="0"/>
        <w:suppressAutoHyphens/>
        <w:spacing w:line="360" w:lineRule="auto"/>
        <w:jc w:val="both"/>
        <w:rPr>
          <w:rFonts w:eastAsia="SimSun"/>
          <w:b/>
          <w:color w:val="000000" w:themeColor="text1"/>
          <w:kern w:val="1"/>
          <w:lang w:val="en-US" w:eastAsia="hi-IN" w:bidi="hi-IN"/>
        </w:rPr>
      </w:pPr>
    </w:p>
    <w:tbl>
      <w:tblPr>
        <w:tblW w:w="9061" w:type="dxa"/>
        <w:tblLayout w:type="fixed"/>
        <w:tblCellMar>
          <w:left w:w="70" w:type="dxa"/>
          <w:right w:w="70" w:type="dxa"/>
        </w:tblCellMar>
        <w:tblLook w:val="04A0" w:firstRow="1" w:lastRow="0" w:firstColumn="1" w:lastColumn="0" w:noHBand="0" w:noVBand="1"/>
      </w:tblPr>
      <w:tblGrid>
        <w:gridCol w:w="8359"/>
        <w:gridCol w:w="702"/>
      </w:tblGrid>
      <w:tr w:rsidR="00342A40" w14:paraId="5BD3D78C" w14:textId="77777777" w:rsidTr="00C96685">
        <w:trPr>
          <w:trHeight w:val="450"/>
        </w:trPr>
        <w:tc>
          <w:tcPr>
            <w:tcW w:w="8359" w:type="dxa"/>
            <w:shd w:val="clear" w:color="auto" w:fill="auto"/>
            <w:vAlign w:val="center"/>
          </w:tcPr>
          <w:p w14:paraId="6C86CCB5" w14:textId="3AD6CF5E" w:rsidR="00342A40" w:rsidRPr="00E756C2" w:rsidRDefault="00342A40" w:rsidP="00342A40">
            <w:pPr>
              <w:jc w:val="both"/>
              <w:rPr>
                <w:color w:val="000000"/>
              </w:rPr>
            </w:pPr>
            <w:r w:rsidRPr="00E44DCC">
              <w:rPr>
                <w:b/>
                <w:color w:val="000000"/>
              </w:rPr>
              <w:t>1 INTRODUÇÃO</w:t>
            </w:r>
          </w:p>
        </w:tc>
        <w:tc>
          <w:tcPr>
            <w:tcW w:w="702" w:type="dxa"/>
            <w:shd w:val="clear" w:color="auto" w:fill="auto"/>
            <w:noWrap/>
            <w:vAlign w:val="center"/>
          </w:tcPr>
          <w:p w14:paraId="0A683C09" w14:textId="5DDE2CBA" w:rsidR="00342A40" w:rsidRDefault="00342A40" w:rsidP="00342A40">
            <w:pPr>
              <w:jc w:val="right"/>
              <w:rPr>
                <w:color w:val="000000"/>
              </w:rPr>
            </w:pPr>
            <w:r>
              <w:rPr>
                <w:color w:val="000000"/>
              </w:rPr>
              <w:t>16</w:t>
            </w:r>
          </w:p>
        </w:tc>
      </w:tr>
      <w:tr w:rsidR="00342A40" w14:paraId="3E15B354" w14:textId="77777777" w:rsidTr="00C96685">
        <w:trPr>
          <w:trHeight w:val="450"/>
        </w:trPr>
        <w:tc>
          <w:tcPr>
            <w:tcW w:w="8359" w:type="dxa"/>
            <w:shd w:val="clear" w:color="auto" w:fill="auto"/>
            <w:vAlign w:val="center"/>
          </w:tcPr>
          <w:p w14:paraId="074DAC17" w14:textId="16214CE7" w:rsidR="00342A40" w:rsidRPr="00E756C2" w:rsidRDefault="00342A40" w:rsidP="00342A40">
            <w:pPr>
              <w:jc w:val="both"/>
              <w:rPr>
                <w:color w:val="000000"/>
              </w:rPr>
            </w:pPr>
            <w:r w:rsidRPr="00E44DCC">
              <w:rPr>
                <w:b/>
                <w:color w:val="000000"/>
              </w:rPr>
              <w:t>2 REVISÃO DE LITERATUR</w:t>
            </w:r>
            <w:r>
              <w:rPr>
                <w:b/>
                <w:color w:val="000000"/>
              </w:rPr>
              <w:t>A</w:t>
            </w:r>
          </w:p>
        </w:tc>
        <w:tc>
          <w:tcPr>
            <w:tcW w:w="702" w:type="dxa"/>
            <w:shd w:val="clear" w:color="auto" w:fill="auto"/>
            <w:noWrap/>
            <w:vAlign w:val="center"/>
          </w:tcPr>
          <w:p w14:paraId="49CFA5BA" w14:textId="16900839" w:rsidR="00342A40" w:rsidRDefault="00342A40" w:rsidP="00342A40">
            <w:pPr>
              <w:jc w:val="right"/>
              <w:rPr>
                <w:color w:val="000000"/>
              </w:rPr>
            </w:pPr>
            <w:r>
              <w:rPr>
                <w:color w:val="000000"/>
              </w:rPr>
              <w:t>18</w:t>
            </w:r>
          </w:p>
        </w:tc>
      </w:tr>
      <w:tr w:rsidR="00342A40" w14:paraId="6476EE14" w14:textId="77777777" w:rsidTr="00C96685">
        <w:trPr>
          <w:trHeight w:val="450"/>
        </w:trPr>
        <w:tc>
          <w:tcPr>
            <w:tcW w:w="8359" w:type="dxa"/>
            <w:shd w:val="clear" w:color="auto" w:fill="auto"/>
            <w:vAlign w:val="center"/>
          </w:tcPr>
          <w:p w14:paraId="62BFDFC7" w14:textId="0C9C3EBA" w:rsidR="00342A40" w:rsidRPr="00E756C2" w:rsidRDefault="00342A40" w:rsidP="00342A40">
            <w:pPr>
              <w:jc w:val="both"/>
              <w:rPr>
                <w:color w:val="000000"/>
              </w:rPr>
            </w:pPr>
            <w:r w:rsidRPr="00E756C2">
              <w:rPr>
                <w:color w:val="000000"/>
              </w:rPr>
              <w:t xml:space="preserve">2.1 </w:t>
            </w:r>
            <w:r>
              <w:t>FUNÇÃO TIREOIDIANA NO IDOSO</w:t>
            </w:r>
          </w:p>
        </w:tc>
        <w:tc>
          <w:tcPr>
            <w:tcW w:w="702" w:type="dxa"/>
            <w:shd w:val="clear" w:color="auto" w:fill="auto"/>
            <w:noWrap/>
            <w:vAlign w:val="center"/>
          </w:tcPr>
          <w:p w14:paraId="75F8CA54" w14:textId="2E981F11" w:rsidR="00342A40" w:rsidRDefault="00342A40" w:rsidP="00342A40">
            <w:pPr>
              <w:jc w:val="right"/>
              <w:rPr>
                <w:color w:val="000000"/>
              </w:rPr>
            </w:pPr>
            <w:r>
              <w:rPr>
                <w:color w:val="000000"/>
              </w:rPr>
              <w:t>18</w:t>
            </w:r>
          </w:p>
        </w:tc>
      </w:tr>
      <w:tr w:rsidR="000856B1" w14:paraId="0703EBDF" w14:textId="77777777" w:rsidTr="00C96685">
        <w:trPr>
          <w:trHeight w:val="340"/>
        </w:trPr>
        <w:tc>
          <w:tcPr>
            <w:tcW w:w="8359" w:type="dxa"/>
            <w:shd w:val="clear" w:color="auto" w:fill="auto"/>
            <w:vAlign w:val="center"/>
            <w:hideMark/>
          </w:tcPr>
          <w:p w14:paraId="068AF3FD" w14:textId="4140FE68" w:rsidR="000856B1" w:rsidRPr="00E44DCC" w:rsidRDefault="00686410" w:rsidP="00342A40">
            <w:pPr>
              <w:jc w:val="both"/>
              <w:rPr>
                <w:b/>
                <w:color w:val="000000"/>
              </w:rPr>
            </w:pPr>
            <w:r w:rsidRPr="00686410">
              <w:rPr>
                <w:b/>
                <w:color w:val="000000" w:themeColor="text1"/>
              </w:rPr>
              <w:t xml:space="preserve">2.1.1 </w:t>
            </w:r>
            <w:r w:rsidR="00342A40" w:rsidRPr="00686410">
              <w:rPr>
                <w:b/>
                <w:color w:val="000000" w:themeColor="text1"/>
              </w:rPr>
              <w:t>Envelhecimento da População Mundial e Brasileira</w:t>
            </w:r>
          </w:p>
        </w:tc>
        <w:tc>
          <w:tcPr>
            <w:tcW w:w="702" w:type="dxa"/>
            <w:shd w:val="clear" w:color="auto" w:fill="auto"/>
            <w:noWrap/>
            <w:vAlign w:val="center"/>
          </w:tcPr>
          <w:p w14:paraId="1BBEEFD8" w14:textId="3475BEAF" w:rsidR="000856B1" w:rsidRDefault="00342A40" w:rsidP="00342A40">
            <w:pPr>
              <w:jc w:val="right"/>
              <w:rPr>
                <w:color w:val="000000"/>
              </w:rPr>
            </w:pPr>
            <w:r>
              <w:rPr>
                <w:color w:val="000000"/>
              </w:rPr>
              <w:t>18</w:t>
            </w:r>
          </w:p>
        </w:tc>
      </w:tr>
      <w:tr w:rsidR="000856B1" w14:paraId="3E06024B" w14:textId="77777777" w:rsidTr="00C96685">
        <w:trPr>
          <w:trHeight w:val="340"/>
        </w:trPr>
        <w:tc>
          <w:tcPr>
            <w:tcW w:w="8359" w:type="dxa"/>
            <w:shd w:val="clear" w:color="auto" w:fill="auto"/>
            <w:vAlign w:val="center"/>
            <w:hideMark/>
          </w:tcPr>
          <w:p w14:paraId="3C7C71A6" w14:textId="1A79E7AE" w:rsidR="000856B1" w:rsidRPr="00E44DCC" w:rsidRDefault="00686410" w:rsidP="00342A40">
            <w:pPr>
              <w:jc w:val="both"/>
              <w:rPr>
                <w:b/>
                <w:color w:val="000000"/>
              </w:rPr>
            </w:pPr>
            <w:r w:rsidRPr="00686410">
              <w:rPr>
                <w:b/>
                <w:color w:val="000000" w:themeColor="text1"/>
              </w:rPr>
              <w:t xml:space="preserve">2.1.2 </w:t>
            </w:r>
            <w:r w:rsidR="00342A40" w:rsidRPr="00686410">
              <w:rPr>
                <w:b/>
                <w:color w:val="000000" w:themeColor="text1"/>
              </w:rPr>
              <w:t>Envelhecimento e Eixo Hipotálamo-Hipófise-Tireoide</w:t>
            </w:r>
          </w:p>
        </w:tc>
        <w:tc>
          <w:tcPr>
            <w:tcW w:w="702" w:type="dxa"/>
            <w:shd w:val="clear" w:color="auto" w:fill="auto"/>
            <w:noWrap/>
            <w:vAlign w:val="center"/>
          </w:tcPr>
          <w:p w14:paraId="0D20CA85" w14:textId="2420FD78" w:rsidR="000856B1" w:rsidRDefault="00342A40" w:rsidP="00342A40">
            <w:pPr>
              <w:jc w:val="right"/>
              <w:rPr>
                <w:color w:val="000000"/>
              </w:rPr>
            </w:pPr>
            <w:r>
              <w:rPr>
                <w:color w:val="000000"/>
              </w:rPr>
              <w:t>19</w:t>
            </w:r>
          </w:p>
        </w:tc>
      </w:tr>
      <w:tr w:rsidR="000856B1" w14:paraId="219CA283" w14:textId="77777777" w:rsidTr="00C96685">
        <w:trPr>
          <w:trHeight w:val="340"/>
        </w:trPr>
        <w:tc>
          <w:tcPr>
            <w:tcW w:w="8359" w:type="dxa"/>
            <w:shd w:val="clear" w:color="auto" w:fill="auto"/>
            <w:vAlign w:val="center"/>
            <w:hideMark/>
          </w:tcPr>
          <w:p w14:paraId="0792D702" w14:textId="38163143" w:rsidR="000856B1" w:rsidRPr="00E44DCC" w:rsidRDefault="00686410" w:rsidP="00342A40">
            <w:pPr>
              <w:jc w:val="both"/>
              <w:rPr>
                <w:b/>
                <w:color w:val="000000"/>
              </w:rPr>
            </w:pPr>
            <w:r w:rsidRPr="00686410">
              <w:rPr>
                <w:b/>
                <w:color w:val="000000" w:themeColor="text1"/>
              </w:rPr>
              <w:t xml:space="preserve">2.1.3 </w:t>
            </w:r>
            <w:r w:rsidR="00342A40" w:rsidRPr="00686410">
              <w:rPr>
                <w:b/>
                <w:color w:val="000000" w:themeColor="text1"/>
              </w:rPr>
              <w:t>Estudos Populacionais de Avaliação de Função Tireoidiana em Idosos</w:t>
            </w:r>
          </w:p>
        </w:tc>
        <w:tc>
          <w:tcPr>
            <w:tcW w:w="702" w:type="dxa"/>
            <w:shd w:val="clear" w:color="auto" w:fill="auto"/>
            <w:noWrap/>
            <w:vAlign w:val="center"/>
          </w:tcPr>
          <w:p w14:paraId="274F2073" w14:textId="51B9B7E8" w:rsidR="000856B1" w:rsidRDefault="00342A40" w:rsidP="00342A40">
            <w:pPr>
              <w:jc w:val="right"/>
              <w:rPr>
                <w:color w:val="000000"/>
              </w:rPr>
            </w:pPr>
            <w:r>
              <w:rPr>
                <w:color w:val="000000"/>
              </w:rPr>
              <w:t>21</w:t>
            </w:r>
          </w:p>
        </w:tc>
      </w:tr>
      <w:tr w:rsidR="00342A40" w14:paraId="45857701" w14:textId="77777777" w:rsidTr="00C96685">
        <w:trPr>
          <w:trHeight w:val="340"/>
        </w:trPr>
        <w:tc>
          <w:tcPr>
            <w:tcW w:w="8359" w:type="dxa"/>
            <w:shd w:val="clear" w:color="auto" w:fill="auto"/>
            <w:vAlign w:val="center"/>
          </w:tcPr>
          <w:p w14:paraId="53F890E1" w14:textId="4DF5FF99" w:rsidR="00342A40" w:rsidRPr="00342A40" w:rsidRDefault="00342A40" w:rsidP="00342A40">
            <w:pPr>
              <w:jc w:val="both"/>
            </w:pPr>
            <w:r>
              <w:rPr>
                <w:b/>
                <w:color w:val="000000" w:themeColor="text1"/>
              </w:rPr>
              <w:t>2.1.4</w:t>
            </w:r>
            <w:r w:rsidRPr="00686410">
              <w:rPr>
                <w:b/>
                <w:color w:val="000000" w:themeColor="text1"/>
              </w:rPr>
              <w:t xml:space="preserve"> Longevidade</w:t>
            </w:r>
          </w:p>
        </w:tc>
        <w:tc>
          <w:tcPr>
            <w:tcW w:w="702" w:type="dxa"/>
            <w:shd w:val="clear" w:color="auto" w:fill="auto"/>
            <w:noWrap/>
            <w:vAlign w:val="center"/>
          </w:tcPr>
          <w:p w14:paraId="01DAE4BA" w14:textId="715B725C" w:rsidR="00342A40" w:rsidRDefault="00342A40" w:rsidP="00342A40">
            <w:pPr>
              <w:jc w:val="right"/>
              <w:rPr>
                <w:color w:val="000000"/>
              </w:rPr>
            </w:pPr>
            <w:r>
              <w:rPr>
                <w:color w:val="000000"/>
              </w:rPr>
              <w:t>23</w:t>
            </w:r>
          </w:p>
        </w:tc>
      </w:tr>
      <w:tr w:rsidR="000856B1" w14:paraId="711BBD49" w14:textId="77777777" w:rsidTr="00C96685">
        <w:trPr>
          <w:trHeight w:val="340"/>
        </w:trPr>
        <w:tc>
          <w:tcPr>
            <w:tcW w:w="8359" w:type="dxa"/>
            <w:shd w:val="clear" w:color="auto" w:fill="auto"/>
            <w:vAlign w:val="center"/>
            <w:hideMark/>
          </w:tcPr>
          <w:p w14:paraId="56E09F98" w14:textId="55E0D222" w:rsidR="000856B1" w:rsidRPr="00E44DCC" w:rsidRDefault="00686410" w:rsidP="00342A40">
            <w:pPr>
              <w:jc w:val="both"/>
              <w:rPr>
                <w:b/>
                <w:color w:val="000000"/>
              </w:rPr>
            </w:pPr>
            <w:r w:rsidRPr="00686410">
              <w:rPr>
                <w:b/>
                <w:color w:val="000000" w:themeColor="text1"/>
              </w:rPr>
              <w:t xml:space="preserve">2.1.5 </w:t>
            </w:r>
            <w:r w:rsidR="00342A40" w:rsidRPr="00686410">
              <w:rPr>
                <w:b/>
                <w:color w:val="000000" w:themeColor="text1"/>
              </w:rPr>
              <w:t xml:space="preserve">Diagnóstico </w:t>
            </w:r>
            <w:r w:rsidR="00342A40">
              <w:rPr>
                <w:b/>
                <w:color w:val="000000" w:themeColor="text1"/>
              </w:rPr>
              <w:t>d</w:t>
            </w:r>
            <w:r w:rsidR="00342A40" w:rsidRPr="00686410">
              <w:rPr>
                <w:b/>
                <w:color w:val="000000" w:themeColor="text1"/>
              </w:rPr>
              <w:t>o Hipotireoidismo Subclínico</w:t>
            </w:r>
          </w:p>
        </w:tc>
        <w:tc>
          <w:tcPr>
            <w:tcW w:w="702" w:type="dxa"/>
            <w:shd w:val="clear" w:color="auto" w:fill="auto"/>
            <w:noWrap/>
            <w:vAlign w:val="center"/>
          </w:tcPr>
          <w:p w14:paraId="02577B24" w14:textId="2CEA3ED1" w:rsidR="000856B1" w:rsidRDefault="00342A40" w:rsidP="00342A40">
            <w:pPr>
              <w:jc w:val="right"/>
              <w:rPr>
                <w:color w:val="000000"/>
              </w:rPr>
            </w:pPr>
            <w:r>
              <w:rPr>
                <w:color w:val="000000"/>
              </w:rPr>
              <w:t>24</w:t>
            </w:r>
          </w:p>
        </w:tc>
      </w:tr>
      <w:tr w:rsidR="000856B1" w14:paraId="333A563C" w14:textId="77777777" w:rsidTr="00C96685">
        <w:trPr>
          <w:trHeight w:val="340"/>
        </w:trPr>
        <w:tc>
          <w:tcPr>
            <w:tcW w:w="8359" w:type="dxa"/>
            <w:shd w:val="clear" w:color="auto" w:fill="auto"/>
            <w:vAlign w:val="center"/>
            <w:hideMark/>
          </w:tcPr>
          <w:p w14:paraId="606A1682" w14:textId="77777777" w:rsidR="000856B1" w:rsidRPr="00686295" w:rsidRDefault="000856B1" w:rsidP="00342A40">
            <w:pPr>
              <w:jc w:val="both"/>
              <w:rPr>
                <w:color w:val="000000"/>
              </w:rPr>
            </w:pPr>
            <w:r w:rsidRPr="00686295">
              <w:rPr>
                <w:color w:val="000000"/>
              </w:rPr>
              <w:t xml:space="preserve">2.2. GENÉTICA E FUNÇÃO TIREOIDIANA </w:t>
            </w:r>
          </w:p>
        </w:tc>
        <w:tc>
          <w:tcPr>
            <w:tcW w:w="702" w:type="dxa"/>
            <w:shd w:val="clear" w:color="auto" w:fill="auto"/>
            <w:noWrap/>
            <w:vAlign w:val="center"/>
          </w:tcPr>
          <w:p w14:paraId="60EE5B88" w14:textId="317890F3" w:rsidR="000856B1" w:rsidRDefault="00342A40" w:rsidP="00342A40">
            <w:pPr>
              <w:jc w:val="right"/>
              <w:rPr>
                <w:color w:val="000000"/>
              </w:rPr>
            </w:pPr>
            <w:r>
              <w:rPr>
                <w:color w:val="000000"/>
              </w:rPr>
              <w:t>25</w:t>
            </w:r>
          </w:p>
        </w:tc>
      </w:tr>
      <w:tr w:rsidR="000856B1" w14:paraId="15F10747" w14:textId="77777777" w:rsidTr="00C96685">
        <w:trPr>
          <w:trHeight w:val="340"/>
        </w:trPr>
        <w:tc>
          <w:tcPr>
            <w:tcW w:w="8359" w:type="dxa"/>
            <w:shd w:val="clear" w:color="auto" w:fill="auto"/>
            <w:vAlign w:val="center"/>
            <w:hideMark/>
          </w:tcPr>
          <w:p w14:paraId="600B0FDD" w14:textId="1228B5D5" w:rsidR="000856B1" w:rsidRPr="00E44DCC" w:rsidRDefault="003E02A6" w:rsidP="00342A40">
            <w:pPr>
              <w:jc w:val="both"/>
              <w:rPr>
                <w:b/>
                <w:color w:val="000000"/>
              </w:rPr>
            </w:pPr>
            <w:r>
              <w:rPr>
                <w:b/>
                <w:color w:val="000000"/>
              </w:rPr>
              <w:t>2.2.1</w:t>
            </w:r>
            <w:r w:rsidR="00686410" w:rsidRPr="00686410">
              <w:rPr>
                <w:b/>
                <w:color w:val="000000"/>
              </w:rPr>
              <w:t xml:space="preserve"> Polimorfismos </w:t>
            </w:r>
            <w:r w:rsidR="00C21477" w:rsidRPr="00686410">
              <w:rPr>
                <w:b/>
                <w:color w:val="000000"/>
              </w:rPr>
              <w:t xml:space="preserve">de </w:t>
            </w:r>
            <w:r w:rsidR="00686410" w:rsidRPr="00686410">
              <w:rPr>
                <w:b/>
                <w:color w:val="000000"/>
              </w:rPr>
              <w:t>Nucleotídeo Único</w:t>
            </w:r>
          </w:p>
        </w:tc>
        <w:tc>
          <w:tcPr>
            <w:tcW w:w="702" w:type="dxa"/>
            <w:shd w:val="clear" w:color="auto" w:fill="auto"/>
            <w:noWrap/>
            <w:vAlign w:val="center"/>
          </w:tcPr>
          <w:p w14:paraId="236C89D9" w14:textId="795D7684" w:rsidR="000856B1" w:rsidRDefault="00342A40" w:rsidP="00342A40">
            <w:pPr>
              <w:jc w:val="right"/>
              <w:rPr>
                <w:color w:val="000000"/>
              </w:rPr>
            </w:pPr>
            <w:r>
              <w:rPr>
                <w:color w:val="000000"/>
              </w:rPr>
              <w:t>25</w:t>
            </w:r>
          </w:p>
        </w:tc>
      </w:tr>
      <w:tr w:rsidR="000856B1" w14:paraId="3C8A911D" w14:textId="77777777" w:rsidTr="00C96685">
        <w:trPr>
          <w:trHeight w:val="340"/>
        </w:trPr>
        <w:tc>
          <w:tcPr>
            <w:tcW w:w="8359" w:type="dxa"/>
            <w:shd w:val="clear" w:color="auto" w:fill="auto"/>
            <w:vAlign w:val="center"/>
            <w:hideMark/>
          </w:tcPr>
          <w:p w14:paraId="5AB0E02B" w14:textId="2C337FD4" w:rsidR="000856B1" w:rsidRPr="00E44DCC" w:rsidRDefault="003E02A6" w:rsidP="00342A40">
            <w:pPr>
              <w:jc w:val="both"/>
              <w:rPr>
                <w:b/>
                <w:color w:val="000000"/>
              </w:rPr>
            </w:pPr>
            <w:r>
              <w:rPr>
                <w:b/>
                <w:color w:val="000000"/>
              </w:rPr>
              <w:t>2.2.2</w:t>
            </w:r>
            <w:r w:rsidR="00686410" w:rsidRPr="00686410">
              <w:rPr>
                <w:b/>
                <w:color w:val="000000"/>
              </w:rPr>
              <w:t xml:space="preserve"> Estudos Genéticos </w:t>
            </w:r>
          </w:p>
        </w:tc>
        <w:tc>
          <w:tcPr>
            <w:tcW w:w="702" w:type="dxa"/>
            <w:shd w:val="clear" w:color="auto" w:fill="auto"/>
            <w:noWrap/>
            <w:vAlign w:val="center"/>
          </w:tcPr>
          <w:p w14:paraId="4E94C65C" w14:textId="1198A7A8" w:rsidR="000856B1" w:rsidRDefault="00342A40" w:rsidP="00342A40">
            <w:pPr>
              <w:jc w:val="right"/>
              <w:rPr>
                <w:color w:val="000000"/>
              </w:rPr>
            </w:pPr>
            <w:r>
              <w:rPr>
                <w:color w:val="000000"/>
              </w:rPr>
              <w:t>26</w:t>
            </w:r>
          </w:p>
        </w:tc>
      </w:tr>
      <w:tr w:rsidR="000856B1" w14:paraId="1DFEC981" w14:textId="77777777" w:rsidTr="00C96685">
        <w:trPr>
          <w:trHeight w:val="340"/>
        </w:trPr>
        <w:tc>
          <w:tcPr>
            <w:tcW w:w="8359" w:type="dxa"/>
            <w:shd w:val="clear" w:color="auto" w:fill="auto"/>
            <w:vAlign w:val="center"/>
            <w:hideMark/>
          </w:tcPr>
          <w:p w14:paraId="2AEDC946" w14:textId="3B0A694E" w:rsidR="000856B1" w:rsidRPr="00E44DCC" w:rsidRDefault="00342A40" w:rsidP="00342A40">
            <w:pPr>
              <w:jc w:val="both"/>
              <w:rPr>
                <w:b/>
                <w:color w:val="000000"/>
              </w:rPr>
            </w:pPr>
            <w:r>
              <w:rPr>
                <w:b/>
                <w:color w:val="000000"/>
              </w:rPr>
              <w:t>2.2.3</w:t>
            </w:r>
            <w:r w:rsidR="00686410" w:rsidRPr="00686410">
              <w:rPr>
                <w:b/>
                <w:color w:val="000000"/>
              </w:rPr>
              <w:t xml:space="preserve"> </w:t>
            </w:r>
            <w:r w:rsidRPr="00686410">
              <w:rPr>
                <w:b/>
                <w:color w:val="000000"/>
              </w:rPr>
              <w:t>Papel Fisiológico dos Genes Candidatos Avaliados Neste Estudo</w:t>
            </w:r>
          </w:p>
        </w:tc>
        <w:tc>
          <w:tcPr>
            <w:tcW w:w="702" w:type="dxa"/>
            <w:shd w:val="clear" w:color="auto" w:fill="auto"/>
            <w:noWrap/>
            <w:vAlign w:val="center"/>
          </w:tcPr>
          <w:p w14:paraId="7F4F3DB2" w14:textId="1976A477" w:rsidR="000856B1" w:rsidRDefault="00342A40" w:rsidP="00342A40">
            <w:pPr>
              <w:jc w:val="right"/>
              <w:rPr>
                <w:color w:val="000000"/>
              </w:rPr>
            </w:pPr>
            <w:r>
              <w:rPr>
                <w:color w:val="000000"/>
              </w:rPr>
              <w:t>27</w:t>
            </w:r>
          </w:p>
        </w:tc>
      </w:tr>
      <w:tr w:rsidR="000856B1" w14:paraId="683CF740" w14:textId="77777777" w:rsidTr="00C96685">
        <w:trPr>
          <w:trHeight w:val="680"/>
        </w:trPr>
        <w:tc>
          <w:tcPr>
            <w:tcW w:w="8359" w:type="dxa"/>
            <w:shd w:val="clear" w:color="auto" w:fill="auto"/>
            <w:vAlign w:val="center"/>
            <w:hideMark/>
          </w:tcPr>
          <w:p w14:paraId="611B0B76" w14:textId="34D002A2" w:rsidR="000856B1" w:rsidRPr="00E44DCC" w:rsidRDefault="00342A40" w:rsidP="00342A40">
            <w:pPr>
              <w:ind w:left="641" w:hanging="641"/>
              <w:jc w:val="both"/>
              <w:rPr>
                <w:b/>
                <w:color w:val="000000"/>
              </w:rPr>
            </w:pPr>
            <w:r>
              <w:rPr>
                <w:b/>
                <w:color w:val="000000"/>
              </w:rPr>
              <w:t>2.2.4</w:t>
            </w:r>
            <w:r w:rsidR="00686410" w:rsidRPr="00686410">
              <w:rPr>
                <w:b/>
                <w:color w:val="000000"/>
              </w:rPr>
              <w:t xml:space="preserve"> Genes Implicados </w:t>
            </w:r>
            <w:r w:rsidR="00C21477" w:rsidRPr="00686410">
              <w:rPr>
                <w:b/>
                <w:color w:val="000000"/>
              </w:rPr>
              <w:t>na</w:t>
            </w:r>
            <w:r w:rsidR="00686410" w:rsidRPr="00686410">
              <w:rPr>
                <w:b/>
                <w:color w:val="000000"/>
              </w:rPr>
              <w:t xml:space="preserve"> Ontogênese </w:t>
            </w:r>
            <w:r w:rsidR="00C21477" w:rsidRPr="00686410">
              <w:rPr>
                <w:b/>
                <w:color w:val="000000"/>
              </w:rPr>
              <w:t>e</w:t>
            </w:r>
            <w:r w:rsidR="00686410" w:rsidRPr="00686410">
              <w:rPr>
                <w:b/>
                <w:color w:val="000000"/>
              </w:rPr>
              <w:t xml:space="preserve"> Função </w:t>
            </w:r>
            <w:r w:rsidR="00C21477" w:rsidRPr="00686410">
              <w:rPr>
                <w:b/>
                <w:color w:val="000000"/>
              </w:rPr>
              <w:t>do</w:t>
            </w:r>
            <w:r w:rsidR="00686410" w:rsidRPr="00686410">
              <w:rPr>
                <w:b/>
                <w:color w:val="000000"/>
              </w:rPr>
              <w:t xml:space="preserve"> Eixo Hipotálamo Hipófise Tireoide  </w:t>
            </w:r>
          </w:p>
        </w:tc>
        <w:tc>
          <w:tcPr>
            <w:tcW w:w="702" w:type="dxa"/>
            <w:shd w:val="clear" w:color="auto" w:fill="auto"/>
            <w:noWrap/>
            <w:vAlign w:val="center"/>
          </w:tcPr>
          <w:p w14:paraId="65938AB4" w14:textId="2B01DF7D" w:rsidR="000856B1" w:rsidRDefault="00342A40" w:rsidP="00342A40">
            <w:pPr>
              <w:jc w:val="right"/>
              <w:rPr>
                <w:color w:val="000000"/>
              </w:rPr>
            </w:pPr>
            <w:r>
              <w:rPr>
                <w:color w:val="000000"/>
              </w:rPr>
              <w:t>27</w:t>
            </w:r>
          </w:p>
        </w:tc>
      </w:tr>
      <w:tr w:rsidR="000856B1" w14:paraId="3BA1933A" w14:textId="77777777" w:rsidTr="00C96685">
        <w:trPr>
          <w:trHeight w:val="320"/>
        </w:trPr>
        <w:tc>
          <w:tcPr>
            <w:tcW w:w="8359" w:type="dxa"/>
            <w:shd w:val="clear" w:color="auto" w:fill="auto"/>
            <w:noWrap/>
            <w:vAlign w:val="center"/>
            <w:hideMark/>
          </w:tcPr>
          <w:p w14:paraId="05E6469E" w14:textId="7F07D608" w:rsidR="000856B1" w:rsidRPr="00E44DCC" w:rsidRDefault="00342A40" w:rsidP="00342A40">
            <w:pPr>
              <w:ind w:left="639" w:hanging="639"/>
              <w:rPr>
                <w:b/>
                <w:color w:val="3B3838"/>
              </w:rPr>
            </w:pPr>
            <w:r>
              <w:rPr>
                <w:b/>
                <w:highlight w:val="white"/>
              </w:rPr>
              <w:t>2.2.5</w:t>
            </w:r>
            <w:r w:rsidR="00686410" w:rsidRPr="00E44DCC">
              <w:rPr>
                <w:b/>
                <w:highlight w:val="white"/>
              </w:rPr>
              <w:t xml:space="preserve"> Genes </w:t>
            </w:r>
            <w:r w:rsidR="00C21477" w:rsidRPr="00E44DCC">
              <w:rPr>
                <w:b/>
                <w:highlight w:val="white"/>
              </w:rPr>
              <w:t>da</w:t>
            </w:r>
            <w:r w:rsidR="00686410" w:rsidRPr="00E44DCC">
              <w:rPr>
                <w:b/>
                <w:highlight w:val="white"/>
              </w:rPr>
              <w:t xml:space="preserve"> Cascata </w:t>
            </w:r>
            <w:r w:rsidR="00C21477" w:rsidRPr="00E44DCC">
              <w:rPr>
                <w:b/>
                <w:highlight w:val="white"/>
              </w:rPr>
              <w:t>de</w:t>
            </w:r>
            <w:r w:rsidR="00686410" w:rsidRPr="00E44DCC">
              <w:rPr>
                <w:b/>
                <w:highlight w:val="white"/>
              </w:rPr>
              <w:t xml:space="preserve"> Sinalização </w:t>
            </w:r>
            <w:r w:rsidR="00C21477" w:rsidRPr="00E44DCC">
              <w:rPr>
                <w:b/>
                <w:highlight w:val="white"/>
              </w:rPr>
              <w:t>do</w:t>
            </w:r>
            <w:r w:rsidR="00686410" w:rsidRPr="00E44DCC">
              <w:rPr>
                <w:b/>
                <w:highlight w:val="white"/>
              </w:rPr>
              <w:t xml:space="preserve"> Receptor </w:t>
            </w:r>
            <w:r w:rsidR="00C21477" w:rsidRPr="00E44DCC">
              <w:rPr>
                <w:b/>
                <w:highlight w:val="white"/>
              </w:rPr>
              <w:t>de</w:t>
            </w:r>
            <w:r w:rsidR="00686410" w:rsidRPr="00E44DCC">
              <w:rPr>
                <w:b/>
                <w:highlight w:val="white"/>
              </w:rPr>
              <w:t xml:space="preserve"> </w:t>
            </w:r>
            <w:r w:rsidR="00C21477" w:rsidRPr="00E44DCC">
              <w:rPr>
                <w:b/>
                <w:highlight w:val="white"/>
              </w:rPr>
              <w:t>TSH</w:t>
            </w:r>
          </w:p>
        </w:tc>
        <w:tc>
          <w:tcPr>
            <w:tcW w:w="702" w:type="dxa"/>
            <w:shd w:val="clear" w:color="auto" w:fill="auto"/>
            <w:noWrap/>
            <w:vAlign w:val="center"/>
          </w:tcPr>
          <w:p w14:paraId="6E2FD23E" w14:textId="6AAAFED1" w:rsidR="000856B1" w:rsidRDefault="00342A40" w:rsidP="00342A40">
            <w:pPr>
              <w:jc w:val="right"/>
              <w:rPr>
                <w:color w:val="000000"/>
              </w:rPr>
            </w:pPr>
            <w:r>
              <w:rPr>
                <w:color w:val="000000"/>
              </w:rPr>
              <w:t>28</w:t>
            </w:r>
          </w:p>
        </w:tc>
      </w:tr>
      <w:tr w:rsidR="000856B1" w14:paraId="36249912" w14:textId="77777777" w:rsidTr="00C96685">
        <w:trPr>
          <w:trHeight w:val="320"/>
        </w:trPr>
        <w:tc>
          <w:tcPr>
            <w:tcW w:w="8359" w:type="dxa"/>
            <w:shd w:val="clear" w:color="auto" w:fill="auto"/>
            <w:noWrap/>
            <w:vAlign w:val="center"/>
            <w:hideMark/>
          </w:tcPr>
          <w:p w14:paraId="4099F7E7" w14:textId="72113E8A" w:rsidR="000856B1" w:rsidRPr="00686295" w:rsidRDefault="000856B1" w:rsidP="00342A40">
            <w:pPr>
              <w:ind w:left="641" w:hanging="641"/>
              <w:rPr>
                <w:color w:val="3B3838"/>
              </w:rPr>
            </w:pPr>
            <w:r w:rsidRPr="00E44DCC">
              <w:rPr>
                <w:b/>
                <w:color w:val="3B3838"/>
                <w:highlight w:val="white"/>
              </w:rPr>
              <w:t>2.2</w:t>
            </w:r>
            <w:r w:rsidRPr="00E44DCC">
              <w:rPr>
                <w:b/>
                <w:color w:val="000000"/>
                <w:highlight w:val="white"/>
              </w:rPr>
              <w:t>.</w:t>
            </w:r>
            <w:r w:rsidR="00342A40">
              <w:rPr>
                <w:b/>
                <w:color w:val="000000"/>
                <w:highlight w:val="white"/>
              </w:rPr>
              <w:t>6</w:t>
            </w:r>
            <w:r w:rsidRPr="00686295">
              <w:rPr>
                <w:color w:val="000000"/>
                <w:highlight w:val="white"/>
              </w:rPr>
              <w:t xml:space="preserve"> </w:t>
            </w:r>
            <w:r w:rsidR="00686410" w:rsidRPr="00E44DCC">
              <w:rPr>
                <w:b/>
                <w:color w:val="000000"/>
                <w:highlight w:val="white"/>
              </w:rPr>
              <w:t xml:space="preserve">Genes Implicados </w:t>
            </w:r>
            <w:r w:rsidR="00686410">
              <w:rPr>
                <w:b/>
                <w:color w:val="000000"/>
                <w:highlight w:val="white"/>
              </w:rPr>
              <w:t>n</w:t>
            </w:r>
            <w:r w:rsidR="00686410" w:rsidRPr="00E44DCC">
              <w:rPr>
                <w:b/>
                <w:color w:val="000000"/>
                <w:highlight w:val="white"/>
              </w:rPr>
              <w:t>a Bio</w:t>
            </w:r>
            <w:r w:rsidR="00342A40">
              <w:rPr>
                <w:b/>
                <w:color w:val="000000"/>
                <w:highlight w:val="white"/>
              </w:rPr>
              <w:t>s</w:t>
            </w:r>
            <w:r w:rsidR="00686410" w:rsidRPr="00E44DCC">
              <w:rPr>
                <w:b/>
                <w:color w:val="000000"/>
                <w:highlight w:val="white"/>
              </w:rPr>
              <w:t xml:space="preserve">síntese, Transporte </w:t>
            </w:r>
            <w:r w:rsidR="00686410">
              <w:rPr>
                <w:b/>
                <w:color w:val="000000"/>
                <w:highlight w:val="white"/>
              </w:rPr>
              <w:t>e</w:t>
            </w:r>
            <w:r w:rsidR="003E02A6">
              <w:rPr>
                <w:b/>
                <w:color w:val="000000"/>
                <w:highlight w:val="white"/>
              </w:rPr>
              <w:t xml:space="preserve"> </w:t>
            </w:r>
            <w:r w:rsidR="00686410" w:rsidRPr="00E44DCC">
              <w:rPr>
                <w:b/>
                <w:color w:val="000000"/>
                <w:highlight w:val="white"/>
              </w:rPr>
              <w:t xml:space="preserve">Metabolismo Periférico </w:t>
            </w:r>
            <w:r w:rsidR="00686410">
              <w:rPr>
                <w:b/>
                <w:color w:val="000000"/>
                <w:highlight w:val="white"/>
              </w:rPr>
              <w:t>d</w:t>
            </w:r>
            <w:r w:rsidR="00686410" w:rsidRPr="00E44DCC">
              <w:rPr>
                <w:b/>
                <w:color w:val="000000"/>
                <w:highlight w:val="white"/>
              </w:rPr>
              <w:t xml:space="preserve">os </w:t>
            </w:r>
            <w:r w:rsidR="00686410" w:rsidRPr="00686410">
              <w:rPr>
                <w:b/>
                <w:color w:val="000000"/>
                <w:highlight w:val="white"/>
              </w:rPr>
              <w:t>HT</w:t>
            </w:r>
          </w:p>
        </w:tc>
        <w:tc>
          <w:tcPr>
            <w:tcW w:w="702" w:type="dxa"/>
            <w:shd w:val="clear" w:color="auto" w:fill="auto"/>
            <w:noWrap/>
            <w:vAlign w:val="center"/>
          </w:tcPr>
          <w:p w14:paraId="6DC83EF8" w14:textId="1A993610" w:rsidR="000856B1" w:rsidRDefault="00342A40" w:rsidP="00342A40">
            <w:pPr>
              <w:jc w:val="right"/>
              <w:rPr>
                <w:color w:val="000000"/>
              </w:rPr>
            </w:pPr>
            <w:r>
              <w:rPr>
                <w:color w:val="000000"/>
              </w:rPr>
              <w:t>29</w:t>
            </w:r>
          </w:p>
        </w:tc>
      </w:tr>
      <w:tr w:rsidR="000856B1" w14:paraId="5D21581E" w14:textId="77777777" w:rsidTr="00C96685">
        <w:trPr>
          <w:trHeight w:val="340"/>
        </w:trPr>
        <w:tc>
          <w:tcPr>
            <w:tcW w:w="8359" w:type="dxa"/>
            <w:shd w:val="clear" w:color="auto" w:fill="auto"/>
            <w:vAlign w:val="center"/>
            <w:hideMark/>
          </w:tcPr>
          <w:p w14:paraId="35110D73" w14:textId="15BF2007" w:rsidR="000856B1" w:rsidRPr="00E44DCC" w:rsidRDefault="00405717" w:rsidP="00342A40">
            <w:pPr>
              <w:jc w:val="both"/>
              <w:rPr>
                <w:b/>
                <w:color w:val="000000"/>
              </w:rPr>
            </w:pPr>
            <w:r>
              <w:rPr>
                <w:b/>
                <w:color w:val="000000"/>
              </w:rPr>
              <w:t>3</w:t>
            </w:r>
            <w:r w:rsidR="000856B1" w:rsidRPr="00E44DCC">
              <w:rPr>
                <w:b/>
                <w:color w:val="000000"/>
              </w:rPr>
              <w:t xml:space="preserve"> OBJETIVOS </w:t>
            </w:r>
          </w:p>
        </w:tc>
        <w:tc>
          <w:tcPr>
            <w:tcW w:w="702" w:type="dxa"/>
            <w:shd w:val="clear" w:color="auto" w:fill="auto"/>
            <w:noWrap/>
            <w:vAlign w:val="center"/>
          </w:tcPr>
          <w:p w14:paraId="6A3DBA4F" w14:textId="02BBB618" w:rsidR="000856B1" w:rsidRPr="00FA75C1" w:rsidRDefault="00342A40" w:rsidP="00342A40">
            <w:pPr>
              <w:jc w:val="right"/>
              <w:rPr>
                <w:color w:val="000000"/>
              </w:rPr>
            </w:pPr>
            <w:r>
              <w:rPr>
                <w:color w:val="000000"/>
              </w:rPr>
              <w:t>32</w:t>
            </w:r>
          </w:p>
        </w:tc>
      </w:tr>
      <w:tr w:rsidR="000856B1" w14:paraId="3B91CAFA" w14:textId="77777777" w:rsidTr="00C96685">
        <w:trPr>
          <w:trHeight w:val="340"/>
        </w:trPr>
        <w:tc>
          <w:tcPr>
            <w:tcW w:w="8359" w:type="dxa"/>
            <w:shd w:val="clear" w:color="auto" w:fill="auto"/>
            <w:vAlign w:val="center"/>
            <w:hideMark/>
          </w:tcPr>
          <w:p w14:paraId="11D5C295" w14:textId="5E2AE090" w:rsidR="000856B1" w:rsidRPr="00E44DCC" w:rsidRDefault="003E02A6" w:rsidP="00342A40">
            <w:pPr>
              <w:jc w:val="both"/>
              <w:rPr>
                <w:b/>
                <w:color w:val="000000"/>
              </w:rPr>
            </w:pPr>
            <w:r>
              <w:rPr>
                <w:b/>
                <w:color w:val="000000"/>
              </w:rPr>
              <w:t>4</w:t>
            </w:r>
            <w:r w:rsidR="000856B1" w:rsidRPr="00E44DCC">
              <w:rPr>
                <w:b/>
                <w:color w:val="000000"/>
              </w:rPr>
              <w:t xml:space="preserve"> HIPÓTESES DO ESTUDO</w:t>
            </w:r>
          </w:p>
        </w:tc>
        <w:tc>
          <w:tcPr>
            <w:tcW w:w="702" w:type="dxa"/>
            <w:shd w:val="clear" w:color="auto" w:fill="auto"/>
            <w:noWrap/>
            <w:vAlign w:val="bottom"/>
          </w:tcPr>
          <w:p w14:paraId="509692FD" w14:textId="7645659F" w:rsidR="000856B1" w:rsidRDefault="00342A40" w:rsidP="00342A40">
            <w:pPr>
              <w:jc w:val="right"/>
              <w:rPr>
                <w:rFonts w:ascii="Calibri" w:hAnsi="Calibri" w:cs="Calibri"/>
                <w:color w:val="000000"/>
              </w:rPr>
            </w:pPr>
            <w:r>
              <w:rPr>
                <w:rFonts w:ascii="Calibri" w:hAnsi="Calibri" w:cs="Calibri"/>
                <w:color w:val="000000"/>
              </w:rPr>
              <w:t>33</w:t>
            </w:r>
          </w:p>
        </w:tc>
      </w:tr>
      <w:tr w:rsidR="000856B1" w14:paraId="0EF53DD7" w14:textId="77777777" w:rsidTr="00C96685">
        <w:trPr>
          <w:trHeight w:val="340"/>
        </w:trPr>
        <w:tc>
          <w:tcPr>
            <w:tcW w:w="8359" w:type="dxa"/>
            <w:shd w:val="clear" w:color="auto" w:fill="auto"/>
            <w:vAlign w:val="center"/>
            <w:hideMark/>
          </w:tcPr>
          <w:p w14:paraId="02205001" w14:textId="5617CA71" w:rsidR="000856B1" w:rsidRPr="00E44DCC" w:rsidRDefault="00342A40" w:rsidP="00342A40">
            <w:pPr>
              <w:jc w:val="both"/>
              <w:rPr>
                <w:b/>
                <w:color w:val="000000"/>
              </w:rPr>
            </w:pPr>
            <w:r>
              <w:rPr>
                <w:b/>
                <w:color w:val="000000"/>
              </w:rPr>
              <w:t>5. MATERIAIS</w:t>
            </w:r>
            <w:r w:rsidR="000856B1" w:rsidRPr="00E44DCC">
              <w:rPr>
                <w:b/>
                <w:color w:val="000000"/>
              </w:rPr>
              <w:t xml:space="preserve"> E MÉTODOS </w:t>
            </w:r>
          </w:p>
        </w:tc>
        <w:tc>
          <w:tcPr>
            <w:tcW w:w="702" w:type="dxa"/>
            <w:shd w:val="clear" w:color="auto" w:fill="auto"/>
            <w:noWrap/>
            <w:vAlign w:val="bottom"/>
          </w:tcPr>
          <w:p w14:paraId="2CA9F3A8" w14:textId="69BE3A53" w:rsidR="000856B1" w:rsidRDefault="00342A40" w:rsidP="00342A40">
            <w:pPr>
              <w:jc w:val="right"/>
              <w:rPr>
                <w:rFonts w:ascii="Calibri" w:hAnsi="Calibri" w:cs="Calibri"/>
                <w:color w:val="000000"/>
              </w:rPr>
            </w:pPr>
            <w:r>
              <w:rPr>
                <w:rFonts w:ascii="Calibri" w:hAnsi="Calibri" w:cs="Calibri"/>
                <w:color w:val="000000"/>
              </w:rPr>
              <w:t>34</w:t>
            </w:r>
          </w:p>
        </w:tc>
      </w:tr>
      <w:tr w:rsidR="000856B1" w14:paraId="6540EA25" w14:textId="77777777" w:rsidTr="00C96685">
        <w:trPr>
          <w:trHeight w:val="340"/>
        </w:trPr>
        <w:tc>
          <w:tcPr>
            <w:tcW w:w="8359" w:type="dxa"/>
            <w:shd w:val="clear" w:color="auto" w:fill="auto"/>
            <w:vAlign w:val="center"/>
            <w:hideMark/>
          </w:tcPr>
          <w:p w14:paraId="7152285C" w14:textId="43E38E9A" w:rsidR="000856B1" w:rsidRPr="00686295" w:rsidRDefault="003E02A6" w:rsidP="00342A40">
            <w:pPr>
              <w:jc w:val="both"/>
              <w:rPr>
                <w:color w:val="000000"/>
              </w:rPr>
            </w:pPr>
            <w:r>
              <w:rPr>
                <w:color w:val="000000" w:themeColor="text1"/>
              </w:rPr>
              <w:t>5.1</w:t>
            </w:r>
            <w:r w:rsidR="000856B1" w:rsidRPr="00686295">
              <w:rPr>
                <w:color w:val="000000" w:themeColor="text1"/>
              </w:rPr>
              <w:t xml:space="preserve"> DESENHO DO ESTUDO </w:t>
            </w:r>
          </w:p>
        </w:tc>
        <w:tc>
          <w:tcPr>
            <w:tcW w:w="702" w:type="dxa"/>
            <w:shd w:val="clear" w:color="auto" w:fill="auto"/>
            <w:noWrap/>
            <w:vAlign w:val="bottom"/>
          </w:tcPr>
          <w:p w14:paraId="77E347A8" w14:textId="41D063DC" w:rsidR="000856B1" w:rsidRDefault="00342A40" w:rsidP="00342A40">
            <w:pPr>
              <w:jc w:val="right"/>
              <w:rPr>
                <w:rFonts w:ascii="Calibri" w:hAnsi="Calibri" w:cs="Calibri"/>
                <w:color w:val="000000"/>
              </w:rPr>
            </w:pPr>
            <w:r>
              <w:rPr>
                <w:rFonts w:ascii="Calibri" w:hAnsi="Calibri" w:cs="Calibri"/>
                <w:color w:val="000000"/>
              </w:rPr>
              <w:t>34</w:t>
            </w:r>
          </w:p>
        </w:tc>
      </w:tr>
      <w:tr w:rsidR="000856B1" w14:paraId="7E10788A" w14:textId="77777777" w:rsidTr="00C96685">
        <w:trPr>
          <w:trHeight w:val="340"/>
        </w:trPr>
        <w:tc>
          <w:tcPr>
            <w:tcW w:w="8359" w:type="dxa"/>
            <w:shd w:val="clear" w:color="auto" w:fill="auto"/>
            <w:vAlign w:val="center"/>
            <w:hideMark/>
          </w:tcPr>
          <w:p w14:paraId="06637FDC" w14:textId="0BAD0A48" w:rsidR="000856B1" w:rsidRPr="00686295" w:rsidRDefault="003E02A6" w:rsidP="00342A40">
            <w:pPr>
              <w:jc w:val="both"/>
              <w:rPr>
                <w:color w:val="000000"/>
              </w:rPr>
            </w:pPr>
            <w:r>
              <w:rPr>
                <w:color w:val="000000" w:themeColor="text1"/>
                <w:lang w:val="pt-PT"/>
              </w:rPr>
              <w:t>5.2</w:t>
            </w:r>
            <w:r w:rsidR="000856B1" w:rsidRPr="00686295">
              <w:rPr>
                <w:color w:val="000000" w:themeColor="text1"/>
                <w:lang w:val="pt-PT"/>
              </w:rPr>
              <w:t xml:space="preserve"> POPULAÇÃO DO ESTUDO</w:t>
            </w:r>
          </w:p>
        </w:tc>
        <w:tc>
          <w:tcPr>
            <w:tcW w:w="702" w:type="dxa"/>
            <w:shd w:val="clear" w:color="auto" w:fill="auto"/>
            <w:noWrap/>
            <w:vAlign w:val="bottom"/>
          </w:tcPr>
          <w:p w14:paraId="322CDC69" w14:textId="7293C35D" w:rsidR="000856B1" w:rsidRDefault="00342A40" w:rsidP="00342A40">
            <w:pPr>
              <w:jc w:val="right"/>
              <w:rPr>
                <w:rFonts w:ascii="Calibri" w:hAnsi="Calibri" w:cs="Calibri"/>
                <w:color w:val="000000"/>
              </w:rPr>
            </w:pPr>
            <w:r>
              <w:rPr>
                <w:rFonts w:ascii="Calibri" w:hAnsi="Calibri" w:cs="Calibri"/>
                <w:color w:val="000000"/>
              </w:rPr>
              <w:t>34</w:t>
            </w:r>
          </w:p>
        </w:tc>
      </w:tr>
      <w:tr w:rsidR="000856B1" w14:paraId="05312BFA" w14:textId="77777777" w:rsidTr="00C96685">
        <w:trPr>
          <w:trHeight w:val="340"/>
        </w:trPr>
        <w:tc>
          <w:tcPr>
            <w:tcW w:w="8359" w:type="dxa"/>
            <w:shd w:val="clear" w:color="auto" w:fill="auto"/>
            <w:vAlign w:val="center"/>
            <w:hideMark/>
          </w:tcPr>
          <w:p w14:paraId="58ED4283" w14:textId="51439278" w:rsidR="000856B1" w:rsidRPr="00686295" w:rsidRDefault="003E02A6" w:rsidP="00342A40">
            <w:pPr>
              <w:jc w:val="both"/>
              <w:rPr>
                <w:color w:val="000000"/>
              </w:rPr>
            </w:pPr>
            <w:r>
              <w:rPr>
                <w:color w:val="000000" w:themeColor="text1"/>
              </w:rPr>
              <w:t>5.3</w:t>
            </w:r>
            <w:r w:rsidR="000856B1" w:rsidRPr="00686295">
              <w:rPr>
                <w:color w:val="000000" w:themeColor="text1"/>
              </w:rPr>
              <w:t xml:space="preserve"> GRUPO AMOSTRAL</w:t>
            </w:r>
          </w:p>
        </w:tc>
        <w:tc>
          <w:tcPr>
            <w:tcW w:w="702" w:type="dxa"/>
            <w:shd w:val="clear" w:color="auto" w:fill="auto"/>
            <w:noWrap/>
            <w:vAlign w:val="bottom"/>
          </w:tcPr>
          <w:p w14:paraId="211D8983" w14:textId="29BABBD3" w:rsidR="000856B1" w:rsidRDefault="00342A40" w:rsidP="00342A40">
            <w:pPr>
              <w:jc w:val="right"/>
              <w:rPr>
                <w:rFonts w:ascii="Calibri" w:hAnsi="Calibri" w:cs="Calibri"/>
                <w:color w:val="000000"/>
              </w:rPr>
            </w:pPr>
            <w:r>
              <w:rPr>
                <w:rFonts w:ascii="Calibri" w:hAnsi="Calibri" w:cs="Calibri"/>
                <w:color w:val="000000"/>
              </w:rPr>
              <w:t>35</w:t>
            </w:r>
          </w:p>
        </w:tc>
      </w:tr>
      <w:tr w:rsidR="000856B1" w14:paraId="28C1E665" w14:textId="77777777" w:rsidTr="00C96685">
        <w:trPr>
          <w:trHeight w:val="340"/>
        </w:trPr>
        <w:tc>
          <w:tcPr>
            <w:tcW w:w="8359" w:type="dxa"/>
            <w:shd w:val="clear" w:color="auto" w:fill="auto"/>
            <w:vAlign w:val="center"/>
            <w:hideMark/>
          </w:tcPr>
          <w:p w14:paraId="4A70D0F0" w14:textId="2A7857F6" w:rsidR="000856B1" w:rsidRPr="00686295" w:rsidRDefault="003E02A6" w:rsidP="00342A40">
            <w:pPr>
              <w:jc w:val="both"/>
              <w:rPr>
                <w:color w:val="000000"/>
              </w:rPr>
            </w:pPr>
            <w:r>
              <w:rPr>
                <w:color w:val="000000" w:themeColor="text1"/>
              </w:rPr>
              <w:t>5.4</w:t>
            </w:r>
            <w:r w:rsidR="000856B1" w:rsidRPr="00686295">
              <w:rPr>
                <w:color w:val="000000" w:themeColor="text1"/>
              </w:rPr>
              <w:t xml:space="preserve"> CRITÉRIOS DE INCLUSÃO E EXCLUSÃO</w:t>
            </w:r>
          </w:p>
        </w:tc>
        <w:tc>
          <w:tcPr>
            <w:tcW w:w="702" w:type="dxa"/>
            <w:shd w:val="clear" w:color="auto" w:fill="auto"/>
            <w:noWrap/>
            <w:vAlign w:val="bottom"/>
          </w:tcPr>
          <w:p w14:paraId="650C6D17" w14:textId="7BC45D00" w:rsidR="000856B1" w:rsidRDefault="00342A40" w:rsidP="00342A40">
            <w:pPr>
              <w:jc w:val="right"/>
              <w:rPr>
                <w:rFonts w:ascii="Calibri" w:hAnsi="Calibri" w:cs="Calibri"/>
                <w:color w:val="000000"/>
              </w:rPr>
            </w:pPr>
            <w:r>
              <w:rPr>
                <w:rFonts w:ascii="Calibri" w:hAnsi="Calibri" w:cs="Calibri"/>
                <w:color w:val="000000"/>
              </w:rPr>
              <w:t>35</w:t>
            </w:r>
          </w:p>
        </w:tc>
      </w:tr>
      <w:tr w:rsidR="000856B1" w14:paraId="1200C8D3" w14:textId="77777777" w:rsidTr="00C96685">
        <w:trPr>
          <w:trHeight w:val="340"/>
        </w:trPr>
        <w:tc>
          <w:tcPr>
            <w:tcW w:w="8359" w:type="dxa"/>
            <w:shd w:val="clear" w:color="auto" w:fill="auto"/>
            <w:vAlign w:val="center"/>
            <w:hideMark/>
          </w:tcPr>
          <w:p w14:paraId="31B07EC5" w14:textId="7276816E" w:rsidR="000856B1" w:rsidRPr="00686295" w:rsidRDefault="003E02A6" w:rsidP="00342A40">
            <w:pPr>
              <w:jc w:val="both"/>
              <w:rPr>
                <w:color w:val="000000"/>
              </w:rPr>
            </w:pPr>
            <w:r>
              <w:rPr>
                <w:color w:val="000000"/>
              </w:rPr>
              <w:t>5.5</w:t>
            </w:r>
            <w:r w:rsidR="000856B1" w:rsidRPr="00686295">
              <w:rPr>
                <w:color w:val="000000"/>
              </w:rPr>
              <w:t xml:space="preserve"> DADOS SOCIOECONÔMICOS E CLÍNICOS</w:t>
            </w:r>
          </w:p>
        </w:tc>
        <w:tc>
          <w:tcPr>
            <w:tcW w:w="702" w:type="dxa"/>
            <w:shd w:val="clear" w:color="auto" w:fill="auto"/>
            <w:noWrap/>
            <w:vAlign w:val="bottom"/>
          </w:tcPr>
          <w:p w14:paraId="5AFC0962" w14:textId="3730B08D" w:rsidR="000856B1" w:rsidRDefault="00342A40" w:rsidP="00342A40">
            <w:pPr>
              <w:jc w:val="right"/>
              <w:rPr>
                <w:rFonts w:ascii="Calibri" w:hAnsi="Calibri" w:cs="Calibri"/>
                <w:color w:val="000000"/>
              </w:rPr>
            </w:pPr>
            <w:r>
              <w:rPr>
                <w:rFonts w:ascii="Calibri" w:hAnsi="Calibri" w:cs="Calibri"/>
                <w:color w:val="000000"/>
              </w:rPr>
              <w:t>36</w:t>
            </w:r>
          </w:p>
        </w:tc>
      </w:tr>
      <w:tr w:rsidR="000856B1" w14:paraId="4D410C99" w14:textId="77777777" w:rsidTr="00C96685">
        <w:trPr>
          <w:trHeight w:val="340"/>
        </w:trPr>
        <w:tc>
          <w:tcPr>
            <w:tcW w:w="8359" w:type="dxa"/>
            <w:shd w:val="clear" w:color="auto" w:fill="auto"/>
            <w:vAlign w:val="center"/>
            <w:hideMark/>
          </w:tcPr>
          <w:p w14:paraId="4325006C" w14:textId="557EDF26" w:rsidR="000856B1" w:rsidRPr="00686295" w:rsidRDefault="00405717" w:rsidP="00342A40">
            <w:pPr>
              <w:jc w:val="both"/>
              <w:rPr>
                <w:color w:val="000000"/>
              </w:rPr>
            </w:pPr>
            <w:r>
              <w:rPr>
                <w:color w:val="000000"/>
              </w:rPr>
              <w:t>5.6</w:t>
            </w:r>
            <w:r w:rsidR="000856B1" w:rsidRPr="00686295">
              <w:rPr>
                <w:color w:val="000000"/>
              </w:rPr>
              <w:t xml:space="preserve"> AVALIAÇÃO NUTRICIONAL </w:t>
            </w:r>
          </w:p>
        </w:tc>
        <w:tc>
          <w:tcPr>
            <w:tcW w:w="702" w:type="dxa"/>
            <w:shd w:val="clear" w:color="auto" w:fill="auto"/>
            <w:noWrap/>
            <w:vAlign w:val="bottom"/>
          </w:tcPr>
          <w:p w14:paraId="7D8E0ACB" w14:textId="61F1EC42" w:rsidR="000856B1" w:rsidRDefault="00342A40" w:rsidP="00342A40">
            <w:pPr>
              <w:jc w:val="right"/>
              <w:rPr>
                <w:rFonts w:ascii="Calibri" w:hAnsi="Calibri" w:cs="Calibri"/>
                <w:color w:val="000000"/>
              </w:rPr>
            </w:pPr>
            <w:r>
              <w:rPr>
                <w:rFonts w:ascii="Calibri" w:hAnsi="Calibri" w:cs="Calibri"/>
                <w:color w:val="000000"/>
              </w:rPr>
              <w:t>36</w:t>
            </w:r>
          </w:p>
        </w:tc>
      </w:tr>
      <w:tr w:rsidR="000856B1" w14:paraId="418A1F96" w14:textId="77777777" w:rsidTr="00C96685">
        <w:trPr>
          <w:trHeight w:val="340"/>
        </w:trPr>
        <w:tc>
          <w:tcPr>
            <w:tcW w:w="8359" w:type="dxa"/>
            <w:shd w:val="clear" w:color="auto" w:fill="auto"/>
            <w:vAlign w:val="center"/>
            <w:hideMark/>
          </w:tcPr>
          <w:p w14:paraId="538D375A" w14:textId="603C6E1B" w:rsidR="000856B1" w:rsidRPr="00686295" w:rsidRDefault="000856B1" w:rsidP="00342A40">
            <w:pPr>
              <w:jc w:val="both"/>
              <w:rPr>
                <w:color w:val="000000"/>
              </w:rPr>
            </w:pPr>
            <w:r w:rsidRPr="00E44DCC">
              <w:rPr>
                <w:b/>
                <w:color w:val="000000"/>
              </w:rPr>
              <w:t>5.6.1</w:t>
            </w:r>
            <w:r w:rsidR="00686410" w:rsidRPr="00E44DCC">
              <w:rPr>
                <w:b/>
                <w:color w:val="000000"/>
              </w:rPr>
              <w:t xml:space="preserve"> Mini Avaliação Nutricional</w:t>
            </w:r>
            <w:r w:rsidR="00686410" w:rsidRPr="00686295">
              <w:rPr>
                <w:color w:val="000000"/>
              </w:rPr>
              <w:t xml:space="preserve"> </w:t>
            </w:r>
            <w:r w:rsidRPr="00686295">
              <w:rPr>
                <w:color w:val="000000"/>
              </w:rPr>
              <w:t>(MNA)</w:t>
            </w:r>
          </w:p>
        </w:tc>
        <w:tc>
          <w:tcPr>
            <w:tcW w:w="702" w:type="dxa"/>
            <w:shd w:val="clear" w:color="auto" w:fill="auto"/>
            <w:noWrap/>
            <w:vAlign w:val="bottom"/>
          </w:tcPr>
          <w:p w14:paraId="6B915581" w14:textId="1901946B" w:rsidR="000856B1" w:rsidRDefault="00342A40" w:rsidP="00342A40">
            <w:pPr>
              <w:jc w:val="right"/>
              <w:rPr>
                <w:rFonts w:ascii="Calibri" w:hAnsi="Calibri" w:cs="Calibri"/>
                <w:color w:val="000000"/>
              </w:rPr>
            </w:pPr>
            <w:r>
              <w:rPr>
                <w:rFonts w:ascii="Calibri" w:hAnsi="Calibri" w:cs="Calibri"/>
                <w:color w:val="000000"/>
              </w:rPr>
              <w:t>36</w:t>
            </w:r>
          </w:p>
        </w:tc>
      </w:tr>
      <w:tr w:rsidR="000856B1" w14:paraId="04F8FF26" w14:textId="77777777" w:rsidTr="00C96685">
        <w:trPr>
          <w:trHeight w:val="340"/>
        </w:trPr>
        <w:tc>
          <w:tcPr>
            <w:tcW w:w="8359" w:type="dxa"/>
            <w:shd w:val="clear" w:color="auto" w:fill="auto"/>
            <w:vAlign w:val="center"/>
            <w:hideMark/>
          </w:tcPr>
          <w:p w14:paraId="6AEAA2B8" w14:textId="72805627" w:rsidR="000856B1" w:rsidRPr="00E44DCC" w:rsidRDefault="00405717" w:rsidP="00342A40">
            <w:pPr>
              <w:jc w:val="both"/>
              <w:rPr>
                <w:b/>
                <w:color w:val="000000"/>
              </w:rPr>
            </w:pPr>
            <w:r>
              <w:rPr>
                <w:b/>
                <w:color w:val="000000"/>
              </w:rPr>
              <w:t>5.6.2</w:t>
            </w:r>
            <w:r w:rsidR="000856B1" w:rsidRPr="00E44DCC">
              <w:rPr>
                <w:b/>
                <w:color w:val="000000"/>
              </w:rPr>
              <w:t xml:space="preserve"> </w:t>
            </w:r>
            <w:r w:rsidR="00686410" w:rsidRPr="00E44DCC">
              <w:rPr>
                <w:b/>
                <w:color w:val="000000"/>
              </w:rPr>
              <w:t xml:space="preserve">Análise </w:t>
            </w:r>
            <w:r w:rsidR="00686410" w:rsidRPr="00686410">
              <w:rPr>
                <w:b/>
                <w:color w:val="000000"/>
              </w:rPr>
              <w:t>d</w:t>
            </w:r>
            <w:r w:rsidR="00342A40">
              <w:rPr>
                <w:b/>
                <w:color w:val="000000"/>
              </w:rPr>
              <w:t>a</w:t>
            </w:r>
            <w:r w:rsidR="00686410" w:rsidRPr="00E44DCC">
              <w:rPr>
                <w:b/>
                <w:color w:val="000000"/>
              </w:rPr>
              <w:t xml:space="preserve"> Composição Corporal </w:t>
            </w:r>
            <w:r w:rsidR="00686410" w:rsidRPr="00686410">
              <w:rPr>
                <w:b/>
                <w:color w:val="000000"/>
              </w:rPr>
              <w:t>p</w:t>
            </w:r>
            <w:r w:rsidR="00686410" w:rsidRPr="00E44DCC">
              <w:rPr>
                <w:b/>
                <w:color w:val="000000"/>
              </w:rPr>
              <w:t xml:space="preserve">or </w:t>
            </w:r>
            <w:proofErr w:type="spellStart"/>
            <w:r w:rsidR="00686410" w:rsidRPr="00E44DCC">
              <w:rPr>
                <w:b/>
                <w:color w:val="000000"/>
              </w:rPr>
              <w:t>Dxa</w:t>
            </w:r>
            <w:proofErr w:type="spellEnd"/>
          </w:p>
        </w:tc>
        <w:tc>
          <w:tcPr>
            <w:tcW w:w="702" w:type="dxa"/>
            <w:shd w:val="clear" w:color="auto" w:fill="auto"/>
            <w:noWrap/>
            <w:vAlign w:val="bottom"/>
          </w:tcPr>
          <w:p w14:paraId="467155E5" w14:textId="40761CAA" w:rsidR="000856B1" w:rsidRDefault="00342A40" w:rsidP="00342A40">
            <w:pPr>
              <w:jc w:val="right"/>
              <w:rPr>
                <w:rFonts w:ascii="Calibri" w:hAnsi="Calibri" w:cs="Calibri"/>
                <w:color w:val="000000"/>
              </w:rPr>
            </w:pPr>
            <w:r>
              <w:rPr>
                <w:rFonts w:ascii="Calibri" w:hAnsi="Calibri" w:cs="Calibri"/>
                <w:color w:val="000000"/>
              </w:rPr>
              <w:t>37</w:t>
            </w:r>
          </w:p>
        </w:tc>
      </w:tr>
      <w:tr w:rsidR="000856B1" w14:paraId="13C2D4E2" w14:textId="77777777" w:rsidTr="00C96685">
        <w:trPr>
          <w:trHeight w:val="340"/>
        </w:trPr>
        <w:tc>
          <w:tcPr>
            <w:tcW w:w="8359" w:type="dxa"/>
            <w:shd w:val="clear" w:color="auto" w:fill="auto"/>
            <w:vAlign w:val="center"/>
            <w:hideMark/>
          </w:tcPr>
          <w:p w14:paraId="5F60F6D2" w14:textId="7F43A80A" w:rsidR="000856B1" w:rsidRPr="00E44DCC" w:rsidRDefault="000856B1" w:rsidP="00342A40">
            <w:pPr>
              <w:jc w:val="both"/>
              <w:rPr>
                <w:b/>
                <w:color w:val="000000"/>
              </w:rPr>
            </w:pPr>
            <w:r w:rsidRPr="00E44DCC">
              <w:rPr>
                <w:b/>
                <w:color w:val="000000"/>
              </w:rPr>
              <w:t xml:space="preserve">5.6.3 </w:t>
            </w:r>
            <w:r w:rsidR="00686410" w:rsidRPr="00E44DCC">
              <w:rPr>
                <w:b/>
                <w:color w:val="000000"/>
              </w:rPr>
              <w:t>Avaliação Antropométrica</w:t>
            </w:r>
          </w:p>
        </w:tc>
        <w:tc>
          <w:tcPr>
            <w:tcW w:w="702" w:type="dxa"/>
            <w:shd w:val="clear" w:color="auto" w:fill="auto"/>
            <w:noWrap/>
            <w:vAlign w:val="bottom"/>
          </w:tcPr>
          <w:p w14:paraId="25E9C1F7" w14:textId="0E368166" w:rsidR="000856B1" w:rsidRDefault="00342A40" w:rsidP="00342A40">
            <w:pPr>
              <w:jc w:val="right"/>
              <w:rPr>
                <w:rFonts w:ascii="Calibri" w:hAnsi="Calibri" w:cs="Calibri"/>
                <w:color w:val="000000"/>
              </w:rPr>
            </w:pPr>
            <w:r>
              <w:rPr>
                <w:rFonts w:ascii="Calibri" w:hAnsi="Calibri" w:cs="Calibri"/>
                <w:color w:val="000000"/>
              </w:rPr>
              <w:t>38</w:t>
            </w:r>
          </w:p>
        </w:tc>
      </w:tr>
      <w:tr w:rsidR="000856B1" w14:paraId="70229A75" w14:textId="77777777" w:rsidTr="00C96685">
        <w:trPr>
          <w:trHeight w:val="340"/>
        </w:trPr>
        <w:tc>
          <w:tcPr>
            <w:tcW w:w="8359" w:type="dxa"/>
            <w:shd w:val="clear" w:color="auto" w:fill="auto"/>
            <w:vAlign w:val="center"/>
            <w:hideMark/>
          </w:tcPr>
          <w:p w14:paraId="346DA5C3" w14:textId="4F88966F" w:rsidR="000856B1" w:rsidRPr="00686295" w:rsidRDefault="00405717" w:rsidP="00342A40">
            <w:pPr>
              <w:jc w:val="both"/>
              <w:rPr>
                <w:color w:val="000000"/>
              </w:rPr>
            </w:pPr>
            <w:r>
              <w:rPr>
                <w:color w:val="000000"/>
              </w:rPr>
              <w:t>5.7</w:t>
            </w:r>
            <w:r w:rsidR="000856B1" w:rsidRPr="00686295">
              <w:rPr>
                <w:color w:val="000000"/>
              </w:rPr>
              <w:t xml:space="preserve"> AVALIAÇÃO LABORATORIAL</w:t>
            </w:r>
          </w:p>
        </w:tc>
        <w:tc>
          <w:tcPr>
            <w:tcW w:w="702" w:type="dxa"/>
            <w:shd w:val="clear" w:color="auto" w:fill="auto"/>
            <w:noWrap/>
            <w:vAlign w:val="bottom"/>
          </w:tcPr>
          <w:p w14:paraId="6D7D0480" w14:textId="5C0EDF26" w:rsidR="000856B1" w:rsidRDefault="00342A40" w:rsidP="00342A40">
            <w:pPr>
              <w:jc w:val="right"/>
              <w:rPr>
                <w:rFonts w:ascii="Calibri" w:hAnsi="Calibri" w:cs="Calibri"/>
                <w:color w:val="000000"/>
              </w:rPr>
            </w:pPr>
            <w:r>
              <w:rPr>
                <w:rFonts w:ascii="Calibri" w:hAnsi="Calibri" w:cs="Calibri"/>
                <w:color w:val="000000"/>
              </w:rPr>
              <w:t>39</w:t>
            </w:r>
          </w:p>
        </w:tc>
      </w:tr>
      <w:tr w:rsidR="000856B1" w14:paraId="23D1DCA6" w14:textId="77777777" w:rsidTr="00C96685">
        <w:trPr>
          <w:trHeight w:val="340"/>
        </w:trPr>
        <w:tc>
          <w:tcPr>
            <w:tcW w:w="8359" w:type="dxa"/>
            <w:shd w:val="clear" w:color="auto" w:fill="auto"/>
            <w:vAlign w:val="center"/>
            <w:hideMark/>
          </w:tcPr>
          <w:p w14:paraId="7A8C735C" w14:textId="0943C264" w:rsidR="000856B1" w:rsidRPr="00686295" w:rsidRDefault="00405717" w:rsidP="00342A40">
            <w:pPr>
              <w:jc w:val="both"/>
              <w:rPr>
                <w:color w:val="000000"/>
              </w:rPr>
            </w:pPr>
            <w:r>
              <w:rPr>
                <w:color w:val="000000"/>
              </w:rPr>
              <w:t>5.8</w:t>
            </w:r>
            <w:r w:rsidR="000856B1" w:rsidRPr="00686295">
              <w:rPr>
                <w:color w:val="000000"/>
              </w:rPr>
              <w:t xml:space="preserve"> EXTRAÇÃO DE DNA </w:t>
            </w:r>
          </w:p>
        </w:tc>
        <w:tc>
          <w:tcPr>
            <w:tcW w:w="702" w:type="dxa"/>
            <w:shd w:val="clear" w:color="auto" w:fill="auto"/>
            <w:noWrap/>
            <w:vAlign w:val="bottom"/>
          </w:tcPr>
          <w:p w14:paraId="7932902C" w14:textId="41939E61" w:rsidR="000856B1" w:rsidRDefault="00342A40" w:rsidP="00342A40">
            <w:pPr>
              <w:jc w:val="right"/>
              <w:rPr>
                <w:rFonts w:ascii="Calibri" w:hAnsi="Calibri" w:cs="Calibri"/>
                <w:color w:val="000000"/>
              </w:rPr>
            </w:pPr>
            <w:r>
              <w:rPr>
                <w:rFonts w:ascii="Calibri" w:hAnsi="Calibri" w:cs="Calibri"/>
                <w:color w:val="000000"/>
              </w:rPr>
              <w:t>39</w:t>
            </w:r>
          </w:p>
        </w:tc>
      </w:tr>
      <w:tr w:rsidR="000856B1" w14:paraId="189A6F34" w14:textId="77777777" w:rsidTr="00C96685">
        <w:trPr>
          <w:trHeight w:val="340"/>
        </w:trPr>
        <w:tc>
          <w:tcPr>
            <w:tcW w:w="8359" w:type="dxa"/>
            <w:shd w:val="clear" w:color="auto" w:fill="auto"/>
            <w:vAlign w:val="center"/>
            <w:hideMark/>
          </w:tcPr>
          <w:p w14:paraId="450A9F1A" w14:textId="07851940" w:rsidR="000856B1" w:rsidRPr="00686295" w:rsidRDefault="000856B1" w:rsidP="00342A40">
            <w:pPr>
              <w:jc w:val="both"/>
              <w:rPr>
                <w:color w:val="000000"/>
              </w:rPr>
            </w:pPr>
            <w:r w:rsidRPr="00686295">
              <w:rPr>
                <w:color w:val="000000"/>
              </w:rPr>
              <w:t xml:space="preserve">5.9 SELEÇÃO DE GENES ESTUDADOS </w:t>
            </w:r>
          </w:p>
        </w:tc>
        <w:tc>
          <w:tcPr>
            <w:tcW w:w="702" w:type="dxa"/>
            <w:shd w:val="clear" w:color="auto" w:fill="auto"/>
            <w:noWrap/>
            <w:vAlign w:val="bottom"/>
          </w:tcPr>
          <w:p w14:paraId="43867745" w14:textId="572FC674" w:rsidR="000856B1" w:rsidRDefault="00342A40" w:rsidP="00342A40">
            <w:pPr>
              <w:jc w:val="right"/>
              <w:rPr>
                <w:rFonts w:ascii="Calibri" w:hAnsi="Calibri" w:cs="Calibri"/>
                <w:color w:val="000000"/>
              </w:rPr>
            </w:pPr>
            <w:r>
              <w:rPr>
                <w:rFonts w:ascii="Calibri" w:hAnsi="Calibri" w:cs="Calibri"/>
                <w:color w:val="000000"/>
              </w:rPr>
              <w:t>40</w:t>
            </w:r>
          </w:p>
        </w:tc>
      </w:tr>
      <w:tr w:rsidR="000856B1" w14:paraId="56D46021" w14:textId="77777777" w:rsidTr="00C96685">
        <w:trPr>
          <w:trHeight w:val="320"/>
        </w:trPr>
        <w:tc>
          <w:tcPr>
            <w:tcW w:w="8359" w:type="dxa"/>
            <w:shd w:val="clear" w:color="auto" w:fill="auto"/>
            <w:vAlign w:val="center"/>
            <w:hideMark/>
          </w:tcPr>
          <w:p w14:paraId="77A8EF42" w14:textId="11280BC8" w:rsidR="000856B1" w:rsidRPr="00686295" w:rsidRDefault="00405717" w:rsidP="00342A40">
            <w:pPr>
              <w:jc w:val="both"/>
              <w:rPr>
                <w:color w:val="000000"/>
              </w:rPr>
            </w:pPr>
            <w:r>
              <w:rPr>
                <w:color w:val="000000"/>
              </w:rPr>
              <w:t>5.10</w:t>
            </w:r>
            <w:r w:rsidR="000856B1" w:rsidRPr="00686295">
              <w:rPr>
                <w:color w:val="000000"/>
              </w:rPr>
              <w:t xml:space="preserve"> GENOTIPAGEM</w:t>
            </w:r>
          </w:p>
        </w:tc>
        <w:tc>
          <w:tcPr>
            <w:tcW w:w="702" w:type="dxa"/>
            <w:shd w:val="clear" w:color="auto" w:fill="auto"/>
            <w:noWrap/>
            <w:vAlign w:val="bottom"/>
          </w:tcPr>
          <w:p w14:paraId="26EFC139" w14:textId="3E5B4123" w:rsidR="000856B1" w:rsidRDefault="00342A40" w:rsidP="00342A40">
            <w:pPr>
              <w:jc w:val="right"/>
              <w:rPr>
                <w:rFonts w:ascii="Calibri" w:hAnsi="Calibri" w:cs="Calibri"/>
                <w:color w:val="000000"/>
              </w:rPr>
            </w:pPr>
            <w:r>
              <w:rPr>
                <w:rFonts w:ascii="Calibri" w:hAnsi="Calibri" w:cs="Calibri"/>
                <w:color w:val="000000"/>
              </w:rPr>
              <w:t>40</w:t>
            </w:r>
          </w:p>
        </w:tc>
      </w:tr>
      <w:tr w:rsidR="00342A40" w14:paraId="3CAD7198" w14:textId="77777777" w:rsidTr="00C96685">
        <w:trPr>
          <w:trHeight w:val="320"/>
        </w:trPr>
        <w:tc>
          <w:tcPr>
            <w:tcW w:w="8359" w:type="dxa"/>
            <w:shd w:val="clear" w:color="auto" w:fill="auto"/>
            <w:vAlign w:val="center"/>
          </w:tcPr>
          <w:p w14:paraId="658D46A1" w14:textId="092571F3" w:rsidR="00342A40" w:rsidRDefault="00342A40" w:rsidP="00342A40">
            <w:pPr>
              <w:ind w:left="634" w:hanging="634"/>
              <w:jc w:val="both"/>
              <w:rPr>
                <w:color w:val="000000"/>
              </w:rPr>
            </w:pPr>
            <w:r>
              <w:rPr>
                <w:color w:val="000000"/>
              </w:rPr>
              <w:t xml:space="preserve">5.11 </w:t>
            </w:r>
            <w:r w:rsidRPr="00451B99">
              <w:rPr>
                <w:color w:val="000000" w:themeColor="text1"/>
              </w:rPr>
              <w:t xml:space="preserve">ANÁLISE DAS ASSOCIAÇÕES ENTRE PARÂMETROS SÉRICOS DA FUNÇÃO TIREOIDIANA E POLIMORFISMOS  </w:t>
            </w:r>
          </w:p>
        </w:tc>
        <w:tc>
          <w:tcPr>
            <w:tcW w:w="702" w:type="dxa"/>
            <w:shd w:val="clear" w:color="auto" w:fill="auto"/>
            <w:noWrap/>
            <w:vAlign w:val="bottom"/>
          </w:tcPr>
          <w:p w14:paraId="77DB8C97" w14:textId="4081471F" w:rsidR="00342A40" w:rsidRDefault="00342A40" w:rsidP="00342A40">
            <w:pPr>
              <w:jc w:val="right"/>
              <w:rPr>
                <w:rFonts w:ascii="Calibri" w:hAnsi="Calibri" w:cs="Calibri"/>
                <w:color w:val="000000"/>
              </w:rPr>
            </w:pPr>
            <w:r>
              <w:rPr>
                <w:rFonts w:ascii="Calibri" w:hAnsi="Calibri" w:cs="Calibri"/>
                <w:color w:val="000000"/>
              </w:rPr>
              <w:t>41</w:t>
            </w:r>
          </w:p>
        </w:tc>
      </w:tr>
      <w:tr w:rsidR="000856B1" w14:paraId="24F968E7" w14:textId="77777777" w:rsidTr="00C96685">
        <w:trPr>
          <w:trHeight w:val="340"/>
        </w:trPr>
        <w:tc>
          <w:tcPr>
            <w:tcW w:w="8359" w:type="dxa"/>
            <w:shd w:val="clear" w:color="auto" w:fill="auto"/>
            <w:vAlign w:val="center"/>
            <w:hideMark/>
          </w:tcPr>
          <w:p w14:paraId="2C78A336" w14:textId="7C1070E1" w:rsidR="000856B1" w:rsidRPr="00E44DCC" w:rsidRDefault="00405717" w:rsidP="00342A40">
            <w:pPr>
              <w:jc w:val="both"/>
              <w:rPr>
                <w:b/>
                <w:color w:val="000000"/>
              </w:rPr>
            </w:pPr>
            <w:proofErr w:type="gramStart"/>
            <w:r>
              <w:rPr>
                <w:b/>
                <w:color w:val="000000"/>
              </w:rPr>
              <w:t>6</w:t>
            </w:r>
            <w:r w:rsidR="000856B1" w:rsidRPr="00E44DCC">
              <w:rPr>
                <w:b/>
                <w:color w:val="000000"/>
              </w:rPr>
              <w:t xml:space="preserve"> </w:t>
            </w:r>
            <w:r>
              <w:rPr>
                <w:b/>
                <w:color w:val="000000"/>
              </w:rPr>
              <w:t xml:space="preserve"> </w:t>
            </w:r>
            <w:r w:rsidR="000856B1" w:rsidRPr="00E44DCC">
              <w:rPr>
                <w:b/>
                <w:color w:val="000000"/>
              </w:rPr>
              <w:t>ASPECTOS</w:t>
            </w:r>
            <w:proofErr w:type="gramEnd"/>
            <w:r w:rsidR="000856B1" w:rsidRPr="00E44DCC">
              <w:rPr>
                <w:b/>
                <w:color w:val="000000"/>
              </w:rPr>
              <w:t xml:space="preserve"> ESTATÍSTICOS </w:t>
            </w:r>
          </w:p>
        </w:tc>
        <w:tc>
          <w:tcPr>
            <w:tcW w:w="702" w:type="dxa"/>
            <w:shd w:val="clear" w:color="auto" w:fill="auto"/>
            <w:noWrap/>
            <w:vAlign w:val="bottom"/>
          </w:tcPr>
          <w:p w14:paraId="2B1A2490" w14:textId="1F395B63" w:rsidR="000856B1" w:rsidRDefault="00342A40" w:rsidP="00342A40">
            <w:pPr>
              <w:jc w:val="right"/>
              <w:rPr>
                <w:rFonts w:ascii="Calibri" w:hAnsi="Calibri" w:cs="Calibri"/>
                <w:color w:val="000000"/>
              </w:rPr>
            </w:pPr>
            <w:r>
              <w:rPr>
                <w:rFonts w:ascii="Calibri" w:hAnsi="Calibri" w:cs="Calibri"/>
                <w:color w:val="000000"/>
              </w:rPr>
              <w:t>42</w:t>
            </w:r>
          </w:p>
        </w:tc>
      </w:tr>
      <w:tr w:rsidR="000856B1" w14:paraId="3F6AAA08" w14:textId="77777777" w:rsidTr="00C96685">
        <w:trPr>
          <w:trHeight w:val="340"/>
        </w:trPr>
        <w:tc>
          <w:tcPr>
            <w:tcW w:w="8359" w:type="dxa"/>
            <w:shd w:val="clear" w:color="auto" w:fill="auto"/>
            <w:vAlign w:val="center"/>
            <w:hideMark/>
          </w:tcPr>
          <w:p w14:paraId="0F3A2F6D" w14:textId="437F0C87" w:rsidR="000856B1" w:rsidRPr="00E44DCC" w:rsidRDefault="00405717" w:rsidP="00342A40">
            <w:pPr>
              <w:jc w:val="both"/>
              <w:rPr>
                <w:b/>
                <w:color w:val="000000"/>
              </w:rPr>
            </w:pPr>
            <w:proofErr w:type="gramStart"/>
            <w:r>
              <w:rPr>
                <w:b/>
                <w:color w:val="000000"/>
              </w:rPr>
              <w:t>7</w:t>
            </w:r>
            <w:r w:rsidR="000856B1" w:rsidRPr="00E44DCC">
              <w:rPr>
                <w:b/>
                <w:color w:val="000000"/>
              </w:rPr>
              <w:t xml:space="preserve"> </w:t>
            </w:r>
            <w:r>
              <w:rPr>
                <w:b/>
                <w:color w:val="000000"/>
              </w:rPr>
              <w:t xml:space="preserve"> </w:t>
            </w:r>
            <w:r w:rsidR="000856B1" w:rsidRPr="00E44DCC">
              <w:rPr>
                <w:b/>
                <w:color w:val="000000"/>
              </w:rPr>
              <w:t>ASPECTOS</w:t>
            </w:r>
            <w:proofErr w:type="gramEnd"/>
            <w:r w:rsidR="000856B1" w:rsidRPr="00E44DCC">
              <w:rPr>
                <w:b/>
                <w:color w:val="000000"/>
              </w:rPr>
              <w:t xml:space="preserve"> ÉTICOS E FINANCEIROS</w:t>
            </w:r>
          </w:p>
        </w:tc>
        <w:tc>
          <w:tcPr>
            <w:tcW w:w="702" w:type="dxa"/>
            <w:shd w:val="clear" w:color="auto" w:fill="auto"/>
            <w:noWrap/>
            <w:vAlign w:val="bottom"/>
          </w:tcPr>
          <w:p w14:paraId="463A2357" w14:textId="7673B031" w:rsidR="000856B1" w:rsidRDefault="00342A40" w:rsidP="00342A40">
            <w:pPr>
              <w:jc w:val="right"/>
              <w:rPr>
                <w:rFonts w:ascii="Calibri" w:hAnsi="Calibri" w:cs="Calibri"/>
                <w:color w:val="000000"/>
              </w:rPr>
            </w:pPr>
            <w:r>
              <w:rPr>
                <w:rFonts w:ascii="Calibri" w:hAnsi="Calibri" w:cs="Calibri"/>
                <w:color w:val="000000"/>
              </w:rPr>
              <w:t>43</w:t>
            </w:r>
          </w:p>
        </w:tc>
      </w:tr>
      <w:tr w:rsidR="000856B1" w14:paraId="2DE27A14" w14:textId="77777777" w:rsidTr="00C96685">
        <w:trPr>
          <w:trHeight w:val="340"/>
        </w:trPr>
        <w:tc>
          <w:tcPr>
            <w:tcW w:w="8359" w:type="dxa"/>
            <w:shd w:val="clear" w:color="auto" w:fill="auto"/>
            <w:vAlign w:val="center"/>
            <w:hideMark/>
          </w:tcPr>
          <w:p w14:paraId="7A09BE2F" w14:textId="60980830" w:rsidR="000856B1" w:rsidRPr="00E44DCC" w:rsidRDefault="00405717" w:rsidP="00342A40">
            <w:pPr>
              <w:jc w:val="both"/>
              <w:rPr>
                <w:b/>
                <w:color w:val="000000"/>
              </w:rPr>
            </w:pPr>
            <w:proofErr w:type="gramStart"/>
            <w:r>
              <w:rPr>
                <w:b/>
                <w:color w:val="000000"/>
              </w:rPr>
              <w:lastRenderedPageBreak/>
              <w:t>8</w:t>
            </w:r>
            <w:r w:rsidR="000856B1" w:rsidRPr="00E44DCC">
              <w:rPr>
                <w:b/>
                <w:color w:val="000000"/>
              </w:rPr>
              <w:t xml:space="preserve"> </w:t>
            </w:r>
            <w:r>
              <w:rPr>
                <w:b/>
                <w:color w:val="000000"/>
              </w:rPr>
              <w:t xml:space="preserve"> </w:t>
            </w:r>
            <w:r w:rsidR="000856B1" w:rsidRPr="00E44DCC">
              <w:rPr>
                <w:b/>
                <w:color w:val="000000"/>
              </w:rPr>
              <w:t>RESULTADOS</w:t>
            </w:r>
            <w:proofErr w:type="gramEnd"/>
            <w:r w:rsidR="000856B1" w:rsidRPr="00E44DCC">
              <w:rPr>
                <w:b/>
                <w:color w:val="000000"/>
              </w:rPr>
              <w:t xml:space="preserve"> </w:t>
            </w:r>
          </w:p>
        </w:tc>
        <w:tc>
          <w:tcPr>
            <w:tcW w:w="702" w:type="dxa"/>
            <w:shd w:val="clear" w:color="auto" w:fill="auto"/>
            <w:noWrap/>
            <w:vAlign w:val="bottom"/>
          </w:tcPr>
          <w:p w14:paraId="62D203A3" w14:textId="4F3B2FBA" w:rsidR="000856B1" w:rsidRDefault="00342A40" w:rsidP="00342A40">
            <w:pPr>
              <w:jc w:val="right"/>
              <w:rPr>
                <w:rFonts w:ascii="Calibri" w:hAnsi="Calibri" w:cs="Calibri"/>
                <w:color w:val="000000"/>
              </w:rPr>
            </w:pPr>
            <w:r>
              <w:rPr>
                <w:rFonts w:ascii="Calibri" w:hAnsi="Calibri" w:cs="Calibri"/>
                <w:color w:val="000000"/>
              </w:rPr>
              <w:t>44</w:t>
            </w:r>
          </w:p>
        </w:tc>
      </w:tr>
      <w:tr w:rsidR="00342A40" w14:paraId="5703637B" w14:textId="77777777" w:rsidTr="00C96685">
        <w:trPr>
          <w:trHeight w:val="340"/>
        </w:trPr>
        <w:tc>
          <w:tcPr>
            <w:tcW w:w="8359" w:type="dxa"/>
            <w:shd w:val="clear" w:color="auto" w:fill="auto"/>
            <w:vAlign w:val="center"/>
          </w:tcPr>
          <w:p w14:paraId="591A53D0" w14:textId="17DC4B4D" w:rsidR="00342A40" w:rsidRPr="00342A40" w:rsidRDefault="00342A40" w:rsidP="00342A40">
            <w:pPr>
              <w:jc w:val="both"/>
              <w:rPr>
                <w:color w:val="000000"/>
              </w:rPr>
            </w:pPr>
            <w:r>
              <w:rPr>
                <w:color w:val="000000"/>
              </w:rPr>
              <w:t>8.1 DADOS CLÍNISOS E DEMOGRÁFICOS DA AMOSTRA</w:t>
            </w:r>
          </w:p>
        </w:tc>
        <w:tc>
          <w:tcPr>
            <w:tcW w:w="702" w:type="dxa"/>
            <w:shd w:val="clear" w:color="auto" w:fill="auto"/>
            <w:noWrap/>
            <w:vAlign w:val="bottom"/>
          </w:tcPr>
          <w:p w14:paraId="620E3B3C" w14:textId="79418C7B" w:rsidR="00342A40" w:rsidRDefault="00342A40" w:rsidP="00342A40">
            <w:pPr>
              <w:jc w:val="right"/>
              <w:rPr>
                <w:rFonts w:ascii="Calibri" w:hAnsi="Calibri" w:cs="Calibri"/>
                <w:color w:val="000000"/>
              </w:rPr>
            </w:pPr>
            <w:r>
              <w:rPr>
                <w:rFonts w:ascii="Calibri" w:hAnsi="Calibri" w:cs="Calibri"/>
                <w:color w:val="000000"/>
              </w:rPr>
              <w:t>44</w:t>
            </w:r>
          </w:p>
        </w:tc>
      </w:tr>
      <w:tr w:rsidR="00342A40" w14:paraId="1AD8ACE4" w14:textId="77777777" w:rsidTr="00C96685">
        <w:trPr>
          <w:trHeight w:val="340"/>
        </w:trPr>
        <w:tc>
          <w:tcPr>
            <w:tcW w:w="8359" w:type="dxa"/>
            <w:shd w:val="clear" w:color="auto" w:fill="auto"/>
            <w:vAlign w:val="center"/>
          </w:tcPr>
          <w:p w14:paraId="6A8A92D9" w14:textId="7FDE297B" w:rsidR="00342A40" w:rsidRPr="00342A40" w:rsidRDefault="00342A40" w:rsidP="00342A40">
            <w:pPr>
              <w:jc w:val="both"/>
              <w:rPr>
                <w:color w:val="000000"/>
              </w:rPr>
            </w:pPr>
            <w:r>
              <w:rPr>
                <w:color w:val="000000"/>
              </w:rPr>
              <w:t>8.2 FREQUÊNCIA ALÉLICA</w:t>
            </w:r>
          </w:p>
        </w:tc>
        <w:tc>
          <w:tcPr>
            <w:tcW w:w="702" w:type="dxa"/>
            <w:shd w:val="clear" w:color="auto" w:fill="auto"/>
            <w:noWrap/>
            <w:vAlign w:val="bottom"/>
          </w:tcPr>
          <w:p w14:paraId="613073D5" w14:textId="08EA4E92" w:rsidR="00342A40" w:rsidRDefault="00342A40" w:rsidP="00342A40">
            <w:pPr>
              <w:jc w:val="right"/>
              <w:rPr>
                <w:rFonts w:ascii="Calibri" w:hAnsi="Calibri" w:cs="Calibri"/>
                <w:color w:val="000000"/>
              </w:rPr>
            </w:pPr>
            <w:r>
              <w:rPr>
                <w:rFonts w:ascii="Calibri" w:hAnsi="Calibri" w:cs="Calibri"/>
                <w:color w:val="000000"/>
              </w:rPr>
              <w:t>45</w:t>
            </w:r>
          </w:p>
        </w:tc>
      </w:tr>
      <w:tr w:rsidR="00342A40" w14:paraId="1308D80F" w14:textId="77777777" w:rsidTr="00C96685">
        <w:trPr>
          <w:trHeight w:val="340"/>
        </w:trPr>
        <w:tc>
          <w:tcPr>
            <w:tcW w:w="8359" w:type="dxa"/>
            <w:shd w:val="clear" w:color="auto" w:fill="auto"/>
            <w:vAlign w:val="center"/>
          </w:tcPr>
          <w:p w14:paraId="5A145119" w14:textId="450B5E72" w:rsidR="00342A40" w:rsidRPr="00342A40" w:rsidRDefault="00342A40" w:rsidP="00342A40">
            <w:pPr>
              <w:pStyle w:val="chapter-para"/>
              <w:numPr>
                <w:ilvl w:val="1"/>
                <w:numId w:val="43"/>
              </w:numPr>
              <w:shd w:val="clear" w:color="auto" w:fill="FFFFFF"/>
              <w:spacing w:before="0" w:beforeAutospacing="0" w:after="0" w:afterAutospacing="0"/>
              <w:ind w:left="357" w:hanging="357"/>
              <w:jc w:val="both"/>
              <w:textAlignment w:val="baseline"/>
              <w:rPr>
                <w:color w:val="000000"/>
              </w:rPr>
            </w:pPr>
            <w:r w:rsidRPr="00342A40">
              <w:rPr>
                <w:color w:val="000000"/>
              </w:rPr>
              <w:t xml:space="preserve">8.3 </w:t>
            </w:r>
            <w:r>
              <w:rPr>
                <w:color w:val="000000" w:themeColor="text1"/>
              </w:rPr>
              <w:t>ANÁLISE DA FREQUÊNCIA GENOTÍPICA E DA ASSOCIAÇÃO ENTRE OS POLIMORFISMOS GENÉTICOS E FUNÇÃO TIREOIDIANA</w:t>
            </w:r>
          </w:p>
        </w:tc>
        <w:tc>
          <w:tcPr>
            <w:tcW w:w="702" w:type="dxa"/>
            <w:shd w:val="clear" w:color="auto" w:fill="auto"/>
            <w:noWrap/>
            <w:vAlign w:val="bottom"/>
          </w:tcPr>
          <w:p w14:paraId="58781D4C" w14:textId="46D3C3CD" w:rsidR="00342A40" w:rsidRDefault="00342A40" w:rsidP="00342A40">
            <w:pPr>
              <w:jc w:val="right"/>
              <w:rPr>
                <w:rFonts w:ascii="Calibri" w:hAnsi="Calibri" w:cs="Calibri"/>
                <w:color w:val="000000"/>
              </w:rPr>
            </w:pPr>
            <w:r>
              <w:rPr>
                <w:rFonts w:ascii="Calibri" w:hAnsi="Calibri" w:cs="Calibri"/>
                <w:color w:val="000000"/>
              </w:rPr>
              <w:t>46</w:t>
            </w:r>
          </w:p>
        </w:tc>
      </w:tr>
      <w:tr w:rsidR="000856B1" w14:paraId="141B2DB6" w14:textId="77777777" w:rsidTr="00C96685">
        <w:trPr>
          <w:trHeight w:val="340"/>
        </w:trPr>
        <w:tc>
          <w:tcPr>
            <w:tcW w:w="8359" w:type="dxa"/>
            <w:shd w:val="clear" w:color="auto" w:fill="auto"/>
            <w:vAlign w:val="center"/>
            <w:hideMark/>
          </w:tcPr>
          <w:p w14:paraId="64722063" w14:textId="0F80F086" w:rsidR="000856B1" w:rsidRPr="00E44DCC" w:rsidRDefault="00405717" w:rsidP="00342A40">
            <w:pPr>
              <w:jc w:val="both"/>
              <w:rPr>
                <w:b/>
                <w:color w:val="000000"/>
              </w:rPr>
            </w:pPr>
            <w:proofErr w:type="gramStart"/>
            <w:r>
              <w:rPr>
                <w:b/>
                <w:color w:val="000000"/>
              </w:rPr>
              <w:t xml:space="preserve">9 </w:t>
            </w:r>
            <w:r w:rsidR="000856B1" w:rsidRPr="00E44DCC">
              <w:rPr>
                <w:b/>
                <w:color w:val="000000"/>
              </w:rPr>
              <w:t xml:space="preserve"> DISCUSSÃO</w:t>
            </w:r>
            <w:proofErr w:type="gramEnd"/>
          </w:p>
        </w:tc>
        <w:tc>
          <w:tcPr>
            <w:tcW w:w="702" w:type="dxa"/>
            <w:shd w:val="clear" w:color="auto" w:fill="auto"/>
            <w:noWrap/>
            <w:vAlign w:val="bottom"/>
          </w:tcPr>
          <w:p w14:paraId="09516EFA" w14:textId="3F0ACE06" w:rsidR="000856B1" w:rsidRDefault="00C96685" w:rsidP="00342A40">
            <w:pPr>
              <w:jc w:val="right"/>
              <w:rPr>
                <w:rFonts w:ascii="Calibri" w:hAnsi="Calibri" w:cs="Calibri"/>
                <w:color w:val="000000"/>
              </w:rPr>
            </w:pPr>
            <w:r>
              <w:rPr>
                <w:rFonts w:ascii="Calibri" w:hAnsi="Calibri" w:cs="Calibri"/>
                <w:color w:val="000000"/>
              </w:rPr>
              <w:t>55</w:t>
            </w:r>
          </w:p>
        </w:tc>
      </w:tr>
      <w:tr w:rsidR="000856B1" w14:paraId="68F05161" w14:textId="77777777" w:rsidTr="00C96685">
        <w:trPr>
          <w:trHeight w:val="340"/>
        </w:trPr>
        <w:tc>
          <w:tcPr>
            <w:tcW w:w="8359" w:type="dxa"/>
            <w:shd w:val="clear" w:color="auto" w:fill="auto"/>
            <w:vAlign w:val="center"/>
            <w:hideMark/>
          </w:tcPr>
          <w:p w14:paraId="71B55E21" w14:textId="6186E80C" w:rsidR="000856B1" w:rsidRPr="00E44DCC" w:rsidRDefault="00405717" w:rsidP="00342A40">
            <w:pPr>
              <w:jc w:val="both"/>
              <w:rPr>
                <w:b/>
                <w:color w:val="000000"/>
              </w:rPr>
            </w:pPr>
            <w:proofErr w:type="gramStart"/>
            <w:r>
              <w:rPr>
                <w:b/>
                <w:color w:val="000000"/>
              </w:rPr>
              <w:t>10</w:t>
            </w:r>
            <w:r w:rsidR="000856B1" w:rsidRPr="00E44DCC">
              <w:rPr>
                <w:b/>
                <w:color w:val="000000"/>
              </w:rPr>
              <w:t xml:space="preserve"> </w:t>
            </w:r>
            <w:r>
              <w:rPr>
                <w:b/>
                <w:color w:val="000000"/>
              </w:rPr>
              <w:t xml:space="preserve"> </w:t>
            </w:r>
            <w:r w:rsidR="000856B1" w:rsidRPr="00E44DCC">
              <w:rPr>
                <w:b/>
                <w:color w:val="000000"/>
              </w:rPr>
              <w:t>CONCLUSÃO</w:t>
            </w:r>
            <w:proofErr w:type="gramEnd"/>
          </w:p>
        </w:tc>
        <w:tc>
          <w:tcPr>
            <w:tcW w:w="702" w:type="dxa"/>
            <w:shd w:val="clear" w:color="auto" w:fill="auto"/>
            <w:noWrap/>
            <w:vAlign w:val="bottom"/>
          </w:tcPr>
          <w:p w14:paraId="55E90EF9" w14:textId="1C8E83F7" w:rsidR="000856B1" w:rsidRDefault="00C96685" w:rsidP="00342A40">
            <w:pPr>
              <w:jc w:val="right"/>
              <w:rPr>
                <w:rFonts w:ascii="Calibri" w:hAnsi="Calibri" w:cs="Calibri"/>
                <w:color w:val="000000"/>
              </w:rPr>
            </w:pPr>
            <w:r>
              <w:rPr>
                <w:rFonts w:ascii="Calibri" w:hAnsi="Calibri" w:cs="Calibri"/>
                <w:color w:val="000000"/>
              </w:rPr>
              <w:t>60</w:t>
            </w:r>
          </w:p>
        </w:tc>
      </w:tr>
      <w:tr w:rsidR="000856B1" w14:paraId="13B54B51" w14:textId="77777777" w:rsidTr="00C96685">
        <w:trPr>
          <w:trHeight w:val="340"/>
        </w:trPr>
        <w:tc>
          <w:tcPr>
            <w:tcW w:w="8359" w:type="dxa"/>
            <w:shd w:val="clear" w:color="auto" w:fill="auto"/>
            <w:vAlign w:val="center"/>
            <w:hideMark/>
          </w:tcPr>
          <w:p w14:paraId="666ED7CB" w14:textId="37981C6A" w:rsidR="000856B1" w:rsidRPr="00E44DCC" w:rsidRDefault="00405717" w:rsidP="00342A40">
            <w:pPr>
              <w:jc w:val="both"/>
              <w:rPr>
                <w:b/>
                <w:color w:val="000000"/>
              </w:rPr>
            </w:pPr>
            <w:proofErr w:type="gramStart"/>
            <w:r>
              <w:rPr>
                <w:b/>
                <w:color w:val="000000"/>
              </w:rPr>
              <w:t>11</w:t>
            </w:r>
            <w:r w:rsidR="000856B1" w:rsidRPr="00E44DCC">
              <w:rPr>
                <w:b/>
                <w:color w:val="000000"/>
              </w:rPr>
              <w:t xml:space="preserve"> </w:t>
            </w:r>
            <w:r>
              <w:rPr>
                <w:b/>
                <w:color w:val="000000"/>
              </w:rPr>
              <w:t xml:space="preserve"> </w:t>
            </w:r>
            <w:r w:rsidR="000856B1" w:rsidRPr="00E44DCC">
              <w:rPr>
                <w:b/>
                <w:color w:val="000000"/>
              </w:rPr>
              <w:t>PERSPECTIVAS</w:t>
            </w:r>
            <w:proofErr w:type="gramEnd"/>
            <w:r w:rsidR="000856B1" w:rsidRPr="00E44DCC">
              <w:rPr>
                <w:b/>
                <w:color w:val="000000"/>
              </w:rPr>
              <w:t xml:space="preserve"> </w:t>
            </w:r>
          </w:p>
        </w:tc>
        <w:tc>
          <w:tcPr>
            <w:tcW w:w="702" w:type="dxa"/>
            <w:shd w:val="clear" w:color="auto" w:fill="auto"/>
            <w:noWrap/>
            <w:vAlign w:val="bottom"/>
          </w:tcPr>
          <w:p w14:paraId="4559739E" w14:textId="22694EA8" w:rsidR="000856B1" w:rsidRDefault="00C96685" w:rsidP="00342A40">
            <w:pPr>
              <w:jc w:val="right"/>
              <w:rPr>
                <w:rFonts w:ascii="Calibri" w:hAnsi="Calibri" w:cs="Calibri"/>
                <w:color w:val="000000"/>
              </w:rPr>
            </w:pPr>
            <w:r>
              <w:rPr>
                <w:rFonts w:ascii="Calibri" w:hAnsi="Calibri" w:cs="Calibri"/>
                <w:color w:val="000000"/>
              </w:rPr>
              <w:t>61</w:t>
            </w:r>
          </w:p>
        </w:tc>
      </w:tr>
      <w:tr w:rsidR="000856B1" w14:paraId="357E32E2" w14:textId="77777777" w:rsidTr="00C96685">
        <w:trPr>
          <w:trHeight w:val="340"/>
        </w:trPr>
        <w:tc>
          <w:tcPr>
            <w:tcW w:w="8359" w:type="dxa"/>
            <w:shd w:val="clear" w:color="auto" w:fill="auto"/>
            <w:vAlign w:val="center"/>
            <w:hideMark/>
          </w:tcPr>
          <w:p w14:paraId="2D1730E1" w14:textId="60A927EA" w:rsidR="000856B1" w:rsidRPr="00E44DCC" w:rsidRDefault="00405717" w:rsidP="00C96685">
            <w:pPr>
              <w:jc w:val="both"/>
              <w:rPr>
                <w:b/>
                <w:color w:val="000000"/>
              </w:rPr>
            </w:pPr>
            <w:proofErr w:type="gramStart"/>
            <w:r>
              <w:rPr>
                <w:b/>
                <w:color w:val="000000"/>
              </w:rPr>
              <w:t xml:space="preserve">12 </w:t>
            </w:r>
            <w:r w:rsidR="00CF0A76" w:rsidRPr="00E44DCC">
              <w:rPr>
                <w:b/>
                <w:color w:val="000000"/>
              </w:rPr>
              <w:t xml:space="preserve"> TRABALHOS</w:t>
            </w:r>
            <w:proofErr w:type="gramEnd"/>
            <w:r w:rsidR="00CF0A76" w:rsidRPr="00E44DCC">
              <w:rPr>
                <w:b/>
                <w:color w:val="000000"/>
              </w:rPr>
              <w:t xml:space="preserve"> GERADOS </w:t>
            </w:r>
            <w:r w:rsidR="00C96685">
              <w:rPr>
                <w:b/>
                <w:color w:val="000000"/>
              </w:rPr>
              <w:t xml:space="preserve">DURANTE A </w:t>
            </w:r>
            <w:r w:rsidR="00CF0A76" w:rsidRPr="00E44DCC">
              <w:rPr>
                <w:b/>
                <w:color w:val="000000"/>
              </w:rPr>
              <w:t>P</w:t>
            </w:r>
            <w:r w:rsidR="00C96685">
              <w:rPr>
                <w:b/>
                <w:color w:val="000000"/>
              </w:rPr>
              <w:t>Ó</w:t>
            </w:r>
            <w:r w:rsidR="00CF0A76" w:rsidRPr="00E44DCC">
              <w:rPr>
                <w:b/>
                <w:color w:val="000000"/>
              </w:rPr>
              <w:t>S-</w:t>
            </w:r>
            <w:r w:rsidR="000856B1" w:rsidRPr="00E44DCC">
              <w:rPr>
                <w:b/>
                <w:color w:val="000000"/>
              </w:rPr>
              <w:t>GRADUAÇÃO</w:t>
            </w:r>
          </w:p>
        </w:tc>
        <w:tc>
          <w:tcPr>
            <w:tcW w:w="702" w:type="dxa"/>
            <w:shd w:val="clear" w:color="auto" w:fill="auto"/>
            <w:noWrap/>
            <w:vAlign w:val="bottom"/>
          </w:tcPr>
          <w:p w14:paraId="6DBAE208" w14:textId="3CFB5826" w:rsidR="000856B1" w:rsidRDefault="00C96685" w:rsidP="00342A40">
            <w:pPr>
              <w:jc w:val="right"/>
              <w:rPr>
                <w:rFonts w:ascii="Calibri" w:hAnsi="Calibri" w:cs="Calibri"/>
                <w:color w:val="000000"/>
              </w:rPr>
            </w:pPr>
            <w:r>
              <w:rPr>
                <w:rFonts w:ascii="Calibri" w:hAnsi="Calibri" w:cs="Calibri"/>
                <w:color w:val="000000"/>
              </w:rPr>
              <w:t>62</w:t>
            </w:r>
          </w:p>
        </w:tc>
      </w:tr>
      <w:tr w:rsidR="000856B1" w14:paraId="57E76011" w14:textId="77777777" w:rsidTr="00C96685">
        <w:trPr>
          <w:trHeight w:val="340"/>
        </w:trPr>
        <w:tc>
          <w:tcPr>
            <w:tcW w:w="8359" w:type="dxa"/>
            <w:shd w:val="clear" w:color="auto" w:fill="auto"/>
            <w:vAlign w:val="center"/>
            <w:hideMark/>
          </w:tcPr>
          <w:p w14:paraId="4572EA2F" w14:textId="216F806D" w:rsidR="000856B1" w:rsidRPr="00686295" w:rsidRDefault="00CF0A76" w:rsidP="00342A40">
            <w:pPr>
              <w:jc w:val="both"/>
              <w:rPr>
                <w:color w:val="000000"/>
              </w:rPr>
            </w:pPr>
            <w:r>
              <w:rPr>
                <w:color w:val="000000"/>
              </w:rPr>
              <w:t xml:space="preserve">      </w:t>
            </w:r>
            <w:r w:rsidR="000856B1" w:rsidRPr="00E44DCC">
              <w:rPr>
                <w:b/>
                <w:color w:val="000000"/>
              </w:rPr>
              <w:t>REFER</w:t>
            </w:r>
            <w:r w:rsidRPr="00E44DCC">
              <w:rPr>
                <w:b/>
                <w:color w:val="000000"/>
              </w:rPr>
              <w:t>Ê</w:t>
            </w:r>
            <w:r w:rsidR="000856B1" w:rsidRPr="00E44DCC">
              <w:rPr>
                <w:b/>
                <w:color w:val="000000"/>
              </w:rPr>
              <w:t>NCIAS</w:t>
            </w:r>
            <w:r w:rsidR="00870636">
              <w:rPr>
                <w:color w:val="000000"/>
              </w:rPr>
              <w:t xml:space="preserve"> </w:t>
            </w:r>
          </w:p>
        </w:tc>
        <w:tc>
          <w:tcPr>
            <w:tcW w:w="702" w:type="dxa"/>
            <w:shd w:val="clear" w:color="auto" w:fill="auto"/>
            <w:noWrap/>
            <w:vAlign w:val="bottom"/>
          </w:tcPr>
          <w:p w14:paraId="648EDDFF" w14:textId="546D1998" w:rsidR="000856B1" w:rsidRDefault="00C96685" w:rsidP="00342A40">
            <w:pPr>
              <w:jc w:val="right"/>
              <w:rPr>
                <w:rFonts w:ascii="Calibri" w:hAnsi="Calibri" w:cs="Calibri"/>
                <w:color w:val="000000"/>
              </w:rPr>
            </w:pPr>
            <w:r>
              <w:rPr>
                <w:rFonts w:ascii="Calibri" w:hAnsi="Calibri" w:cs="Calibri"/>
                <w:color w:val="000000"/>
              </w:rPr>
              <w:t>63</w:t>
            </w:r>
          </w:p>
        </w:tc>
      </w:tr>
      <w:tr w:rsidR="00C96685" w14:paraId="2722061D" w14:textId="77777777" w:rsidTr="00C96685">
        <w:trPr>
          <w:trHeight w:val="340"/>
        </w:trPr>
        <w:tc>
          <w:tcPr>
            <w:tcW w:w="8359" w:type="dxa"/>
            <w:shd w:val="clear" w:color="auto" w:fill="auto"/>
            <w:vAlign w:val="center"/>
          </w:tcPr>
          <w:p w14:paraId="0822DB0E" w14:textId="725567E4" w:rsidR="00C96685" w:rsidRDefault="00C96685" w:rsidP="00342A40">
            <w:pPr>
              <w:jc w:val="both"/>
              <w:rPr>
                <w:color w:val="000000"/>
              </w:rPr>
            </w:pPr>
            <w:r>
              <w:rPr>
                <w:color w:val="000000"/>
              </w:rPr>
              <w:t xml:space="preserve">      </w:t>
            </w:r>
            <w:r w:rsidRPr="00C96685">
              <w:rPr>
                <w:b/>
                <w:color w:val="000000"/>
              </w:rPr>
              <w:t>APÊNDICE –</w:t>
            </w:r>
            <w:r>
              <w:rPr>
                <w:color w:val="000000"/>
              </w:rPr>
              <w:t xml:space="preserve"> Mini Avaliação Nutricional</w:t>
            </w:r>
          </w:p>
        </w:tc>
        <w:tc>
          <w:tcPr>
            <w:tcW w:w="702" w:type="dxa"/>
            <w:shd w:val="clear" w:color="auto" w:fill="auto"/>
            <w:noWrap/>
            <w:vAlign w:val="bottom"/>
          </w:tcPr>
          <w:p w14:paraId="3C3A642E" w14:textId="517F95F4" w:rsidR="00C96685" w:rsidRDefault="00C96685" w:rsidP="00342A40">
            <w:pPr>
              <w:jc w:val="right"/>
              <w:rPr>
                <w:rFonts w:ascii="Calibri" w:hAnsi="Calibri" w:cs="Calibri"/>
                <w:color w:val="000000"/>
              </w:rPr>
            </w:pPr>
            <w:r>
              <w:rPr>
                <w:rFonts w:ascii="Calibri" w:hAnsi="Calibri" w:cs="Calibri"/>
                <w:color w:val="000000"/>
              </w:rPr>
              <w:t>72</w:t>
            </w:r>
          </w:p>
        </w:tc>
      </w:tr>
      <w:tr w:rsidR="000856B1" w14:paraId="6562DCD3" w14:textId="77777777" w:rsidTr="00C96685">
        <w:trPr>
          <w:trHeight w:val="340"/>
        </w:trPr>
        <w:tc>
          <w:tcPr>
            <w:tcW w:w="8359" w:type="dxa"/>
            <w:shd w:val="clear" w:color="auto" w:fill="auto"/>
            <w:vAlign w:val="center"/>
            <w:hideMark/>
          </w:tcPr>
          <w:p w14:paraId="625D639C" w14:textId="016AEDE4" w:rsidR="000856B1" w:rsidRPr="00E44DCC" w:rsidRDefault="00CF0A76" w:rsidP="00342A40">
            <w:pPr>
              <w:jc w:val="both"/>
              <w:rPr>
                <w:b/>
                <w:color w:val="000000"/>
              </w:rPr>
            </w:pPr>
            <w:r>
              <w:rPr>
                <w:color w:val="000000"/>
              </w:rPr>
              <w:t xml:space="preserve">     </w:t>
            </w:r>
            <w:r w:rsidR="000856B1" w:rsidRPr="00E44DCC">
              <w:rPr>
                <w:b/>
                <w:color w:val="000000"/>
              </w:rPr>
              <w:t xml:space="preserve">ANEXOS </w:t>
            </w:r>
          </w:p>
        </w:tc>
        <w:tc>
          <w:tcPr>
            <w:tcW w:w="702" w:type="dxa"/>
            <w:shd w:val="clear" w:color="auto" w:fill="auto"/>
            <w:noWrap/>
            <w:vAlign w:val="bottom"/>
          </w:tcPr>
          <w:p w14:paraId="33C3460B" w14:textId="74695380" w:rsidR="000856B1" w:rsidRDefault="00C96685" w:rsidP="00342A40">
            <w:pPr>
              <w:jc w:val="right"/>
              <w:rPr>
                <w:rFonts w:ascii="Calibri" w:hAnsi="Calibri" w:cs="Calibri"/>
                <w:color w:val="000000"/>
              </w:rPr>
            </w:pPr>
            <w:r>
              <w:rPr>
                <w:rFonts w:ascii="Calibri" w:hAnsi="Calibri" w:cs="Calibri"/>
                <w:color w:val="000000"/>
              </w:rPr>
              <w:t>75</w:t>
            </w:r>
          </w:p>
        </w:tc>
      </w:tr>
      <w:tr w:rsidR="00C96685" w14:paraId="54A702DA" w14:textId="77777777" w:rsidTr="00C96685">
        <w:trPr>
          <w:trHeight w:val="340"/>
        </w:trPr>
        <w:tc>
          <w:tcPr>
            <w:tcW w:w="8359" w:type="dxa"/>
            <w:shd w:val="clear" w:color="auto" w:fill="auto"/>
            <w:vAlign w:val="center"/>
          </w:tcPr>
          <w:p w14:paraId="38C99B13" w14:textId="47284B12" w:rsidR="00C96685" w:rsidRPr="00C96685" w:rsidRDefault="00C96685" w:rsidP="00342A40">
            <w:pPr>
              <w:jc w:val="both"/>
              <w:rPr>
                <w:color w:val="000000"/>
              </w:rPr>
            </w:pPr>
            <w:r>
              <w:rPr>
                <w:b/>
                <w:color w:val="000000"/>
              </w:rPr>
              <w:t xml:space="preserve">     </w:t>
            </w:r>
            <w:r w:rsidRPr="00E44DCC">
              <w:rPr>
                <w:b/>
                <w:color w:val="000000"/>
              </w:rPr>
              <w:t>ANEXO</w:t>
            </w:r>
            <w:r>
              <w:rPr>
                <w:b/>
                <w:color w:val="000000"/>
              </w:rPr>
              <w:t xml:space="preserve"> A </w:t>
            </w:r>
            <w:r>
              <w:rPr>
                <w:color w:val="000000"/>
              </w:rPr>
              <w:t>- Termo de Consentimento Livre e Esclarecido (TCLE)</w:t>
            </w:r>
          </w:p>
        </w:tc>
        <w:tc>
          <w:tcPr>
            <w:tcW w:w="702" w:type="dxa"/>
            <w:shd w:val="clear" w:color="auto" w:fill="auto"/>
            <w:noWrap/>
            <w:vAlign w:val="bottom"/>
          </w:tcPr>
          <w:p w14:paraId="294EF202" w14:textId="2BDFE386" w:rsidR="00C96685" w:rsidRDefault="00C96685" w:rsidP="00342A40">
            <w:pPr>
              <w:jc w:val="right"/>
              <w:rPr>
                <w:rFonts w:ascii="Calibri" w:hAnsi="Calibri" w:cs="Calibri"/>
                <w:color w:val="000000"/>
              </w:rPr>
            </w:pPr>
            <w:r>
              <w:rPr>
                <w:rFonts w:ascii="Calibri" w:hAnsi="Calibri" w:cs="Calibri"/>
                <w:color w:val="000000"/>
              </w:rPr>
              <w:t>76</w:t>
            </w:r>
          </w:p>
        </w:tc>
      </w:tr>
      <w:tr w:rsidR="00C96685" w14:paraId="3EA4FEDE" w14:textId="77777777" w:rsidTr="00C96685">
        <w:trPr>
          <w:trHeight w:val="340"/>
        </w:trPr>
        <w:tc>
          <w:tcPr>
            <w:tcW w:w="8359" w:type="dxa"/>
            <w:shd w:val="clear" w:color="auto" w:fill="auto"/>
            <w:vAlign w:val="center"/>
          </w:tcPr>
          <w:p w14:paraId="1A578154" w14:textId="323FA29E" w:rsidR="00C96685" w:rsidRDefault="00C96685" w:rsidP="00342A40">
            <w:pPr>
              <w:jc w:val="both"/>
              <w:rPr>
                <w:color w:val="000000"/>
              </w:rPr>
            </w:pPr>
            <w:r>
              <w:rPr>
                <w:b/>
                <w:color w:val="000000"/>
              </w:rPr>
              <w:t xml:space="preserve">     </w:t>
            </w:r>
            <w:r w:rsidRPr="00E44DCC">
              <w:rPr>
                <w:b/>
                <w:color w:val="000000"/>
              </w:rPr>
              <w:t>ANEXO</w:t>
            </w:r>
            <w:r>
              <w:rPr>
                <w:b/>
                <w:color w:val="000000"/>
              </w:rPr>
              <w:t xml:space="preserve"> B – </w:t>
            </w:r>
            <w:r w:rsidRPr="00C96685">
              <w:rPr>
                <w:color w:val="000000"/>
              </w:rPr>
              <w:t xml:space="preserve">Índice de Lawton e </w:t>
            </w:r>
            <w:proofErr w:type="spellStart"/>
            <w:r w:rsidRPr="00C96685">
              <w:rPr>
                <w:color w:val="000000"/>
              </w:rPr>
              <w:t>Bridy</w:t>
            </w:r>
            <w:proofErr w:type="spellEnd"/>
          </w:p>
        </w:tc>
        <w:tc>
          <w:tcPr>
            <w:tcW w:w="702" w:type="dxa"/>
            <w:shd w:val="clear" w:color="auto" w:fill="auto"/>
            <w:noWrap/>
            <w:vAlign w:val="bottom"/>
          </w:tcPr>
          <w:p w14:paraId="2A09378E" w14:textId="4E4E4A16" w:rsidR="00C96685" w:rsidRDefault="00C96685" w:rsidP="00342A40">
            <w:pPr>
              <w:jc w:val="right"/>
              <w:rPr>
                <w:rFonts w:ascii="Calibri" w:hAnsi="Calibri" w:cs="Calibri"/>
                <w:color w:val="000000"/>
              </w:rPr>
            </w:pPr>
            <w:r>
              <w:rPr>
                <w:rFonts w:ascii="Calibri" w:hAnsi="Calibri" w:cs="Calibri"/>
                <w:color w:val="000000"/>
              </w:rPr>
              <w:t>81</w:t>
            </w:r>
          </w:p>
        </w:tc>
      </w:tr>
    </w:tbl>
    <w:p w14:paraId="0B023E9E" w14:textId="584DDD1D" w:rsidR="000856B1" w:rsidRPr="00C96685" w:rsidRDefault="00451B99" w:rsidP="002A4F84">
      <w:pPr>
        <w:widowControl w:val="0"/>
        <w:suppressAutoHyphens/>
        <w:spacing w:line="360" w:lineRule="auto"/>
        <w:jc w:val="both"/>
        <w:rPr>
          <w:rFonts w:eastAsia="SimSun"/>
          <w:bCs/>
          <w:color w:val="000000" w:themeColor="text1"/>
          <w:kern w:val="1"/>
          <w:lang w:eastAsia="hi-IN" w:bidi="hi-IN"/>
        </w:rPr>
      </w:pPr>
      <w:r w:rsidRPr="00C96685">
        <w:rPr>
          <w:rFonts w:eastAsia="SimSun"/>
          <w:b/>
          <w:color w:val="000000" w:themeColor="text1"/>
          <w:kern w:val="1"/>
          <w:lang w:eastAsia="hi-IN" w:bidi="hi-IN"/>
        </w:rPr>
        <w:t xml:space="preserve"> </w:t>
      </w:r>
    </w:p>
    <w:p w14:paraId="6CBFEE68" w14:textId="1A29EEC4" w:rsidR="000856B1" w:rsidRPr="00C96685" w:rsidRDefault="000856B1" w:rsidP="00284B7F">
      <w:pPr>
        <w:widowControl w:val="0"/>
        <w:suppressAutoHyphens/>
        <w:spacing w:line="360" w:lineRule="auto"/>
        <w:jc w:val="both"/>
        <w:rPr>
          <w:rFonts w:eastAsia="SimSun"/>
          <w:b/>
          <w:color w:val="000000" w:themeColor="text1"/>
          <w:kern w:val="1"/>
          <w:lang w:eastAsia="hi-IN" w:bidi="hi-IN"/>
        </w:rPr>
      </w:pPr>
    </w:p>
    <w:p w14:paraId="55B986BB" w14:textId="28A2D2E0" w:rsidR="000856B1" w:rsidRPr="00C96685" w:rsidRDefault="000856B1" w:rsidP="00284B7F">
      <w:pPr>
        <w:widowControl w:val="0"/>
        <w:suppressAutoHyphens/>
        <w:spacing w:line="360" w:lineRule="auto"/>
        <w:jc w:val="both"/>
        <w:rPr>
          <w:rFonts w:eastAsia="SimSun"/>
          <w:b/>
          <w:color w:val="000000" w:themeColor="text1"/>
          <w:kern w:val="1"/>
          <w:lang w:eastAsia="hi-IN" w:bidi="hi-IN"/>
        </w:rPr>
      </w:pPr>
    </w:p>
    <w:p w14:paraId="09809573" w14:textId="77777777" w:rsidR="000856B1" w:rsidRPr="00C96685" w:rsidRDefault="000856B1" w:rsidP="00284B7F">
      <w:pPr>
        <w:widowControl w:val="0"/>
        <w:suppressAutoHyphens/>
        <w:spacing w:line="360" w:lineRule="auto"/>
        <w:jc w:val="both"/>
        <w:rPr>
          <w:rFonts w:eastAsia="SimSun"/>
          <w:b/>
          <w:color w:val="000000" w:themeColor="text1"/>
          <w:kern w:val="1"/>
          <w:lang w:eastAsia="hi-IN" w:bidi="hi-IN"/>
        </w:rPr>
      </w:pPr>
    </w:p>
    <w:p w14:paraId="4B149255" w14:textId="6F3EB1B9" w:rsidR="000856B1" w:rsidRPr="00C96685" w:rsidRDefault="000856B1" w:rsidP="00284B7F">
      <w:pPr>
        <w:widowControl w:val="0"/>
        <w:suppressAutoHyphens/>
        <w:spacing w:line="360" w:lineRule="auto"/>
        <w:jc w:val="both"/>
        <w:rPr>
          <w:rFonts w:eastAsia="SimSun"/>
          <w:b/>
          <w:color w:val="000000" w:themeColor="text1"/>
          <w:kern w:val="1"/>
          <w:lang w:eastAsia="hi-IN" w:bidi="hi-IN"/>
        </w:rPr>
      </w:pPr>
    </w:p>
    <w:p w14:paraId="53350728" w14:textId="34607A99" w:rsidR="000856B1" w:rsidRPr="00C96685" w:rsidRDefault="000856B1" w:rsidP="00284B7F">
      <w:pPr>
        <w:widowControl w:val="0"/>
        <w:suppressAutoHyphens/>
        <w:spacing w:line="360" w:lineRule="auto"/>
        <w:jc w:val="both"/>
        <w:rPr>
          <w:rFonts w:eastAsia="SimSun"/>
          <w:b/>
          <w:color w:val="000000" w:themeColor="text1"/>
          <w:kern w:val="1"/>
          <w:lang w:eastAsia="hi-IN" w:bidi="hi-IN"/>
        </w:rPr>
      </w:pPr>
    </w:p>
    <w:p w14:paraId="744C1D17" w14:textId="2704EF92" w:rsidR="000856B1" w:rsidRPr="00C96685" w:rsidRDefault="000856B1" w:rsidP="00284B7F">
      <w:pPr>
        <w:widowControl w:val="0"/>
        <w:suppressAutoHyphens/>
        <w:spacing w:line="360" w:lineRule="auto"/>
        <w:jc w:val="both"/>
        <w:rPr>
          <w:rFonts w:eastAsia="SimSun"/>
          <w:b/>
          <w:color w:val="000000" w:themeColor="text1"/>
          <w:kern w:val="1"/>
          <w:lang w:eastAsia="hi-IN" w:bidi="hi-IN"/>
        </w:rPr>
      </w:pPr>
    </w:p>
    <w:p w14:paraId="03678364" w14:textId="35285484" w:rsidR="000856B1" w:rsidRPr="00C96685" w:rsidRDefault="000856B1" w:rsidP="00284B7F">
      <w:pPr>
        <w:widowControl w:val="0"/>
        <w:suppressAutoHyphens/>
        <w:spacing w:line="360" w:lineRule="auto"/>
        <w:jc w:val="both"/>
        <w:rPr>
          <w:rFonts w:eastAsia="SimSun"/>
          <w:b/>
          <w:color w:val="000000" w:themeColor="text1"/>
          <w:kern w:val="1"/>
          <w:lang w:eastAsia="hi-IN" w:bidi="hi-IN"/>
        </w:rPr>
      </w:pPr>
    </w:p>
    <w:p w14:paraId="673F26D7" w14:textId="7CC1EC9B" w:rsidR="000856B1" w:rsidRPr="00C96685" w:rsidRDefault="000856B1" w:rsidP="00284B7F">
      <w:pPr>
        <w:widowControl w:val="0"/>
        <w:suppressAutoHyphens/>
        <w:spacing w:line="360" w:lineRule="auto"/>
        <w:jc w:val="both"/>
        <w:rPr>
          <w:rFonts w:eastAsia="SimSun"/>
          <w:b/>
          <w:color w:val="000000" w:themeColor="text1"/>
          <w:kern w:val="1"/>
          <w:lang w:eastAsia="hi-IN" w:bidi="hi-IN"/>
        </w:rPr>
      </w:pPr>
    </w:p>
    <w:p w14:paraId="60F5D8C5" w14:textId="77777777" w:rsidR="003A1053" w:rsidRPr="00C96685" w:rsidRDefault="003A1053" w:rsidP="00284B7F">
      <w:pPr>
        <w:widowControl w:val="0"/>
        <w:suppressAutoHyphens/>
        <w:spacing w:line="360" w:lineRule="auto"/>
        <w:jc w:val="both"/>
        <w:rPr>
          <w:rFonts w:eastAsia="SimSun"/>
          <w:b/>
          <w:color w:val="000000" w:themeColor="text1"/>
          <w:kern w:val="1"/>
          <w:lang w:eastAsia="hi-IN" w:bidi="hi-IN"/>
        </w:rPr>
        <w:sectPr w:rsidR="003A1053" w:rsidRPr="00C96685" w:rsidSect="0073627E">
          <w:headerReference w:type="even" r:id="rId11"/>
          <w:headerReference w:type="default" r:id="rId12"/>
          <w:footerReference w:type="even" r:id="rId13"/>
          <w:footerReference w:type="default" r:id="rId14"/>
          <w:headerReference w:type="first" r:id="rId15"/>
          <w:pgSz w:w="11906" w:h="16838"/>
          <w:pgMar w:top="1701" w:right="1134" w:bottom="1134" w:left="1701" w:header="709" w:footer="709" w:gutter="0"/>
          <w:cols w:space="708"/>
          <w:titlePg/>
          <w:docGrid w:linePitch="360"/>
        </w:sectPr>
      </w:pPr>
    </w:p>
    <w:tbl>
      <w:tblPr>
        <w:tblStyle w:val="Tabelacomgrade3"/>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567"/>
      </w:tblGrid>
      <w:tr w:rsidR="00284B7F" w:rsidRPr="00AB2C18" w14:paraId="0339629C" w14:textId="77777777" w:rsidTr="00ED5956">
        <w:tc>
          <w:tcPr>
            <w:tcW w:w="8080" w:type="dxa"/>
          </w:tcPr>
          <w:p w14:paraId="48504476" w14:textId="65C75522" w:rsidR="00D74824" w:rsidRPr="00CF0A76" w:rsidRDefault="000D04E7" w:rsidP="00CF0A76">
            <w:pPr>
              <w:pStyle w:val="PargrafodaLista"/>
              <w:numPr>
                <w:ilvl w:val="0"/>
                <w:numId w:val="39"/>
              </w:numPr>
              <w:pBdr>
                <w:top w:val="nil"/>
                <w:left w:val="nil"/>
                <w:bottom w:val="nil"/>
                <w:right w:val="nil"/>
                <w:between w:val="nil"/>
              </w:pBdr>
              <w:spacing w:line="360" w:lineRule="auto"/>
              <w:ind w:left="176" w:right="57" w:hanging="284"/>
              <w:jc w:val="both"/>
              <w:rPr>
                <w:b/>
                <w:color w:val="000000"/>
                <w:sz w:val="24"/>
                <w:szCs w:val="24"/>
              </w:rPr>
            </w:pPr>
            <w:r w:rsidRPr="00CF0A76">
              <w:rPr>
                <w:b/>
                <w:color w:val="000000"/>
              </w:rPr>
              <w:lastRenderedPageBreak/>
              <w:t>INTRODUÇÃO</w:t>
            </w:r>
            <w:r w:rsidR="00E756C2">
              <w:rPr>
                <w:b/>
                <w:color w:val="000000"/>
              </w:rPr>
              <w:t xml:space="preserve">                                                            </w:t>
            </w:r>
            <w:r w:rsidR="00EF787F">
              <w:rPr>
                <w:b/>
                <w:color w:val="000000"/>
              </w:rPr>
              <w:t xml:space="preserve">                 </w:t>
            </w:r>
          </w:p>
          <w:p w14:paraId="29672834" w14:textId="6EB8F307" w:rsidR="00D74824" w:rsidRPr="00D74824" w:rsidRDefault="00D74824" w:rsidP="00CF0A76">
            <w:pPr>
              <w:pBdr>
                <w:top w:val="nil"/>
                <w:left w:val="nil"/>
                <w:bottom w:val="nil"/>
                <w:right w:val="nil"/>
                <w:between w:val="nil"/>
              </w:pBdr>
              <w:spacing w:line="360" w:lineRule="auto"/>
              <w:ind w:left="720" w:right="57"/>
              <w:jc w:val="both"/>
              <w:rPr>
                <w:b/>
                <w:color w:val="000000"/>
                <w:sz w:val="24"/>
                <w:szCs w:val="24"/>
              </w:rPr>
            </w:pPr>
          </w:p>
        </w:tc>
        <w:tc>
          <w:tcPr>
            <w:tcW w:w="567" w:type="dxa"/>
          </w:tcPr>
          <w:p w14:paraId="757E2409" w14:textId="77777777" w:rsidR="00284B7F" w:rsidRPr="00AB2C18" w:rsidRDefault="00284B7F" w:rsidP="00CF0A76">
            <w:pPr>
              <w:spacing w:line="360" w:lineRule="auto"/>
              <w:ind w:right="-16"/>
              <w:jc w:val="both"/>
              <w:rPr>
                <w:rFonts w:eastAsiaTheme="minorHAnsi"/>
                <w:color w:val="000000" w:themeColor="text1"/>
              </w:rPr>
            </w:pPr>
          </w:p>
        </w:tc>
      </w:tr>
    </w:tbl>
    <w:p w14:paraId="288826FA" w14:textId="6D58F774" w:rsidR="00D74824" w:rsidRPr="00BE3D63" w:rsidRDefault="00D74824" w:rsidP="00CF0A76">
      <w:pPr>
        <w:pBdr>
          <w:top w:val="nil"/>
          <w:left w:val="nil"/>
          <w:bottom w:val="nil"/>
          <w:right w:val="nil"/>
          <w:between w:val="nil"/>
        </w:pBdr>
        <w:spacing w:line="360" w:lineRule="auto"/>
        <w:ind w:right="57"/>
        <w:jc w:val="both"/>
        <w:rPr>
          <w:b/>
          <w:color w:val="000000"/>
        </w:rPr>
      </w:pPr>
      <w:r>
        <w:rPr>
          <w:color w:val="000000"/>
        </w:rPr>
        <w:t xml:space="preserve">     </w:t>
      </w:r>
      <w:r w:rsidRPr="00BE3D63">
        <w:rPr>
          <w:color w:val="000000"/>
        </w:rPr>
        <w:t>Os avanços científicos</w:t>
      </w:r>
      <w:r w:rsidR="00CF0A76">
        <w:rPr>
          <w:color w:val="000000"/>
        </w:rPr>
        <w:t xml:space="preserve"> e</w:t>
      </w:r>
      <w:r w:rsidRPr="00BE3D63">
        <w:rPr>
          <w:color w:val="000000"/>
        </w:rPr>
        <w:t xml:space="preserve"> </w:t>
      </w:r>
      <w:r w:rsidR="00CF0A76">
        <w:rPr>
          <w:color w:val="000000"/>
        </w:rPr>
        <w:t xml:space="preserve">o </w:t>
      </w:r>
      <w:r w:rsidRPr="00BE3D63">
        <w:rPr>
          <w:color w:val="000000"/>
        </w:rPr>
        <w:t xml:space="preserve">desenvolvimento social e econômico resultaram em expansão sem precedentes da longevidade humana </w:t>
      </w:r>
      <w:r w:rsidRPr="00BE3D63">
        <w:rPr>
          <w:color w:val="000000"/>
        </w:rPr>
        <w:fldChar w:fldCharType="begin"/>
      </w:r>
      <w:r>
        <w:rPr>
          <w:color w:val="000000"/>
        </w:rPr>
        <w:instrText xml:space="preserve"> ADDIN ZOTERO_ITEM CSL_CITATION {"citationID":"ohDsaXts","properties":{"unsorted":true,"formattedCitation":"(1,2)","plainCitation":"(1,2)","noteIndex":0},"citationItems":[{"id":672,"uris":["http://zotero.org/users/7110448/items/USSEY4RV"],"itemData":{"id":672,"type":"article-journal","abstract":"BACKGROUND: Thyroid hormones have significant effects on the cardiovascular systems. In general, hyperthyroidism is associated with an increased risk of dysrhythmias, while hypothyroidism may cause atherosclerosis. Recent large studies have sought to identify aging-associated changes in thyroid function and their relevance to cardiovascular morbidity and mortality in the elderly. Conflicting results have often been published, likely due to the heterogeneity of the studied populations.\nOBJECTIVE: This review seeks to briefly summarize the most recent large population studies analyzing thyroid changes with aging and interpreting their effects on cardiovascular health in the elderly.\nMETHODS: Selective review of recent literature.\nRESULTS: The emerging pattern suggests a slight decrease in thyroid function in the elderly leading to slightly higher thyroid stimulating hormone (TSH) levels. However, the incidence of mild hyperthyroidism also increases, especially in populations with historical or current iodine deficiency. Large observational studies suggest that the potential harm from mild hypothyroidism seen in younger population tends to diminish in older subjects, while the harm from mild hyperthyroidism becomes more significant. A markedly increased risk of atrial fibrillation is a well-established consequence of subclinical hyperthyroidism in patients in the sixth decade of life and beyond.\nCONCLUSIONS: The absence of large prospective interventional data does not allow the formulation of strict clinical recommendations, but a higher TSH threshold for treating both subclinical hypothyroidism and subclinical hyperthyroidism in the elderly seems reasonable.","container-title":"Gerontology","DOI":"10.1159/000490911","ISSN":"1423-0003","issue":"1","journalAbbreviation":"Gerontology","language":"eng","note":"PMID: 30032140","page":"1-8","source":"PubMed","title":"Thyroid Function Changes in the Elderly and Their Relationship to Cardiovascular Health: A Mini-Review","title-short":"Thyroid Function Changes in the Elderly and Their Relationship to Cardiovascular Health","volume":"65","author":[{"family":"Barbesino","given":"Giuseppe"}],"issued":{"date-parts":[["2019"]]}},"label":"page"},{"id":1181,"uris":["http://zotero.org/users/7110448/items/835A7GVB"],"itemData":{"id":1181,"type":"book","ISBN":"978-92-1-148316-1","language":"en","note":"OCLC: 1110010089","source":"Open WorldCat","title":"World population prospects Highlights, 2019 revision Highlights, 2019 revision","author":[{"literal":"United Nations"},{"literal":"Department of Economic and Social Affairs"},{"literal":"Population Division"}],"issued":{"date-parts":[["2019"]]}},"label":"page"}],"schema":"https://github.com/citation-style-language/schema/raw/master/csl-citation.json"} </w:instrText>
      </w:r>
      <w:r w:rsidRPr="00BE3D63">
        <w:rPr>
          <w:color w:val="000000"/>
        </w:rPr>
        <w:fldChar w:fldCharType="separate"/>
      </w:r>
      <w:r w:rsidRPr="00BE3D63">
        <w:rPr>
          <w:noProof/>
          <w:color w:val="000000"/>
        </w:rPr>
        <w:t>(1,2)</w:t>
      </w:r>
      <w:r w:rsidRPr="00BE3D63">
        <w:rPr>
          <w:color w:val="000000"/>
        </w:rPr>
        <w:fldChar w:fldCharType="end"/>
      </w:r>
      <w:r w:rsidRPr="00BE3D63">
        <w:rPr>
          <w:color w:val="000000"/>
        </w:rPr>
        <w:t>. O novo grande desafio na área médica é compreender a saúde e doença no processo de envelhecimento. Muitas alterações ocorrem no organismo, particularmente no sistema endócrino e no eixo hipotálamo</w:t>
      </w:r>
      <w:r w:rsidR="00CF0A76">
        <w:rPr>
          <w:color w:val="000000"/>
        </w:rPr>
        <w:t>-</w:t>
      </w:r>
      <w:r w:rsidRPr="00BE3D63">
        <w:rPr>
          <w:color w:val="000000"/>
        </w:rPr>
        <w:t>hipófise</w:t>
      </w:r>
      <w:r w:rsidR="00CF0A76">
        <w:rPr>
          <w:color w:val="000000"/>
        </w:rPr>
        <w:t>-</w:t>
      </w:r>
      <w:r w:rsidRPr="00BE3D63">
        <w:rPr>
          <w:color w:val="000000"/>
        </w:rPr>
        <w:t xml:space="preserve">tireoide ao longo da vida </w:t>
      </w:r>
      <w:r w:rsidRPr="00BE3D63">
        <w:rPr>
          <w:color w:val="000000"/>
        </w:rPr>
        <w:fldChar w:fldCharType="begin"/>
      </w:r>
      <w:r>
        <w:rPr>
          <w:color w:val="000000"/>
        </w:rPr>
        <w:instrText xml:space="preserve"> ADDIN ZOTERO_ITEM CSL_CITATION {"citationID":"IxTFckAr","properties":{"formattedCitation":"(3)","plainCitation":"(3)","noteIndex":0},"citationItems":[{"id":1203,"uris":["http://zotero.org/users/7110448/items/KQITKT3P"],"itemData":{"id":1203,"type":"article-journal","abstract":"Studies in humans and in animal models show negative correlations between thyroid hormone (TH) levels and longevity. TH signaling is implicated in maintaining and integrating metabolic homeostasis at multiple levels, notably centrally in the hypothalamus but also in peripheral tissues. The question is thus raised of how TH signaling is modulated during aging in different tissues. Classically, TH actions on mitochondria and heat production are obvious candidates to link negative effects of TH to aging. Mitochondrial effects of excess TH include reactive oxygen species and DNA damage, 2 factors often considered as aging accelerators. Inversely, caloric restriction, which can retard aging from nematodes to primates, causes a rapid reduction of circulating TH, reducing metabolism in birds and mammals. However, many other factors could link TH to aging, and it is these potentially subtler and less explored areas that are highlighted here. For example, effects of TH on membrane composition, inflammatory responses, stem cell renewal and synchronization of physiological responses to light could each contribute to TH regulation of maintenance of homeostasis during aging. We propose the hypothesis that constraints on TH signaling at certain life stages, notably during maturity, are advantageous for optimal aging.","container-title":"Endocrine Reviews","DOI":"10.1210/er.2012-1056","ISSN":"1945-7189","issue":"4","journalAbbreviation":"Endocr Rev","language":"eng","note":"PMID: 23696256","page":"556-589","source":"PubMed","title":"Thyroid hormone signaling and homeostasis during aging","volume":"34","author":[{"family":"Bowers","given":"J."},{"family":"Terrien","given":"J."},{"family":"Clerget-Froidevaux","given":"M. S."},{"family":"Gothié","given":"J. D."},{"family":"Rozing","given":"M. P."},{"family":"Westendorp","given":"R. G. J."},{"family":"Heemst","given":"D.","non-dropping-particle":"van"},{"family":"Demeneix","given":"B. A."}],"issued":{"date-parts":[["2013",8]]}}}],"schema":"https://github.com/citation-style-language/schema/raw/master/csl-citation.json"} </w:instrText>
      </w:r>
      <w:r w:rsidRPr="00BE3D63">
        <w:rPr>
          <w:color w:val="000000"/>
        </w:rPr>
        <w:fldChar w:fldCharType="separate"/>
      </w:r>
      <w:r w:rsidRPr="00BE3D63">
        <w:rPr>
          <w:noProof/>
          <w:color w:val="000000"/>
        </w:rPr>
        <w:t>(3)</w:t>
      </w:r>
      <w:r w:rsidRPr="00BE3D63">
        <w:rPr>
          <w:color w:val="000000"/>
        </w:rPr>
        <w:fldChar w:fldCharType="end"/>
      </w:r>
      <w:r w:rsidRPr="00BE3D63">
        <w:rPr>
          <w:color w:val="000000"/>
        </w:rPr>
        <w:t>. Distinguir quais des</w:t>
      </w:r>
      <w:r w:rsidR="00CF0A76">
        <w:rPr>
          <w:color w:val="000000"/>
        </w:rPr>
        <w:t>s</w:t>
      </w:r>
      <w:r w:rsidRPr="00BE3D63">
        <w:rPr>
          <w:color w:val="000000"/>
        </w:rPr>
        <w:t xml:space="preserve">as mudanças são adaptações benéficas daquelas decorrentes de doenças deve fazer parte do raciocínio clínico. </w:t>
      </w:r>
    </w:p>
    <w:p w14:paraId="0A4C106D" w14:textId="33525B4B" w:rsidR="00D74824" w:rsidRPr="00594833" w:rsidRDefault="00D74824" w:rsidP="00D74824">
      <w:pPr>
        <w:spacing w:line="360" w:lineRule="auto"/>
        <w:ind w:right="57"/>
        <w:jc w:val="both"/>
        <w:rPr>
          <w:color w:val="000000"/>
        </w:rPr>
      </w:pPr>
      <w:r>
        <w:rPr>
          <w:color w:val="000000"/>
        </w:rPr>
        <w:t xml:space="preserve">     </w:t>
      </w:r>
      <w:r w:rsidRPr="002F5F3B">
        <w:rPr>
          <w:color w:val="000000"/>
        </w:rPr>
        <w:t xml:space="preserve">Os </w:t>
      </w:r>
      <w:sdt>
        <w:sdtPr>
          <w:tag w:val="goog_rdk_3"/>
          <w:id w:val="1432005902"/>
        </w:sdtPr>
        <w:sdtContent>
          <w:r w:rsidRPr="002F5F3B">
            <w:t>hormônios</w:t>
          </w:r>
        </w:sdtContent>
      </w:sdt>
      <w:r w:rsidRPr="002F5F3B">
        <w:rPr>
          <w:color w:val="000000"/>
        </w:rPr>
        <w:t xml:space="preserve"> tireoidianos</w:t>
      </w:r>
      <w:r>
        <w:rPr>
          <w:color w:val="000000"/>
        </w:rPr>
        <w:t xml:space="preserve"> </w:t>
      </w:r>
      <w:r w:rsidRPr="00594833">
        <w:rPr>
          <w:color w:val="000000"/>
        </w:rPr>
        <w:t xml:space="preserve">desempenham um papel essencial no crescimento, </w:t>
      </w:r>
      <w:r w:rsidR="00CF0A76">
        <w:rPr>
          <w:color w:val="000000"/>
        </w:rPr>
        <w:t xml:space="preserve">no </w:t>
      </w:r>
      <w:r w:rsidRPr="00594833">
        <w:rPr>
          <w:color w:val="000000"/>
        </w:rPr>
        <w:t>desenvolvimento e</w:t>
      </w:r>
      <w:r w:rsidR="00CF0A76">
        <w:rPr>
          <w:color w:val="000000"/>
        </w:rPr>
        <w:t xml:space="preserve"> na</w:t>
      </w:r>
      <w:r w:rsidRPr="00594833">
        <w:rPr>
          <w:color w:val="000000"/>
        </w:rPr>
        <w:t xml:space="preserve"> regulação do metabolismo energético </w:t>
      </w:r>
      <w:r w:rsidRPr="00594833">
        <w:rPr>
          <w:color w:val="000000"/>
        </w:rPr>
        <w:fldChar w:fldCharType="begin"/>
      </w:r>
      <w:r>
        <w:rPr>
          <w:color w:val="000000"/>
        </w:rPr>
        <w:instrText xml:space="preserve"> ADDIN ZOTERO_ITEM CSL_CITATION {"citationID":"vOQjzxqJ","properties":{"formattedCitation":"(4)","plainCitation":"(4)","noteIndex":0},"citationItems":[{"id":46,"uris":["http://zotero.org/users/7110448/items/DFR4WKE9"],"itemData":{"id":46,"type":"article-journal","container-title":"Endocrine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C"}],"issued":{"date-parts":[["2019",8,1]]}}}],"schema":"https://github.com/citation-style-language/schema/raw/master/csl-citation.json"} </w:instrText>
      </w:r>
      <w:r w:rsidRPr="00594833">
        <w:rPr>
          <w:color w:val="000000"/>
        </w:rPr>
        <w:fldChar w:fldCharType="separate"/>
      </w:r>
      <w:r w:rsidRPr="00594833">
        <w:rPr>
          <w:noProof/>
          <w:color w:val="000000"/>
        </w:rPr>
        <w:t>(4)</w:t>
      </w:r>
      <w:r w:rsidRPr="00594833">
        <w:rPr>
          <w:color w:val="000000"/>
        </w:rPr>
        <w:fldChar w:fldCharType="end"/>
      </w:r>
      <w:r w:rsidRPr="00594833">
        <w:rPr>
          <w:color w:val="000000"/>
        </w:rPr>
        <w:t xml:space="preserve">. O eixo </w:t>
      </w:r>
      <w:r>
        <w:rPr>
          <w:color w:val="000000"/>
        </w:rPr>
        <w:t>hipotálamo</w:t>
      </w:r>
      <w:r w:rsidR="00CF0A76">
        <w:rPr>
          <w:color w:val="000000"/>
        </w:rPr>
        <w:t>-</w:t>
      </w:r>
      <w:r>
        <w:rPr>
          <w:color w:val="000000"/>
        </w:rPr>
        <w:t>hipófise</w:t>
      </w:r>
      <w:r w:rsidR="00CF0A76">
        <w:rPr>
          <w:color w:val="000000"/>
        </w:rPr>
        <w:t>-</w:t>
      </w:r>
      <w:r>
        <w:rPr>
          <w:color w:val="000000"/>
        </w:rPr>
        <w:t xml:space="preserve"> tireoide </w:t>
      </w:r>
      <w:r w:rsidRPr="00594833">
        <w:rPr>
          <w:color w:val="000000"/>
        </w:rPr>
        <w:t xml:space="preserve">controla a produção e </w:t>
      </w:r>
      <w:r w:rsidR="00CF0A76">
        <w:rPr>
          <w:color w:val="000000"/>
        </w:rPr>
        <w:t xml:space="preserve">a </w:t>
      </w:r>
      <w:r w:rsidRPr="00594833">
        <w:rPr>
          <w:color w:val="000000"/>
        </w:rPr>
        <w:t xml:space="preserve">secreção dos </w:t>
      </w:r>
      <w:r>
        <w:rPr>
          <w:color w:val="000000"/>
        </w:rPr>
        <w:t>hormônios tireoidianos</w:t>
      </w:r>
      <w:r w:rsidR="00CF0A76">
        <w:rPr>
          <w:color w:val="000000"/>
        </w:rPr>
        <w:t>,</w:t>
      </w:r>
      <w:r>
        <w:rPr>
          <w:color w:val="000000"/>
        </w:rPr>
        <w:t xml:space="preserve"> </w:t>
      </w:r>
      <w:r w:rsidRPr="00594833">
        <w:rPr>
          <w:color w:val="000000"/>
        </w:rPr>
        <w:t>enquanto que a sua atividade biológica</w:t>
      </w:r>
      <w:r>
        <w:rPr>
          <w:color w:val="000000"/>
        </w:rPr>
        <w:t xml:space="preserve">, determinada pela ação do T3, </w:t>
      </w:r>
      <w:r w:rsidRPr="00594833">
        <w:rPr>
          <w:color w:val="000000"/>
        </w:rPr>
        <w:t xml:space="preserve">é regulada perifericamente por transportadores de membrana, desiodases e receptores nucleares </w:t>
      </w:r>
      <w:r w:rsidRPr="00594833">
        <w:rPr>
          <w:color w:val="000000"/>
        </w:rPr>
        <w:fldChar w:fldCharType="begin"/>
      </w:r>
      <w:r>
        <w:rPr>
          <w:color w:val="000000"/>
        </w:rPr>
        <w:instrText xml:space="preserve"> ADDIN ZOTERO_ITEM CSL_CITATION {"citationID":"m9n8QxqZ","properties":{"unsorted":true,"formattedCitation":"(5,4)","plainCitation":"(5,4)","noteIndex":0},"citationItems":[{"id":48,"uris":["http://zotero.org/users/7110448/items/6CIUKTEZ"],"itemData":{"id":48,"type":"article-journal","abstract":"Abstract\n            TRH is a tripeptide amide that functions as a neurotransmitter but also serves as a neurohormone that has a critical role in the central regulation of the hypothalamic-pituitary-thyroid axis. Hypophysiotropic TRH neurons involved in this neuroendocrine process are located in the hypothalamic paraventricular nucleus and secrete TRH into the pericapillary space of the external zone of the median eminence for conveyance to anterior pituitary thyrotrophs. Under basal conditions, the activity of hypophysiotropic TRH neurons is regulated by the negative feedback effects of thyroid hormone to ensure stable, circulating, thyroid hormone concentrations, a mechanism that involves complex interactions between hypophysiotropic TRH neurons and the vascular system, cerebrospinal fluid, and specialized glial cells called tanycytes. Hypophysiotropic TRH neurons also integrate other humoral and neuronal inputs that can alter the setpoint for negative feedback regulation by thyroid hormone. This mechanism facilitates adaptation of the organism to changing environmental conditions, including the shortage of food and a cold environment. The thyroid axis is also affected by other adverse conditions such as infection, but the central mechanisms mediating suppression of hypophysiotropic TRH may be pathophysiological. In this review, we discuss current knowledge about the mechanisms that contribute to the regulation of hypophysiotropic TRH neurons under physiological and pathophysiological conditions.","container-title":"Endocrine Reviews","DOI":"10.1210/er.2013-1087","ISSN":"0163-769X, 1945-7189","issue":"2","language":"en","page":"159-194","source":"DOI.org (Crossref)","title":"Central Regulation of Hypothalamic-Pituitary-Thyroid Axis Under Physiological and Pathophysiological Conditions","volume":"35","author":[{"family":"Fekete","given":"Csaba"},{"family":"Lechan","given":"Ronald M."}],"issued":{"date-parts":[["2014",4,1]]}},"label":"page"},{"id":46,"uris":["http://zotero.org/users/7110448/items/DFR4WKE9"],"itemData":{"id":46,"type":"article-journal","container-title":"Endocrine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C"}],"issued":{"date-parts":[["2019",8,1]]}},"label":"page"}],"schema":"https://github.com/citation-style-language/schema/raw/master/csl-citation.json"} </w:instrText>
      </w:r>
      <w:r w:rsidRPr="00594833">
        <w:rPr>
          <w:color w:val="000000"/>
        </w:rPr>
        <w:fldChar w:fldCharType="separate"/>
      </w:r>
      <w:r w:rsidRPr="00594833">
        <w:rPr>
          <w:noProof/>
          <w:color w:val="000000"/>
        </w:rPr>
        <w:t>(5,4)</w:t>
      </w:r>
      <w:r w:rsidRPr="00594833">
        <w:rPr>
          <w:color w:val="000000"/>
        </w:rPr>
        <w:fldChar w:fldCharType="end"/>
      </w:r>
      <w:r w:rsidRPr="00594833">
        <w:rPr>
          <w:color w:val="000000"/>
        </w:rPr>
        <w:t xml:space="preserve">. </w:t>
      </w:r>
    </w:p>
    <w:p w14:paraId="231EE3A4" w14:textId="79852AF4" w:rsidR="00D74824" w:rsidRPr="00594833" w:rsidRDefault="00D74824" w:rsidP="00D74824">
      <w:pPr>
        <w:spacing w:line="360" w:lineRule="auto"/>
        <w:ind w:right="57"/>
        <w:jc w:val="both"/>
      </w:pPr>
      <w:r>
        <w:rPr>
          <w:color w:val="000000"/>
        </w:rPr>
        <w:t xml:space="preserve">     </w:t>
      </w:r>
      <w:r w:rsidRPr="00594833">
        <w:rPr>
          <w:color w:val="000000"/>
        </w:rPr>
        <w:t xml:space="preserve">O eixo </w:t>
      </w:r>
      <w:r>
        <w:rPr>
          <w:color w:val="000000"/>
        </w:rPr>
        <w:t>hipotálamo</w:t>
      </w:r>
      <w:r w:rsidR="00CF0A76">
        <w:rPr>
          <w:color w:val="000000"/>
        </w:rPr>
        <w:t>-</w:t>
      </w:r>
      <w:r>
        <w:rPr>
          <w:color w:val="000000"/>
        </w:rPr>
        <w:t>hipófise</w:t>
      </w:r>
      <w:r w:rsidR="00CE5928">
        <w:rPr>
          <w:color w:val="000000"/>
        </w:rPr>
        <w:t>-</w:t>
      </w:r>
      <w:r>
        <w:rPr>
          <w:color w:val="000000"/>
        </w:rPr>
        <w:t>tireoide</w:t>
      </w:r>
      <w:r w:rsidRPr="00594833">
        <w:rPr>
          <w:color w:val="000000"/>
        </w:rPr>
        <w:t xml:space="preserve"> sofre </w:t>
      </w:r>
      <w:r w:rsidR="00CF0A76" w:rsidRPr="00594833">
        <w:rPr>
          <w:color w:val="000000"/>
        </w:rPr>
        <w:t>influência</w:t>
      </w:r>
      <w:r w:rsidRPr="00594833">
        <w:rPr>
          <w:color w:val="000000"/>
        </w:rPr>
        <w:t xml:space="preserve"> de fatores ambientais, como ingestão de iodo, e individuais, como sexo, idade e massa corporal </w:t>
      </w:r>
      <w:r w:rsidRPr="00594833">
        <w:rPr>
          <w:color w:val="000000"/>
        </w:rPr>
        <w:fldChar w:fldCharType="begin"/>
      </w:r>
      <w:r>
        <w:rPr>
          <w:color w:val="000000"/>
        </w:rPr>
        <w:instrText xml:space="preserve"> ADDIN ZOTERO_ITEM CSL_CITATION {"citationID":"6vrqHVoX","properties":{"formattedCitation":"(6)","plainCitation":"(6)","noteIndex":0},"citationItems":[{"id":1403,"uris":["http://zotero.org/users/7110448/items/EVXG9M4V"],"itemData":{"id":1403,"type":"article-journal","container-title":"JAMA","DOI":"10.1001/jama.2019.9052","ISSN":"0098-7484","issue":"2","journalAbbreviation":"JAMA","language":"en","page":"153","source":"DOI.org (Crossref)","title":"Subclinical Hypothyroidism: A Review","title-short":"Subclinical Hypothyroidism","volume":"322","author":[{"family":"Biondi","given":"Bernadette"},{"family":"Cappola","given":"Anne R."},{"family":"Cooper","given":"David S."}],"issued":{"date-parts":[["2019",7,9]]}}}],"schema":"https://github.com/citation-style-language/schema/raw/master/csl-citation.json"} </w:instrText>
      </w:r>
      <w:r w:rsidRPr="00594833">
        <w:rPr>
          <w:color w:val="000000"/>
        </w:rPr>
        <w:fldChar w:fldCharType="separate"/>
      </w:r>
      <w:r w:rsidRPr="00594833">
        <w:rPr>
          <w:noProof/>
          <w:color w:val="000000"/>
        </w:rPr>
        <w:t>(6)</w:t>
      </w:r>
      <w:r w:rsidRPr="00594833">
        <w:rPr>
          <w:color w:val="000000"/>
        </w:rPr>
        <w:fldChar w:fldCharType="end"/>
      </w:r>
      <w:r w:rsidRPr="00594833">
        <w:rPr>
          <w:color w:val="000000"/>
        </w:rPr>
        <w:t>. Além disso, em indivíduos saudáveis, os parâmetros séricos d</w:t>
      </w:r>
      <w:r w:rsidRPr="00594833">
        <w:t xml:space="preserve">e função </w:t>
      </w:r>
      <w:r w:rsidRPr="00594833">
        <w:rPr>
          <w:color w:val="000000"/>
        </w:rPr>
        <w:t>tireoid</w:t>
      </w:r>
      <w:r w:rsidRPr="00594833">
        <w:t>iana</w:t>
      </w:r>
      <w:r w:rsidRPr="00594833">
        <w:rPr>
          <w:color w:val="000000"/>
        </w:rPr>
        <w:t xml:space="preserve"> mostram substancial variabilidade interindividual</w:t>
      </w:r>
      <w:r w:rsidR="00CF0A76">
        <w:rPr>
          <w:color w:val="000000"/>
        </w:rPr>
        <w:t>,</w:t>
      </w:r>
      <w:r w:rsidRPr="00594833">
        <w:rPr>
          <w:color w:val="000000"/>
        </w:rPr>
        <w:t xml:space="preserve"> enquanto a intraindividual é estreita, sugerindo</w:t>
      </w:r>
      <w:r w:rsidRPr="00594833">
        <w:t xml:space="preserve"> possível </w:t>
      </w:r>
      <w:r w:rsidRPr="00594833">
        <w:rPr>
          <w:color w:val="000000"/>
        </w:rPr>
        <w:t>influência d</w:t>
      </w:r>
      <w:r w:rsidRPr="00594833">
        <w:t>e aspectos</w:t>
      </w:r>
      <w:r w:rsidRPr="00594833">
        <w:rPr>
          <w:color w:val="000000"/>
        </w:rPr>
        <w:t xml:space="preserve"> genétic</w:t>
      </w:r>
      <w:r w:rsidRPr="00594833">
        <w:t>os</w:t>
      </w:r>
      <w:r w:rsidRPr="00594833">
        <w:rPr>
          <w:color w:val="000000"/>
        </w:rPr>
        <w:t xml:space="preserve"> na regulação do ponto de ajuste </w:t>
      </w:r>
      <w:r w:rsidRPr="00594833">
        <w:t>nos níveis séricos d</w:t>
      </w:r>
      <w:r>
        <w:t>os hormônios tireoidianos</w:t>
      </w:r>
      <w:r w:rsidRPr="00594833">
        <w:t xml:space="preserve"> </w:t>
      </w:r>
      <w:r w:rsidRPr="00594833">
        <w:fldChar w:fldCharType="begin"/>
      </w:r>
      <w:r>
        <w:instrText xml:space="preserve"> ADDIN ZOTERO_ITEM CSL_CITATION {"citationID":"GiLX5snD","properties":{"unsorted":true,"formattedCitation":"(7\\uc0\\u8211{}9)","plainCitation":"(7–9)","noteIndex":0},"citationItems":[{"id":203,"uris":["http://zotero.org/users/7110448/items/64999WNK"],"itemData":{"id":203,"type":"article-journal","abstract":"High individuality causes laboratory reference ranges to be insensitive to changes in test results that are significant for the individual. We undertook a longitudinal study of variation in thyroid function tests in 16 healthy men with monthly sampling for 12 months using standard procedures. We measured serum T(4), T(3), free T(4) index, and TSH. All individuals had different variations of thyroid function tests (P &lt; 0.001 for all variables) around individual mean values (set points) (P &lt; 0.001 for all variables). The width of the individual 95% confidence intervals were approximately half that of the group for all variables. Accordingly, the index of individuality was low: T(4) = 0.58; T(3) = 0.54; free T(4) index = 0.59; TSH = 0.49. One test result described the individual set point with a precision of +/- 25% for T(4), T(3), free T(4) index, and +/- 50% for TSH. The differences required to be 95% confident of significant changes in repeated testing were (average, range): T(4) = 28, 11-62 nmol/liter; T(3) = 0.55, 0.3--0.9 nmol/liter; free T4 index = 33, 15-61 nmol/liter; TSH = 0.75, 0.2-1.6 mU/liter. Our data indicate that each individual had a unique thyroid function. The individual reference ranges for test results were narrow, compared with group reference ranges used to develop laboratory reference ranges. Accordingly, a test result within laboratory reference limits is not necessarily normal for an individual. Because serum TSH responds with logarithmically amplified variation to minor changes in serum T(4) and T(3), abnormal serum TSH may indicate that serum T(4) and T(3) are not normal for an individual. A condition with abnormal serum TSH but with serum T(4) and T(3) within laboratory reference ranges is labeled subclinical thyroid disease. Our data indicate that the distinction between subclinical and overt thyroid disease (abnormal serum TSH and abnormal T(4) and/or T(3)) is somewhat arbitrary. For the same degree of thyroid function abnormality, the diagnosis depends to a considerable extent on the position of the patient's normal set point for T(4) and T(3) within the laboratory reference range.","container-title":"The Journal of Clinical Endocrinology and Metabolism","DOI":"10.1210/jcem.87.3.8165","ISSN":"0021-972X","issue":"3","journalAbbreviation":"J Clin Endocrinol Metab","language":"eng","note":"PMID: 11889165","page":"1068-1072","source":"PubMed","title":"Narrow individual variations in serum T(4) and T(3) in normal subjects: a clue to the understanding of subclinical thyroid disease","title-short":"Narrow individual variations in serum T(4) and T(3) in normal subjects","volume":"87","author":[{"family":"Andersen","given":"Stig"},{"family":"Pedersen","given":"Klaus Michael"},{"family":"Bruun","given":"Niels Henrik"},{"family":"Laurberg","given":"Peter"}],"issued":{"date-parts":[["2002",3]]}},"label":"page"},{"id":945,"uris":["http://zotero.org/users/7110448/items/CRX6JTXZ"],"itemData":{"id":945,"type":"article-journal","abstract":"Serum thyroid parameters show substantial inter-individual variability, in which genetic variation is a major factor. Findings in patients with subclinical hyper- and hypothyroidism illustrate that even minor alterations in serum thyroid function tests can have important consequences for a variety of thyroid hormone-related clinical endpoints, such as atherosclerosis, bone mineral density, obesity, and heart rate. In the last few years, several studies described polymorphisms in thyroid hormone pathway genes that alter serum thyroid function tests. In this review, we discuss the genetic variation in the TSH receptor and iodothyronine deiodinases. We discuss the possible consequences of these studies for the individual patient and also the new insights in thyroid hormone action that can be obtained from these data.","container-title":"European Journal of Endocrinology","DOI":"10.1530/eje.1.02279","ISSN":"0804-4643","issue":"5","journalAbbreviation":"Eur J Endocrinol","language":"eng","note":"PMID: 17062880","page":"655-662","source":"PubMed","title":"Genetic variation in thyroid hormone pathway genes; polymorphisms in the TSH receptor and the iodothyronine deiodinases","volume":"155","author":[{"family":"Peeters","given":"Robin P."},{"family":"Deure","given":"Wendy M.","non-dropping-particle":"van der"},{"family":"Visser","given":"Theo J."}],"issued":{"date-parts":[["2006",11]]}},"label":"page"},{"id":93,"uris":["http://zotero.org/users/7110448/items/CK8FU3ZB"],"itemData":{"id":93,"type":"article-journal","abstract":"Abstract\n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P"},{"family":"Medici","given":"Marco"}],"issued":{"date-parts":[["2020",6,1]]}},"label":"page"}],"schema":"https://github.com/citation-style-language/schema/raw/master/csl-citation.json"} </w:instrText>
      </w:r>
      <w:r w:rsidRPr="00594833">
        <w:fldChar w:fldCharType="separate"/>
      </w:r>
      <w:r w:rsidRPr="00594833">
        <w:t>(7–9)</w:t>
      </w:r>
      <w:r w:rsidRPr="00594833">
        <w:fldChar w:fldCharType="end"/>
      </w:r>
      <w:r w:rsidRPr="00594833">
        <w:t>. Estudos realizados em gêmeos mono e dizigóticos atribuír</w:t>
      </w:r>
      <w:r>
        <w:t>am</w:t>
      </w:r>
      <w:r w:rsidRPr="00594833">
        <w:t xml:space="preserve"> à herdabilidade </w:t>
      </w:r>
      <w:r w:rsidR="00CF0A76">
        <w:t xml:space="preserve">uma </w:t>
      </w:r>
      <w:r w:rsidRPr="00594833">
        <w:t>variação de até 65% nos níveis séricos de hormônio tireoestimulante</w:t>
      </w:r>
      <w:r>
        <w:t xml:space="preserve"> </w:t>
      </w:r>
      <w:r w:rsidRPr="00594833">
        <w:fldChar w:fldCharType="begin"/>
      </w:r>
      <w:r>
        <w:instrText xml:space="preserve"> ADDIN ZOTERO_ITEM CSL_CITATION {"citationID":"fsyoHU06","properties":{"unsorted":true,"formattedCitation":"(10,9)","plainCitation":"(10,9)","noteIndex":0},"citationItems":[{"id":198,"uris":["http://zotero.org/users/7110448/items/TBI6EX6Q"],"itemData":{"id":198,"type":"article-journal","container-title":"The Journal of Clinical Endocrinology &amp; Metabolism","DOI":"10.1210/jc.2003-031641","ISSN":"0021-972X, 1945-7197","issue":"3","journalAbbreviation":"The Journal of Clinical Endocrinology &amp; Metabolism","language":"en","page":"1181-1187","source":"DOI.org (Crossref)","title":"Major Genetic Influence on the Regulation of the Pituitary-Thyroid Axis: A Study of Healthy Danish Twins","title-short":"Major Genetic Influence on the Regulation of the Pituitary-Thyroid Axis","volume":"89","author":[{"family":"Hansen","given":"Pia Skov"},{"family":"Brix","given":"Thomas Heiberg"},{"family":"Sørensen","given":"Thorkild I. A."},{"family":"Kyvik","given":"Kirsten Ohm"},{"family":"Hegedüs","given":"Laszlo"}],"issued":{"date-parts":[["2004",3]]}},"label":"page"},{"id":93,"uris":["http://zotero.org/users/7110448/items/CK8FU3ZB"],"itemData":{"id":93,"type":"article-journal","abstract":"Abstract\n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P"},{"family":"Medici","given":"Marco"}],"issued":{"date-parts":[["2020",6,1]]}},"label":"page"}],"schema":"https://github.com/citation-style-language/schema/raw/master/csl-citation.json"} </w:instrText>
      </w:r>
      <w:r w:rsidRPr="00594833">
        <w:fldChar w:fldCharType="separate"/>
      </w:r>
      <w:r w:rsidRPr="00594833">
        <w:rPr>
          <w:noProof/>
        </w:rPr>
        <w:t>(10,9)</w:t>
      </w:r>
      <w:r w:rsidRPr="00594833">
        <w:fldChar w:fldCharType="end"/>
      </w:r>
      <w:r w:rsidRPr="00594833">
        <w:t>.</w:t>
      </w:r>
    </w:p>
    <w:p w14:paraId="730FCD56" w14:textId="3F44AC02" w:rsidR="00D74824" w:rsidRPr="00594833" w:rsidRDefault="00D74824" w:rsidP="00D74824">
      <w:pPr>
        <w:spacing w:line="360" w:lineRule="auto"/>
        <w:jc w:val="both"/>
        <w:rPr>
          <w:color w:val="000000"/>
        </w:rPr>
      </w:pPr>
      <w:r>
        <w:t xml:space="preserve">     </w:t>
      </w:r>
      <w:r w:rsidRPr="00594833">
        <w:t xml:space="preserve">Na população geriátrica, </w:t>
      </w:r>
      <w:r>
        <w:t xml:space="preserve">além destes, </w:t>
      </w:r>
      <w:r w:rsidRPr="00594833">
        <w:t>outros aspectos</w:t>
      </w:r>
      <w:r>
        <w:t xml:space="preserve"> </w:t>
      </w:r>
      <w:r w:rsidRPr="00594833">
        <w:rPr>
          <w:color w:val="000000"/>
        </w:rPr>
        <w:t>associad</w:t>
      </w:r>
      <w:r>
        <w:rPr>
          <w:color w:val="000000"/>
        </w:rPr>
        <w:t>o</w:t>
      </w:r>
      <w:r w:rsidRPr="00594833">
        <w:rPr>
          <w:color w:val="000000"/>
        </w:rPr>
        <w:t xml:space="preserve">s ao processo de envelhecimento também interferem no controle do eixo </w:t>
      </w:r>
      <w:r>
        <w:rPr>
          <w:color w:val="000000"/>
        </w:rPr>
        <w:t>hipotálamo</w:t>
      </w:r>
      <w:r w:rsidR="00CF0A76">
        <w:rPr>
          <w:color w:val="000000"/>
        </w:rPr>
        <w:t>-</w:t>
      </w:r>
      <w:r>
        <w:rPr>
          <w:color w:val="000000"/>
        </w:rPr>
        <w:t>hipófise</w:t>
      </w:r>
      <w:r w:rsidR="00CF0A76">
        <w:rPr>
          <w:color w:val="000000"/>
        </w:rPr>
        <w:t>-</w:t>
      </w:r>
      <w:r>
        <w:rPr>
          <w:color w:val="000000"/>
        </w:rPr>
        <w:t>tireoide</w:t>
      </w:r>
      <w:r w:rsidRPr="00594833">
        <w:rPr>
          <w:color w:val="000000"/>
        </w:rPr>
        <w:t>. Estudos longitudinais demo</w:t>
      </w:r>
      <w:r w:rsidR="00CF0A76">
        <w:rPr>
          <w:color w:val="000000"/>
        </w:rPr>
        <w:t>n</w:t>
      </w:r>
      <w:r w:rsidRPr="00594833">
        <w:rPr>
          <w:color w:val="000000"/>
        </w:rPr>
        <w:t>straram mudanças nos pontos de ajuste do</w:t>
      </w:r>
      <w:r>
        <w:rPr>
          <w:color w:val="000000"/>
        </w:rPr>
        <w:t>s hormônios tireoidianos</w:t>
      </w:r>
      <w:r w:rsidRPr="00594833">
        <w:rPr>
          <w:color w:val="000000"/>
        </w:rPr>
        <w:t xml:space="preserve"> e </w:t>
      </w:r>
      <w:r>
        <w:rPr>
          <w:color w:val="000000"/>
        </w:rPr>
        <w:t>tireoestimulante</w:t>
      </w:r>
      <w:r w:rsidRPr="00594833">
        <w:rPr>
          <w:color w:val="000000"/>
        </w:rPr>
        <w:t xml:space="preserve"> durante envelhecimento e estabelecer</w:t>
      </w:r>
      <w:r>
        <w:rPr>
          <w:color w:val="000000"/>
        </w:rPr>
        <w:t>am</w:t>
      </w:r>
      <w:r w:rsidRPr="00594833">
        <w:rPr>
          <w:color w:val="000000"/>
        </w:rPr>
        <w:t xml:space="preserve"> associa</w:t>
      </w:r>
      <w:r w:rsidRPr="00594833">
        <w:t xml:space="preserve">ção entre redução da </w:t>
      </w:r>
      <w:r w:rsidRPr="00594833">
        <w:rPr>
          <w:color w:val="000000"/>
        </w:rPr>
        <w:t xml:space="preserve">função tireoidiana </w:t>
      </w:r>
      <w:r w:rsidRPr="00594833">
        <w:t>e</w:t>
      </w:r>
      <w:r w:rsidRPr="00594833">
        <w:rPr>
          <w:color w:val="000000"/>
        </w:rPr>
        <w:t xml:space="preserve"> longevidade </w:t>
      </w:r>
      <w:r w:rsidRPr="00594833">
        <w:rPr>
          <w:color w:val="000000"/>
        </w:rPr>
        <w:fldChar w:fldCharType="begin"/>
      </w:r>
      <w:r>
        <w:rPr>
          <w:color w:val="000000"/>
        </w:rPr>
        <w:instrText xml:space="preserve"> ADDIN ZOTERO_ITEM CSL_CITATION {"citationID":"7IUNMZHe","properties":{"unsorted":true,"formattedCitation":"(11\\uc0\\u8211{}13)","plainCitation":"(11–13)","noteIndex":0},"citationItems":[{"id":81,"uris":["http://zotero.org/users/7110448/items/2HWBZV3Q"],"itemData":{"id":81,"type":"article-journal","abstract":"Objective: The aim of the study was to determine whether the population shift in TSH distribution to higher concentrations with aging extends to people of exceptional longevity, namely centenarians, and to assess the relationship between concentrations of TSH and free T4 (FT4). Design/Setting/Patients: We analyzed TSH, FT4, and TSH frequency distribution curves in thyroid disease-free Ashkenazi Jews with exceptional longevity (centenarians; median age, 98 yr), in younger Ashkenazi controls (median age, 72 yr), and in a population of thyroid disease-free individuals (median age, 68 yr) from the U.S. National Health and Nutrition Examination Survey 1998 –2002 (NHANES controls).\nResults: Serum TSH was significantly higher in centenarians [1.97 (0.42–7.15) mIU/liter] than in Ashkenazi controls [1.55 (0.46 – 4.55) mIU/liter] and NHANES controls [1.61 (0.39 – 6.29) mIU/liter] (median, 2.5 and 97.5 centiles) (P Ͻ 0.001). The TSH frequency distribution curve of centenarians was relatively similar in shape to controls but shifted significantly to higher TSH, including TSH concentration at peak frequency. The TSH distribution curve of the NHANES control group was superimposable to and not significantly different from the Ashkenazi controls. FT4 was similar in centenarians and Ashkenazi controls, and there was a significant inverse correlation between FT4 and TSH in both groups.\nConclusions: The TSH population shifts to higher concentrations with age appear to be a continuum that extends even to people with exceptional longevity. The inverse correlation between TSH and FT4 in our populations suggests that changes in negative feedback may contribute to exceptional longevity. (J Clin Endocrinol Metab 94: 1251–1254, 2009)","container-title":"The Journal of Clinical Endocrinology &amp; Metabolism","DOI":"10.1210/jc.2008-2325","ISSN":"0021-972X, 1945-7197","issue":"4","journalAbbreviation":"The Journal of Clinical Endocrinology &amp; Metabolism","language":"en","page":"1251-1254","source":"DOI.org (Crossref)","title":"Extreme Longevity Is Associated with Increased Serum Thyrotropin","volume":"94","author":[{"family":"Atzmon","given":"Gil"},{"family":"Barzilai","given":"Nir"},{"family":"Hollowell","given":"Joseph G."},{"family":"Surks","given":"Martin I."},{"family":"Gabriely","given":"Ilan"}],"issued":{"date-parts":[["2009",4]]}},"label":"page"},{"id":49,"uris":["http://zotero.org/users/7110448/items/RRA2FVVI"],"itemData":{"id":49,"type":"article-journal","abstract":"Methods: We measured serum TSH, free T4, thyroid peroxidase, and thyroglobulin antibodies in 1100 participants in the 1981 and 1994 Busselton Health Surveys and derived a reference group of 908 individuals without thyroid disease or thyroid antibodies. We examined changes in thyroid function longitudinally and, in 781 participants, explored associations with the CAPZB polymorphism rs10917469.\nResults: At 13 yr follow-up, mean serum TSH increased from 1.49 to 1.81 mU/liter, a change in mean TSH (</w:instrText>
      </w:r>
      <w:r>
        <w:rPr>
          <w:rFonts w:ascii="Segoe UI Symbol" w:hAnsi="Segoe UI Symbol" w:cs="Segoe UI Symbol"/>
          <w:color w:val="000000"/>
        </w:rPr>
        <w:instrText>⌬</w:instrText>
      </w:r>
      <w:r>
        <w:rPr>
          <w:color w:val="000000"/>
        </w:rPr>
        <w:instrText xml:space="preserve">TSH) of 0.32 mU/liter [95% confidence interval (CI) 0.27, 0.38, P Ͻ 0.001], whereas mean free T4 concentration was unchanged (16.6 vs. 16.6 pmol/liter, P ϭ 0.7). The TSH increase was most marked in the elderly, such that gender-adjusted </w:instrText>
      </w:r>
      <w:r>
        <w:rPr>
          <w:rFonts w:ascii="Segoe UI Symbol" w:hAnsi="Segoe UI Symbol" w:cs="Segoe UI Symbol"/>
          <w:color w:val="000000"/>
        </w:rPr>
        <w:instrText>⌬</w:instrText>
      </w:r>
      <w:r>
        <w:rPr>
          <w:color w:val="000000"/>
        </w:rPr>
        <w:instrText xml:space="preserve">TSH increased by 0.08 mU/liter (95% CI 0.04, 0.11) for each decade of baseline age. People with higher baseline TSH values had proportionally smaller increases in TSH, with each additional 1.0 mU/liter of baseline TSH associated with a 0.13 mU/liter decrease (age and gender adjusted) in </w:instrText>
      </w:r>
      <w:r>
        <w:rPr>
          <w:rFonts w:ascii="Segoe UI Symbol" w:hAnsi="Segoe UI Symbol" w:cs="Segoe UI Symbol"/>
          <w:color w:val="000000"/>
        </w:rPr>
        <w:instrText>⌬</w:instrText>
      </w:r>
      <w:r>
        <w:rPr>
          <w:color w:val="000000"/>
        </w:rPr>
        <w:instrText xml:space="preserve">TSH (95% CI 0.09, 0.16). The </w:instrText>
      </w:r>
      <w:r>
        <w:rPr>
          <w:rFonts w:ascii="Segoe UI Symbol" w:hAnsi="Segoe UI Symbol" w:cs="Segoe UI Symbol"/>
          <w:color w:val="000000"/>
        </w:rPr>
        <w:instrText>⌬</w:instrText>
      </w:r>
      <w:r>
        <w:rPr>
          <w:color w:val="000000"/>
        </w:rPr>
        <w:instrText xml:space="preserve">TSH did not differ significantly by CAPZB genotype.\nConclusions: Aging is associated with increased serum TSH concentrations, with no change in free T4 concentrations. The largest TSH increase is in people with the lowest TSH at baseline. This suggests that the TSH increase arises from age-related alteration in the TSH set point or reduced TSH bioactivity rather than occult thyroid disease. (J Clin Endocrinol Metab 97: 1554 –1562, 2012)","container-title":"The Journal of Clinical Endocrinology &amp; Metabolism","DOI":"10.1210/jc.2011-3020","ISSN":"0021-972X, 1945-7197","issue":"5","journalAbbreviation":"The Journal of Clinical Endocrinology &amp; Metabolism","language":"en","page":"1554-1562","source":"DOI.org (Crossref)","title":"Age-Related Changes in Thyroid Function: A Longitudinal Study of a Community-Based Cohort","title-short":"Age-Related Changes in Thyroid Function","volume":"97","author":[{"family":"Bremner","given":"Alexandra P."},{"family":"Feddema","given":"Peter"},{"family":"Leedman","given":"Peter J."},{"family":"Brown","given":"Suzanne J."},{"family":"Beilby","given":"John P."},{"family":"Lim","given":"Ee Mun"},{"family":"Wilson","given":"Scott G."},{"family":"O'Leary","given":"Peter C."},{"family":"Walsh","given":"John P."}],"issued":{"date-parts":[["2012",5]]}},"label":"page"},{"id":629,"uris":["http://zotero.org/users/7110448/items/KVGB5TYJ"],"itemData":{"id":629,"type":"article-journal","abstract":"Longevity is associated with changes in circulating levels of thyroid hormone (TH) and/or TSH in animals and humans, but underlying mechanisms remain elusive.We explored in 38 offspring of nonagenarian participants from the Leiden Longevity Study, who are enriched for longevity and in their partners, ultradian and circadian rhythmicity of TSH, temporal relationship, and feedback and forward interplay between TSH and TH.We collected blood samples every 10 minutes for 24 hours for TSH and TH profiles. We used a deconvolution analysis to estimate basal (nonpulsatile), pulsatile, and other secretion parameters to characterize ultradian rhythmicity and locally weighted polynomial regression of TSH to assess circadian rhythmicity. A cross-correlation analysis was used to investigate the temporal relationship between TSH and TH and cross-approximate entropy to assess feedback and forward interplay between TSH and TH.Compared with partners, offspring displayed higher mean (95% confidence interval [CI]) basal TSH secretion (34.3 [95% CI 27.2–43.1] mU/L per 24 hours vs 18.5 [95% CI 14.4–23.7] mU/L per 24 hours, P = .001) but no differences in ultradian or circadian properties of TSH. The temporal relationship between TSH and free T3 at zero delay was higher in offspring (0.48 ± 0.2) compared with partners (0.26 ± 0.4) (P = .05), but the feedback and forward interplay between TSH and TH did not differ.Familial longevity is associated with increased basal TSH secretion and a strong temporal relationship between TSH and free T3 but not with differences in ultradian or circadian TSH rhythmicity or feedback and forward interplay between TSH and TH.","container-title":"The Journal of Clinical Endocrinology &amp; Metabolism","DOI":"10.1210/jc.2015-2624","ISSN":"0021-972X","issue":"10","journalAbbreviation":"The Journal of Clinical Endocrinology &amp; Metabolism","page":"3806-3813","source":"Silverchair","title":"Familial Longevity Is Associated With Higher TSH Secretion and Strong TSH-fT3 Relationship","volume":"100","author":[{"family":"Jansen","given":"Steffy W."},{"family":"Roelfsema","given":"Ferdinand"},{"family":"Spoel","given":"Evie","non-dropping-particle":"van der"},{"family":"Akintola","given":"Abimbola A."},{"family":"Postmus","given":"Iris"},{"family":"Ballieux","given":"Bart E."},{"family":"Slagboom","given":"P. Eline"},{"family":"Cobbaert","given":"Christa M."},{"family":"Grond","given":"Jeroen","non-dropping-particle":"van der"},{"family":"Westendorp","given":"Rudi G."},{"family":"Pijl","given":"Hanno"},{"family":"Heemst","given":"Diana","non-dropping-particle":"van"}],"issued":{"date-parts":[["2015",10,1]]}},"label":"page"}],"schema":"https://github.com/citation-style-language/schema/raw/master/csl-citation.json"} </w:instrText>
      </w:r>
      <w:r w:rsidRPr="00594833">
        <w:rPr>
          <w:color w:val="000000"/>
        </w:rPr>
        <w:fldChar w:fldCharType="separate"/>
      </w:r>
      <w:r w:rsidRPr="00594833">
        <w:rPr>
          <w:color w:val="000000"/>
        </w:rPr>
        <w:t>(11–13)</w:t>
      </w:r>
      <w:r w:rsidRPr="00594833">
        <w:rPr>
          <w:color w:val="000000"/>
        </w:rPr>
        <w:fldChar w:fldCharType="end"/>
      </w:r>
      <w:r w:rsidRPr="00594833">
        <w:rPr>
          <w:color w:val="000000"/>
        </w:rPr>
        <w:t>. Foi apontada maior expectativa de vida para descendentes de indivíduos longevos</w:t>
      </w:r>
      <w:r w:rsidR="00CF0A76">
        <w:rPr>
          <w:color w:val="000000"/>
        </w:rPr>
        <w:t>,</w:t>
      </w:r>
      <w:r w:rsidRPr="00594833">
        <w:rPr>
          <w:color w:val="000000"/>
        </w:rPr>
        <w:t xml:space="preserve"> quando comparados a seus pares em análises subsequentes, </w:t>
      </w:r>
      <w:sdt>
        <w:sdtPr>
          <w:tag w:val="goog_rdk_5"/>
          <w:id w:val="1610005034"/>
        </w:sdtPr>
        <w:sdtContent/>
      </w:sdt>
      <w:r w:rsidRPr="00594833">
        <w:t>sugerind</w:t>
      </w:r>
      <w:r w:rsidRPr="00594833">
        <w:rPr>
          <w:color w:val="000000"/>
        </w:rPr>
        <w:t xml:space="preserve">o hereditariedade do fenótipo longevo </w:t>
      </w:r>
      <w:r w:rsidRPr="00594833">
        <w:rPr>
          <w:color w:val="000000"/>
        </w:rPr>
        <w:fldChar w:fldCharType="begin"/>
      </w:r>
      <w:r>
        <w:rPr>
          <w:color w:val="000000"/>
        </w:rPr>
        <w:instrText xml:space="preserve"> ADDIN ZOTERO_ITEM CSL_CITATION {"citationID":"nhpwfeup","properties":{"unsorted":true,"formattedCitation":"(14,15)","plainCitation":"(14,15)","noteIndex":0},"citationItems":[{"id":637,"uris":["http://zotero.org/users/7110448/items/83N5YFHX"],"itemData":{"id":637,"type":"article-journal","abstract":"Context: Exceptional longevity is associated with raised serum TSH., Objective: The aim of this study was to examine whether offspring of people with exceptional longevity have elevated serum TSH and whether specific single nucleotide polymorphisms (SNPs) in the TSH-B gene and TSH receptor (TSHR) gene are associated with this phenotype., Design/Setting/Patients: We measured serum TSH and free T4 in Ashkenazi Jewish centenarians (n = 232; median age, 97 yr), their offspring (n = 366; median age, 69 yr), and age-matched controls without familial longevity (n = 163; median age, 70 yr). We determined TSH heritability, its distribution, and association with SNPs in the TSH-B and TSHR genes., Results: Offspring had higher median serum TSH [1.68 mIU/liter (97.5% confidence interval, 0.65 to 4.79 mIU/liter)], compared to controls [1.50 mIU/liter (97.5% confidence interval, 0.63 to 3.93 mIU/liter); P = 0.02], with estimated heritability of 0.33 (P = 0.004). Allele frequency of two SNPs in the promoter/enhancer region of TSHR gene, associated with increased serum TSH, was higher in centenarians and their offspring compared to controls (rs10149689 G allele frequency, 0.57 and 0.53 vs. 0.48; P = 0.001 and P = 0.08; odds ratio, 1.56 and 1.22, respectively; and rs12050077 A allele frequency, 0.57 and 0.53 vs. 0.46; P = 0.0001 and P = 0.01; odds ratio, 1.68 and 1.32, respectively). Linkage disequilibrium between the two SNPs was high (r2 = 0.95), suggesting interaction between them. Furthermore, GA haplotype frequency was significantly higher among centenarians and offspring compared to controls (0.57 and 0.53 vs. 0.46; P = 0.0001 and P = 0.01, respectively)., Conclusions: A heritable phenotype characterized by raised serum TSH is associated with human longevity. Carriers of rs12050077 and rs10149689 SNPs in the TSHR have higher serum TSH, possibly contributing to decreased thyroid function and longevity., Offspring of centenarians have elevated serum TSH levels and demonstrate two single nucleotide TSH receptor gene polymorphisms that are associated with higher serum TSH.","container-title":"The Journal of Clinical Endocrinology and Metabolism","DOI":"10.1210/jc.2009-0808","ISSN":"0021-972X","issue":"12","journalAbbreviation":"J Clin Endocrinol Metab","note":"PMID: 19837933\nPMCID: PMC2795660","page":"4768-4775","source":"PubMed Central","title":"Genetic Predisposition to Elevated Serum Thyrotropin Is Associated with Exceptional Longevity","volume":"94","author":[{"family":"Atzmon","given":"Gil"},{"family":"Barzilai","given":"Nir"},{"family":"Surks","given":"Martin I."},{"family":"Gabriely","given":"Ilan"}],"issued":{"date-parts":[["2009",12]]}},"label":"page"},{"id":1310,"uris":["http://zotero.org/users/7110448/items/9XI9UHRJ"],"itemData":{"id":1310,"type":"article-journal","abstract":"CONTEXT: A relation between low thyroid activity and prolonged life span in humans has been observed. Several studies have demonstrated hereditary and genetic influences on thyroid function.\nOBJECTIVE: The objective of the study was to test whether low thyroid activity associated with extreme longevity constitutes a heritable phenotype, which could contribute to the familial longevity observed in the Leiden Longevity Study.\nDESIGN: This was a cross-sectional study.\nSETTING: The study was conducted at a university hospital in the city of Leiden, The Netherlands.\nPARTICIPANTS: Eight hundred fifty-nine nonagenarian siblings (median age 92.9 yr) from 421 long-lived families participated in the study. Families were recruited from the entire Dutch population if at least two long-lived siblings were alive and fulfilled the age criterion of age of 89 yr or older for males and 91 yr or older for females. There were no selection criteria on health or demographic characteristics.\nINTERVENTION: Blood samples were taken for determination of serum parameters of thyroid function.\nMAIN OUTCOME MEASURE: We calculated the family mortality history score of the parents of the nonagenarian siblings and related this to thyroid function parameters in the nonagenarian siblings.\nRESULTS: We found that a lower family mortality history score (less mortality) of the parents of nonagenarian siblings was associated with higher serum TSH levels (P = 0.005) and lower free T(4) levels (P = 0.002) as well as lower free T(3) levels (P = 0.034) in the nonagenarian siblings.\nCONCLUSIONS: Our findings support the previous observation that low thyroid activity in humans constitutes a heritable phenotype that contributes to exceptional familial longevity observed in the Leiden Longevity Study.","container-title":"The Journal of Clinical Endocrinology and Metabolism","DOI":"10.1210/jc.2010-0875","ISSN":"1945-7197","issue":"11","journalAbbreviation":"J Clin Endocrinol Metab","language":"eng","note":"PMID: 20739380","page":"4979-4984","source":"PubMed","title":"Familial longevity is associated with decreased thyroid function","volume":"95","author":[{"family":"Rozing","given":"M. P."},{"family":"Houwing-Duistermaat","given":"J. J."},{"family":"Slagboom","given":"P. E."},{"family":"Beekman","given":"M."},{"family":"Frölich","given":"M."},{"family":"Craen","given":"A. J. M.","non-dropping-particle":"de"},{"family":"Westendorp","given":"R. G. J."},{"family":"Heemst","given":"D.","non-dropping-particle":"van"}],"issued":{"date-parts":[["2010",11]]}},"label":"page"}],"schema":"https://github.com/citation-style-language/schema/raw/master/csl-citation.json"} </w:instrText>
      </w:r>
      <w:r w:rsidRPr="00594833">
        <w:rPr>
          <w:color w:val="000000"/>
        </w:rPr>
        <w:fldChar w:fldCharType="separate"/>
      </w:r>
      <w:r w:rsidRPr="00594833">
        <w:rPr>
          <w:noProof/>
          <w:color w:val="000000"/>
        </w:rPr>
        <w:t>(14,15)</w:t>
      </w:r>
      <w:r w:rsidRPr="00594833">
        <w:rPr>
          <w:color w:val="000000"/>
        </w:rPr>
        <w:fldChar w:fldCharType="end"/>
      </w:r>
      <w:r w:rsidRPr="00594833">
        <w:rPr>
          <w:color w:val="000000"/>
        </w:rPr>
        <w:t xml:space="preserve">. </w:t>
      </w:r>
      <w:r w:rsidRPr="00594833">
        <w:t>Mesmo que a maior influência</w:t>
      </w:r>
      <w:r w:rsidRPr="00594833">
        <w:rPr>
          <w:color w:val="000000"/>
        </w:rPr>
        <w:t xml:space="preserve"> na determinação da função tireoidiana tenha sido atribuída à arquitetura genética do eixo</w:t>
      </w:r>
      <w:r>
        <w:rPr>
          <w:color w:val="000000"/>
        </w:rPr>
        <w:t xml:space="preserve"> hipotálamo</w:t>
      </w:r>
      <w:r w:rsidR="00CF0A76">
        <w:rPr>
          <w:color w:val="000000"/>
        </w:rPr>
        <w:t>-</w:t>
      </w:r>
      <w:r>
        <w:rPr>
          <w:color w:val="000000"/>
        </w:rPr>
        <w:t>hipófise</w:t>
      </w:r>
      <w:r w:rsidR="00CF0A76">
        <w:rPr>
          <w:color w:val="000000"/>
        </w:rPr>
        <w:t>-</w:t>
      </w:r>
      <w:r>
        <w:rPr>
          <w:color w:val="000000"/>
        </w:rPr>
        <w:t xml:space="preserve"> tireoide</w:t>
      </w:r>
      <w:r w:rsidRPr="00594833">
        <w:rPr>
          <w:color w:val="000000"/>
        </w:rPr>
        <w:t>, a maio</w:t>
      </w:r>
      <w:r w:rsidRPr="00594833">
        <w:t xml:space="preserve">r parte </w:t>
      </w:r>
      <w:r w:rsidRPr="00594833">
        <w:rPr>
          <w:color w:val="000000"/>
        </w:rPr>
        <w:t xml:space="preserve">dos genes responsáveis por isso ainda é bastante desconhecida </w:t>
      </w:r>
      <w:r w:rsidRPr="00594833">
        <w:rPr>
          <w:color w:val="000000"/>
        </w:rPr>
        <w:fldChar w:fldCharType="begin"/>
      </w:r>
      <w:r>
        <w:rPr>
          <w:color w:val="000000"/>
        </w:rPr>
        <w:instrText xml:space="preserve"> ADDIN ZOTERO_ITEM CSL_CITATION {"citationID":"dnnmY1aw","properties":{"unsorted":true,"formattedCitation":"(16,9)","plainCitation":"(16,9)","noteIndex":0},"citationItems":[{"id":766,"uris":["http://zotero.org/users/7110448/items/9NFMWNE3"],"itemData":{"id":766,"type":"article-journal","abstract":"Genetics play a prominent role in both determination of thyroid hormone and thyrotropin (TSH) concentrations, and susceptibility to autoimmune thyroid disease. Heritability studies have suggested that up to 67% of circulating thyroid hormone and TSH concentrations are genetically determined, suggesting a genetic basis for narrow intra-individual variation in levels, perhaps a genetic ‘set point’. The search for the genes responsible has revealed several candidates, including the genes for phosphodiesterase 8B, iodothyronine deiodinase 1, F-actin-capping protein subunit beta and the TSH receptor; however, each of these only contributes a small amount to the variability of hormone concentrations, suggesting that further genes and mechanisms of genetic influence are yet to be discovered. Some genes known to influence thyroid function, including iodothyronine deiodinase 2 and the TSH receptor, have been shown to influence a wide range of clinical and developmental phenotypes from bone health to neurological development and longevity; such observations will help us understand the complex action of thyroid hormones on individual tissues. Finally, autoimmune thyroid disease commonly runs in families, and the search for genes which increase susceptibility has identified several good candidates, particularly those involved in immune regulation and thyroid function. However, these genes alone account for only a small percentage of the current prevalence of these disorders. Although the advancement of genetic technology has led to many significant findings in the last decade or two, it is clear that we are only just beginning to understand the role of genetics in thyroid function and disease.","container-title":"The Clinical Biochemist Reviews","ISSN":"0159-8090","issue":"4","journalAbbreviation":"Clin Biochem Rev","note":"PMID: 22147956\nPMCID: PMC3219766","page":"165-175","source":"PubMed Central","title":"Genetics of Thyroid Function and Disease","volume":"32","author":[{"family":"Panicker","given":"Vijay"}],"issued":{"date-parts":[["2011",11]]}},"label":"page"},{"id":93,"uris":["http://zotero.org/users/7110448/items/CK8FU3ZB"],"itemData":{"id":93,"type":"article-journal","abstract":"Abstract\n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P"},{"family":"Medici","given":"Marco"}],"issued":{"date-parts":[["2020",6,1]]}},"label":"page"}],"schema":"https://github.com/citation-style-language/schema/raw/master/csl-citation.json"} </w:instrText>
      </w:r>
      <w:r w:rsidRPr="00594833">
        <w:rPr>
          <w:color w:val="000000"/>
        </w:rPr>
        <w:fldChar w:fldCharType="separate"/>
      </w:r>
      <w:r w:rsidRPr="00594833">
        <w:rPr>
          <w:noProof/>
          <w:color w:val="000000"/>
        </w:rPr>
        <w:t>(16,9)</w:t>
      </w:r>
      <w:r w:rsidRPr="00594833">
        <w:rPr>
          <w:color w:val="000000"/>
        </w:rPr>
        <w:fldChar w:fldCharType="end"/>
      </w:r>
      <w:r w:rsidRPr="00594833">
        <w:rPr>
          <w:color w:val="000000"/>
        </w:rPr>
        <w:t xml:space="preserve">. </w:t>
      </w:r>
    </w:p>
    <w:p w14:paraId="36479B25" w14:textId="355BF3A0" w:rsidR="00CC29CE" w:rsidRDefault="00D74824" w:rsidP="00D74824">
      <w:pPr>
        <w:spacing w:line="360" w:lineRule="auto"/>
        <w:ind w:right="57"/>
        <w:jc w:val="both"/>
        <w:rPr>
          <w:color w:val="000000"/>
        </w:rPr>
      </w:pPr>
      <w:r>
        <w:t xml:space="preserve">     </w:t>
      </w:r>
      <w:r w:rsidRPr="00594833">
        <w:t>No entanto, n</w:t>
      </w:r>
      <w:r w:rsidRPr="00594833">
        <w:rPr>
          <w:color w:val="000000"/>
        </w:rPr>
        <w:t xml:space="preserve">as duas últimas décadas, </w:t>
      </w:r>
      <w:r w:rsidRPr="00594833">
        <w:t>algumas</w:t>
      </w:r>
      <w:r w:rsidRPr="00594833">
        <w:rPr>
          <w:color w:val="000000"/>
        </w:rPr>
        <w:t xml:space="preserve"> variantes genéticas foram associadas a </w:t>
      </w:r>
      <w:r>
        <w:t xml:space="preserve">parâmetros </w:t>
      </w:r>
      <w:r w:rsidRPr="00594833">
        <w:rPr>
          <w:color w:val="000000"/>
        </w:rPr>
        <w:t>séricos d</w:t>
      </w:r>
      <w:r>
        <w:t>os hormônios tireoidianos</w:t>
      </w:r>
      <w:r w:rsidRPr="00594833">
        <w:rPr>
          <w:color w:val="000000"/>
        </w:rPr>
        <w:t xml:space="preserve"> em estudos de genes candidatos </w:t>
      </w:r>
      <w:r w:rsidRPr="00594833">
        <w:rPr>
          <w:color w:val="000000"/>
        </w:rPr>
        <w:fldChar w:fldCharType="begin"/>
      </w:r>
      <w:r>
        <w:rPr>
          <w:color w:val="000000"/>
        </w:rPr>
        <w:instrText xml:space="preserve"> ADDIN ZOTERO_ITEM CSL_CITATION {"citationID":"EFLJw8eC","properties":{"formattedCitation":"(9)","plainCitation":"(9)","noteIndex":0},"citationItems":[{"id":93,"uris":["http://zotero.org/users/7110448/items/CK8FU3ZB"],"itemData":{"id":93,"type":"article-journal","abstract":"Abstract\n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P"},{"family":"Medici","given":"Marco"}],"issued":{"date-parts":[["2020",6,1]]}}}],"schema":"https://github.com/citation-style-language/schema/raw/master/csl-citation.json"} </w:instrText>
      </w:r>
      <w:r w:rsidRPr="00594833">
        <w:rPr>
          <w:color w:val="000000"/>
        </w:rPr>
        <w:fldChar w:fldCharType="separate"/>
      </w:r>
      <w:r w:rsidRPr="00594833">
        <w:rPr>
          <w:noProof/>
          <w:color w:val="000000"/>
        </w:rPr>
        <w:t>(9)</w:t>
      </w:r>
      <w:r w:rsidRPr="00594833">
        <w:rPr>
          <w:color w:val="000000"/>
        </w:rPr>
        <w:fldChar w:fldCharType="end"/>
      </w:r>
      <w:r w:rsidRPr="00594833">
        <w:rPr>
          <w:color w:val="000000"/>
        </w:rPr>
        <w:t>. Mais recentemente, a realização de grandes estudos populacionais</w:t>
      </w:r>
      <w:r w:rsidR="00CF0A76">
        <w:rPr>
          <w:color w:val="000000"/>
        </w:rPr>
        <w:t>,</w:t>
      </w:r>
      <w:r w:rsidRPr="00594833">
        <w:rPr>
          <w:color w:val="000000"/>
        </w:rPr>
        <w:t xml:space="preserve"> com extensa genotipage</w:t>
      </w:r>
      <w:r w:rsidRPr="00594833">
        <w:t>m</w:t>
      </w:r>
      <w:r w:rsidR="00CF0A76">
        <w:t>,</w:t>
      </w:r>
      <w:r w:rsidRPr="00594833">
        <w:t xml:space="preserve"> vem </w:t>
      </w:r>
      <w:r w:rsidRPr="00594833">
        <w:rPr>
          <w:color w:val="000000"/>
        </w:rPr>
        <w:t>impulsion</w:t>
      </w:r>
      <w:r w:rsidRPr="00594833">
        <w:t>ando</w:t>
      </w:r>
      <w:r w:rsidRPr="00594833">
        <w:rPr>
          <w:color w:val="000000"/>
        </w:rPr>
        <w:t xml:space="preserve"> a descoberta de diversos polimorfismos de nucleotídeo único</w:t>
      </w:r>
      <w:r w:rsidR="00CF0A76">
        <w:rPr>
          <w:color w:val="000000"/>
        </w:rPr>
        <w:t>,</w:t>
      </w:r>
      <w:r w:rsidRPr="00594833">
        <w:rPr>
          <w:color w:val="000000"/>
        </w:rPr>
        <w:t xml:space="preserve"> </w:t>
      </w:r>
      <w:r w:rsidRPr="00594833">
        <w:t>a</w:t>
      </w:r>
      <w:r w:rsidRPr="00594833">
        <w:rPr>
          <w:color w:val="000000"/>
        </w:rPr>
        <w:t xml:space="preserve">ssociados </w:t>
      </w:r>
      <w:r w:rsidRPr="00594833">
        <w:t>à</w:t>
      </w:r>
      <w:r w:rsidRPr="00594833">
        <w:rPr>
          <w:color w:val="000000"/>
        </w:rPr>
        <w:t xml:space="preserve"> função tireoidiana </w:t>
      </w:r>
      <w:r w:rsidRPr="00594833">
        <w:rPr>
          <w:color w:val="000000"/>
        </w:rPr>
        <w:fldChar w:fldCharType="begin"/>
      </w:r>
      <w:r>
        <w:rPr>
          <w:color w:val="000000"/>
        </w:rPr>
        <w:instrText xml:space="preserve"> ADDIN ZOTERO_ITEM CSL_CITATION {"citationID":"EIMbcJfH","properties":{"unsorted":true,"formattedCitation":"(17\\uc0\\u8211{}19)","plainCitation":"(17–19)","noteIndex":0},"citationItems":[{"id":205,"uris":["http://zotero.org/users/7110448/items/JCFSMWBQ"],"itemData":{"id":205,"type":"article-journal","abstract":"Abstract\n            \n              Normal thyroid function is essential for health, but its genetic architecture remains poorly understood. Here, for the heritable thyroid traits thyrotropin (TSH) and free thyroxine (FT4), we analyse whole-genome sequence data from the UK10K project (\n              N\n              =2,287). Using additional whole-genome sequence and deeply imputed data sets, we report meta-analysis results for common variants (MAF≥1%) associated with TSH and FT4 (\n              N\n              =16,335). For TSH, we identify a novel variant in\n              SYN2\n              (MAF=23.5%,\n              P\n              =6.15 × 10\n              −9\n              ) and a new independent variant in\n              PDE8B\n              (MAF=10.4%,\n              P\n              =5.94 × 10\n              −14\n              ). For FT4, we report a low-frequency variant near\n              B4GALT6/SLC25A52\n              (MAF=3.2%,\n              P\n              =1.27 × 10\n              −9\n              ) tagging a rare\n              TTR\n              variant (MAF=0.4%,\n              P\n              =2.14 × 10\n              −11\n              ). All common variants explain ≥20% of the variance in TSH and FT4. Analysis of rare variants (MAF&lt;1%) using sequence kernel association testing reveals a novel association with FT4 in\n              NRG1.\n              Our results demonstrate that increased coverage in whole-genome sequence association studies identifies novel variants associated with thyroid function.","container-title":"Nature Communications","DOI":"10.1038/ncomms6681","ISSN":"2041-1723","issue":"1","journalAbbreviation":"Nat Commun","language":"en","page":"5681","source":"DOI.org (Crossref)","title":"Whole-genome sequence-based analysis of thyroid function","volume":"6","author":[{"literal":"The UK10K Consortium"},{"family":"Taylor","given":"Peter N."},{"family":"Porcu","given":"Eleonora"},{"family":"Chew","given":"Shelby"},{"family":"Campbell","given":"Purdey J."},{"family":"Traglia","given":"Michela"},{"family":"Brown","given":"Suzanne J."},{"family":"Mullin","given":"Benjamin H."},{"family":"Shihab","given":"Hashem A."},{"family":"Min","given":"Josine"},{"family":"Walter","given":"Klaudia"},{"family":"Memari","given":"Yasin"},{"family":"Huang","given":"Jie"},{"family":"Barnes","given":"Michael R."},{"family":"Beilby","given":"John P."},{"family":"Charoen","given":"Pimphen"},{"family":"Danecek","given":"Petr"},{"family":"Dudbridge","given":"Frank"},{"family":"Forgetta","given":"Vincenzo"},{"family":"Greenwood","given":"Celia"},{"family":"Grundberg","given":"Elin"},{"family":"Johnson","given":"Andrew D."},{"family":"Hui","given":"Jennie"},{"family":"Lim","given":"Ee M."},{"family":"McCarthy","given":"Shane"},{"family":"Muddyman","given":"Dawn"},{"family":"Panicker","given":"Vijay"},{"family":"Perry","given":"John R.B."},{"family":"Bell","given":"Jordana T."},{"family":"Yuan","given":"Wei"},{"family":"Relton","given":"Caroline"},{"family":"Gaunt","given":"Tom"},{"family":"Schlessinger","given":"David"},{"family":"Abecasis","given":"Goncalo"},{"family":"Cucca","given":"Francesco"},{"family":"Surdulescu","given":"Gabriela L."},{"family":"Woltersdorf","given":"Wolfram"},{"family":"Zeggini","given":"Eleftheria"},{"family":"Zheng","given":"Hou-Feng"},{"family":"Toniolo","given":"Daniela"},{"family":"Dayan","given":"Colin M."},{"family":"Naitza","given":"Silvia"},{"family":"Walsh","given":"John P."},{"family":"Spector","given":"Tim"},{"family":"Davey Smith","given":"George"},{"family":"Durbin","given":"Richard"},{"family":"Brent Richards","given":"J."},{"family":"Sanna","given":"Serena"},{"family":"Soranzo","given":"Nicole"},{"family":"Timpson","given":"Nicholas J."},{"family":"Wilson","given":"Scott G."}],"issued":{"date-parts":[["2015",5,5]]}},"label":"page"},{"id":99,"uris":["http://zotero.org/users/7110448/items/3VVWNZR7"],"itemData":{"id":99,"type":"article-journal","container-title":"Nature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J."},{"family":"Medici","given":"Marco"}],"issued":{"date-parts":[["2018",12]]}},"label":"page"},{"id":98,"uris":["http://zotero.org/users/7110448/items/NWD9PBLZ"],"itemData":{"id":98,"type":"article-journal","container-title":"Nature Communications","DOI":"10.1038/s41467-020-17718-z","ISSN":"2041-1723","issue":"1","journalAbbreviation":"Nat Commun","language":"en","page":"3981","source":"DOI.org (Crossref)","title":"GWAS of thyroid stimulating hormone highlights pleiotropic effects and inverse association with thyroid cancer","volume":"11","author":[{"family":"Zhou","given":"Wei"},{"family":"Brumpton","given":"Ben"},{"family":"Kabil","given":"Omer"},{"family":"Gudmundsson","given":"Julius"},{"family":"Thorleifsson","given":"Gudmar"},{"family":"Weinstock","given":"Josh"},{"family":"Zawistowski","given":"Matthew"},{"family":"Nielsen","given":"Jonas B."},{"family":"Chaker","given":"Layal"},{"family":"Medici","given":"Marco"},{"family":"Teumer","given":"Alexander"},{"family":"Naitza","given":"Silvia"},{"family":"Sanna","given":"Serena"},{"family":"Schultheiss","given":"Ulla T."},{"family":"Cappola","given":"Anne"},{"family":"Karjalainen","given":"Juha"},{"family":"Kurki","given":"Mitja"},{"family":"Oneka","given":"Morgan"},{"family":"Taylor","given":"Peter"},{"family":"Fritsche","given":"Lars G."},{"family":"Graham","given":"Sarah E."},{"family":"Wolford","given":"Brooke N."},{"family":"Overton","given":"William"},{"family":"Rasheed","given":"Humaira"},{"family":"Haug","given":"Eirin B."},{"family":"Gabrielsen","given":"Maiken E."},{"family":"Skogholt","given":"Anne Heidi"},{"family":"Surakka","given":"Ida"},{"family":"Davey Smith","given":"George"},{"family":"Pandit","given":"Anita"},{"family":"Roychowdhury","given":"Tanmoy"},{"family":"Hornsby","given":"Whitney E."},{"family":"Jonasson","given":"Jon G."},{"family":"Senter","given":"Leigha"},{"family":"Liyanarachchi","given":"Sandya"},{"family":"Ringel","given":"Matthew D."},{"family":"Xu","given":"Li"},{"family":"Kiemeney","given":"Lambertus A."},{"family":"He","given":"Huiling"},{"family":"Netea-Maier","given":"Romana T."},{"family":"Mayordomo","given":"Jose I."},{"family":"Plantinga","given":"Theo S."},{"family":"Hrafnkelsson","given":"Jon"},{"family":"Hjartarson","given":"Hannes"},{"family":"Sturgis","given":"Erich M."},{"family":"Palotie","given":"Aarno"},{"family":"Daly","given":"Mark"},{"family":"Citterio","given":"Cintia E."},{"family":"Arvan","given":"Peter"},{"family":"Brummett","given":"Chad M."},{"family":"Boehnke","given":"Michael"},{"family":"Chapelle","given":"Albert","non-dropping-particle":"de la"},{"family":"Stefansson","given":"Kari"},{"family":"Hveem","given":"Kristian"},{"family":"Willer","given":"Cristen J."},{"family":"Åsvold","given":"Bjørn Olav"}],"issued":{"date-parts":[["2020",12]]}},"label":"page"}],"schema":"https://github.com/citation-style-language/schema/raw/master/csl-citation.json"} </w:instrText>
      </w:r>
      <w:r w:rsidRPr="00594833">
        <w:rPr>
          <w:color w:val="000000"/>
        </w:rPr>
        <w:fldChar w:fldCharType="separate"/>
      </w:r>
      <w:r w:rsidRPr="00594833">
        <w:rPr>
          <w:color w:val="000000"/>
        </w:rPr>
        <w:t>(17–19)</w:t>
      </w:r>
      <w:r w:rsidRPr="00594833">
        <w:rPr>
          <w:color w:val="000000"/>
        </w:rPr>
        <w:fldChar w:fldCharType="end"/>
      </w:r>
      <w:r w:rsidRPr="00594833">
        <w:rPr>
          <w:color w:val="000000"/>
        </w:rPr>
        <w:t xml:space="preserve">. </w:t>
      </w:r>
      <w:r w:rsidRPr="00594833">
        <w:t>Portanto, é possível que,</w:t>
      </w:r>
      <w:r w:rsidRPr="00594833">
        <w:rPr>
          <w:color w:val="000000"/>
        </w:rPr>
        <w:t xml:space="preserve"> além das variantes genéticas</w:t>
      </w:r>
      <w:r w:rsidRPr="00594833">
        <w:t xml:space="preserve"> mais</w:t>
      </w:r>
      <w:r w:rsidRPr="00594833">
        <w:rPr>
          <w:color w:val="000000"/>
        </w:rPr>
        <w:t xml:space="preserve"> raras, </w:t>
      </w:r>
      <w:r w:rsidRPr="00594833">
        <w:rPr>
          <w:color w:val="000000"/>
        </w:rPr>
        <w:lastRenderedPageBreak/>
        <w:t>com</w:t>
      </w:r>
      <w:r w:rsidRPr="00594833">
        <w:t xml:space="preserve"> maior efeito</w:t>
      </w:r>
      <w:r w:rsidRPr="00594833">
        <w:rPr>
          <w:color w:val="000000"/>
        </w:rPr>
        <w:t xml:space="preserve"> (mutações), </w:t>
      </w:r>
      <w:r w:rsidR="00CF0A76">
        <w:rPr>
          <w:color w:val="000000"/>
        </w:rPr>
        <w:t>haja</w:t>
      </w:r>
      <w:r w:rsidR="00CF0A76" w:rsidRPr="00594833">
        <w:t xml:space="preserve"> </w:t>
      </w:r>
      <w:r w:rsidRPr="00594833">
        <w:t xml:space="preserve">diversos </w:t>
      </w:r>
      <w:r>
        <w:t>polimorfismos</w:t>
      </w:r>
      <w:r w:rsidRPr="00594833">
        <w:t xml:space="preserve">, representando </w:t>
      </w:r>
      <w:r w:rsidRPr="00594833">
        <w:rPr>
          <w:color w:val="000000"/>
        </w:rPr>
        <w:t>variantes mais comuns e com efeitos mais modestos, impactando</w:t>
      </w:r>
      <w:r w:rsidRPr="00594833">
        <w:t xml:space="preserve"> na função tireoidiana </w:t>
      </w:r>
      <w:r w:rsidRPr="00594833">
        <w:fldChar w:fldCharType="begin"/>
      </w:r>
      <w:r>
        <w:instrText xml:space="preserve"> ADDIN ZOTERO_ITEM CSL_CITATION {"citationID":"G44hyOCj","properties":{"formattedCitation":"(9)","plainCitation":"(9)","noteIndex":0},"citationItems":[{"id":93,"uris":["http://zotero.org/users/7110448/items/CK8FU3ZB"],"itemData":{"id":93,"type":"article-journal","abstract":"Abstract\n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P"},{"family":"Medici","given":"Marco"}],"issued":{"date-parts":[["2020",6,1]]}}}],"schema":"https://github.com/citation-style-language/schema/raw/master/csl-citation.json"} </w:instrText>
      </w:r>
      <w:r w:rsidRPr="00594833">
        <w:fldChar w:fldCharType="separate"/>
      </w:r>
      <w:r w:rsidRPr="00594833">
        <w:rPr>
          <w:noProof/>
        </w:rPr>
        <w:t>(9)</w:t>
      </w:r>
      <w:r w:rsidRPr="00594833">
        <w:fldChar w:fldCharType="end"/>
      </w:r>
      <w:r w:rsidRPr="00594833">
        <w:t xml:space="preserve">. </w:t>
      </w:r>
      <w:r w:rsidR="00BF5CB9" w:rsidRPr="00107D53">
        <w:rPr>
          <w:color w:val="000000"/>
        </w:rPr>
        <w:t>Como es</w:t>
      </w:r>
      <w:r w:rsidR="00CF0A76">
        <w:rPr>
          <w:color w:val="000000"/>
        </w:rPr>
        <w:t>s</w:t>
      </w:r>
      <w:r w:rsidR="00BF5CB9" w:rsidRPr="00107D53">
        <w:rPr>
          <w:color w:val="000000"/>
        </w:rPr>
        <w:t>es grandes estudos do genoma foram realizados em populaç</w:t>
      </w:r>
      <w:r w:rsidR="00BF5CB9" w:rsidRPr="00107D53">
        <w:t>ão adulta</w:t>
      </w:r>
      <w:r w:rsidR="00CF0A76">
        <w:t>,</w:t>
      </w:r>
      <w:r w:rsidR="00BF5CB9" w:rsidRPr="00107D53">
        <w:t xml:space="preserve"> com amplo espectro de idade</w:t>
      </w:r>
      <w:r w:rsidR="00BF5CB9" w:rsidRPr="00107D53">
        <w:rPr>
          <w:color w:val="000000"/>
        </w:rPr>
        <w:t xml:space="preserve">, não é </w:t>
      </w:r>
      <w:r w:rsidR="00BF5CB9" w:rsidRPr="00107D53">
        <w:t>aceitá</w:t>
      </w:r>
      <w:r w:rsidR="00BF5CB9" w:rsidRPr="00107D53">
        <w:rPr>
          <w:color w:val="000000"/>
        </w:rPr>
        <w:t xml:space="preserve">vel extrapolar </w:t>
      </w:r>
      <w:r w:rsidR="00BF5CB9" w:rsidRPr="00107D53">
        <w:t>es</w:t>
      </w:r>
      <w:r w:rsidR="00CF0A76">
        <w:t>s</w:t>
      </w:r>
      <w:r w:rsidR="00BF5CB9" w:rsidRPr="00107D53">
        <w:t xml:space="preserve">es </w:t>
      </w:r>
      <w:r w:rsidR="00BF5CB9" w:rsidRPr="00107D53">
        <w:rPr>
          <w:color w:val="000000"/>
        </w:rPr>
        <w:t>dados para população</w:t>
      </w:r>
      <w:r w:rsidR="00BF5CB9" w:rsidRPr="00107D53">
        <w:t xml:space="preserve"> geriátrica</w:t>
      </w:r>
      <w:r w:rsidR="00BF5CB9" w:rsidRPr="00107D53">
        <w:rPr>
          <w:color w:val="000000"/>
        </w:rPr>
        <w:t xml:space="preserve">. Por isso, não </w:t>
      </w:r>
      <w:r w:rsidR="00CF0A76">
        <w:rPr>
          <w:color w:val="000000"/>
        </w:rPr>
        <w:t xml:space="preserve">se </w:t>
      </w:r>
      <w:r w:rsidR="00BF5CB9" w:rsidRPr="00107D53">
        <w:rPr>
          <w:color w:val="000000"/>
        </w:rPr>
        <w:t xml:space="preserve">pode afirmar que os </w:t>
      </w:r>
      <w:r w:rsidR="00260F52" w:rsidRPr="00107D53">
        <w:rPr>
          <w:color w:val="000000"/>
        </w:rPr>
        <w:t xml:space="preserve">polimorfismos </w:t>
      </w:r>
      <w:r w:rsidR="00BF5CB9" w:rsidRPr="00107D53">
        <w:rPr>
          <w:color w:val="000000"/>
        </w:rPr>
        <w:t xml:space="preserve">encontrados são de fato </w:t>
      </w:r>
      <w:r w:rsidR="00260F52" w:rsidRPr="00107D53">
        <w:rPr>
          <w:color w:val="000000"/>
        </w:rPr>
        <w:t>relevantes</w:t>
      </w:r>
      <w:r w:rsidR="00BF5CB9" w:rsidRPr="00107D53">
        <w:rPr>
          <w:color w:val="000000"/>
        </w:rPr>
        <w:t xml:space="preserve"> </w:t>
      </w:r>
      <w:r w:rsidR="001C3DB5" w:rsidRPr="00107D53">
        <w:rPr>
          <w:color w:val="000000"/>
        </w:rPr>
        <w:t xml:space="preserve">na determinação dos níveis séricos dos hormônios tireoidianos </w:t>
      </w:r>
      <w:r w:rsidR="004531D7" w:rsidRPr="00107D53">
        <w:rPr>
          <w:color w:val="000000"/>
        </w:rPr>
        <w:t>n</w:t>
      </w:r>
      <w:r w:rsidR="00BF5CB9" w:rsidRPr="00107D53">
        <w:rPr>
          <w:color w:val="000000"/>
        </w:rPr>
        <w:t xml:space="preserve">o idoso </w:t>
      </w:r>
      <w:r w:rsidR="00BF5CB9">
        <w:rPr>
          <w:color w:val="000000"/>
        </w:rPr>
        <w:fldChar w:fldCharType="begin"/>
      </w:r>
      <w:r w:rsidR="004C3BF7" w:rsidRPr="00107D53">
        <w:rPr>
          <w:color w:val="000000"/>
        </w:rPr>
        <w:instrText xml:space="preserve"> ADDIN ZOTERO_ITEM CSL_CITATION {"citationID":"v6giRlBX","properties":{"formattedCitation":"(20)","plainCitation":"(20)","noteIndex":0},"citationItems":[{"id":938,"uris":["http://zotero.org/users/7110448/items/FW63BDGL"],"itemData":{"id":938,"type":"article-journal","abstract":"Type II deiodinase (D2) is important in the regulation of local thyroid hormone bioactivity in certain tissues. D2 in skeletal muscle may also play a role in serum triiodothyronine (T(3)) production. In this study, we identified a polymorphism in the 5'-UTR of the D2 gene (D2-ORFa-Gly3Asp). We investigated the association of D2-ORFa-Gly3Asp, and of the previously identified D2-Thr92Ala polymorphism, with serum iodothyronine levels. D2-ORFa-Gly3Asp was identified by sequencing the 5'-UTR of 15 randomly sele</w:instrText>
      </w:r>
      <w:r w:rsidR="004C3BF7" w:rsidRPr="00F1556E">
        <w:rPr>
          <w:color w:val="000000"/>
        </w:rPr>
        <w:instrText>cted individuals. Genotypes for D2-ORFa-Gly3Asp were determined in 156 healthy blood donors (age 46.3 +/- 12.2 yr) and 349 ambulant elderly men (age 77.7 +/- 3.5 yr) and rel</w:instrText>
      </w:r>
      <w:r w:rsidR="004C3BF7" w:rsidRPr="00722C72">
        <w:rPr>
          <w:color w:val="000000"/>
        </w:rPr>
        <w:instrText>ated to serum iodothyronine and TSH lev</w:instrText>
      </w:r>
      <w:r w:rsidR="004C3BF7">
        <w:rPr>
          <w:color w:val="000000"/>
        </w:rPr>
        <w:instrText xml:space="preserve">els. D2-ORFa-Asp(3) had an allele frequency of 33.9% in blood bank donors and was associated with serum thyroxine (T(4); Gly/Gly vs. Gly/Asp vs. Asp/Asp = 7.06 +/- 0.14 vs. 6.74 +/- 0.15 vs. 6.29 +/- 0.27 microg/dl, P = 0.01), free T(4) (1.22 +/- 0.02 vs. 1.16 +/- 0.02 vs. 1.06 +/- 0.04 ng/dl, P = 0.001), reverse T(3) (P = 0.01), and T(3)/T(4) ratio (P = 0.002) in a dose-dependent manner, but not with serum T(3) (P = 0.59). In elderly men, D2-ORFa-Asp(3) had a similar frequency but was not associated with serum iodothyronine levels. This new polymorphism in the 5'-UTR of D2 is associated with iodothyronine levels in blood donors but not in elderly men. We hypothesize that this might be explained by the decline in skeletal muscle size during aging, resulting in a relative decrease in the contribution of D2 to serum T(3) production.","container-title":"American Journal of Physiology. Endocrinology and Metabolism","DOI":"10.1152/ajpendo.00571.2004","ISSN":"0193-1849","issue":"1","journalAbbreviation":"Am J Physiol Endocrinol Metab","language":"eng","note":"PMID: 15727947","page":"E75-81","source":"PubMed","title":"A new polymorphism in the type II deiodinase gene is associated with circulating thyroid hormone parameters","volume":"289","author":[{"family":"Peeters","given":"Robin P."},{"family":"Beld","given":"Annewieke W.","non-dropping-particle":"van den"},{"family":"Attalki","given":"Hayat"},{"family":"Toor","given":"Hans","dropping-particle":"van"},{"family":"Rijke","given":"Yolanda B.","non-dropping-particle":"de"},{"family":"Kuiper","given":"George G. J. M."},{"family":"Lamberts","given":"Steven W. J."},{"family":"Janssen","given":"Joop A. M. J. L."},{"family":"Uitterlinden","given":"Andre G."},{"family":"Visser","given":"Theo J."}],"issued":{"date-parts":[["2005",7]]}}}],"schema":"https://github.com/citation-style-language/schema/raw/master/csl-citation.json"} </w:instrText>
      </w:r>
      <w:r w:rsidR="00BF5CB9">
        <w:rPr>
          <w:color w:val="000000"/>
        </w:rPr>
        <w:fldChar w:fldCharType="separate"/>
      </w:r>
      <w:r w:rsidR="00BF5CB9">
        <w:rPr>
          <w:noProof/>
          <w:color w:val="000000"/>
        </w:rPr>
        <w:t>(20)</w:t>
      </w:r>
      <w:r w:rsidR="00BF5CB9">
        <w:rPr>
          <w:color w:val="000000"/>
        </w:rPr>
        <w:fldChar w:fldCharType="end"/>
      </w:r>
      <w:r w:rsidR="00247B36">
        <w:rPr>
          <w:color w:val="000000"/>
        </w:rPr>
        <w:t>. A importância de compreender</w:t>
      </w:r>
      <w:r w:rsidR="001C3DB5">
        <w:rPr>
          <w:color w:val="000000"/>
        </w:rPr>
        <w:t xml:space="preserve"> melhor as mudanças no ponto de ajuste da função tireoidiana na população geriátrica </w:t>
      </w:r>
      <w:r w:rsidR="00247B36">
        <w:rPr>
          <w:color w:val="000000"/>
        </w:rPr>
        <w:t xml:space="preserve">é pelo fato de grandes estudos observacionais e populacionais terem associado variações na função tireoidiana, ainda que dentro da faixa de referência, a desfechos clínicos negativos </w:t>
      </w:r>
      <w:r w:rsidR="00247B36">
        <w:rPr>
          <w:color w:val="000000"/>
        </w:rPr>
        <w:fldChar w:fldCharType="begin"/>
      </w:r>
      <w:r w:rsidR="00344DCD">
        <w:rPr>
          <w:color w:val="000000"/>
        </w:rPr>
        <w:instrText xml:space="preserve"> ADDIN ZOTERO_ITEM CSL_CITATION {"citationID":"oynse252","properties":{"formattedCitation":"(9)","plainCitation":"(9)","noteIndex":0},"citationItems":[{"id":93,"uris":["http://zotero.org/users/7110448/items/CK8FU3ZB"],"itemData":{"id":93,"type":"article-journal","abstract":"Abstract\n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P"},{"family":"Medici","given":"Marco"}],"issued":{"date-parts":[["2020",6,1]]}}}],"schema":"https://github.com/citation-style-language/schema/raw/master/csl-citation.json"} </w:instrText>
      </w:r>
      <w:r w:rsidR="00247B36">
        <w:rPr>
          <w:color w:val="000000"/>
        </w:rPr>
        <w:fldChar w:fldCharType="separate"/>
      </w:r>
      <w:r w:rsidR="00247B36">
        <w:rPr>
          <w:noProof/>
          <w:color w:val="000000"/>
        </w:rPr>
        <w:t>(9)</w:t>
      </w:r>
      <w:r w:rsidR="00247B36">
        <w:rPr>
          <w:color w:val="000000"/>
        </w:rPr>
        <w:fldChar w:fldCharType="end"/>
      </w:r>
      <w:r w:rsidR="00247B36">
        <w:rPr>
          <w:color w:val="000000"/>
        </w:rPr>
        <w:t xml:space="preserve">, como na cognição </w:t>
      </w:r>
      <w:r w:rsidR="00247B36">
        <w:rPr>
          <w:color w:val="000000"/>
        </w:rPr>
        <w:fldChar w:fldCharType="begin"/>
      </w:r>
      <w:r w:rsidR="004C3BF7">
        <w:rPr>
          <w:color w:val="000000"/>
        </w:rPr>
        <w:instrText xml:space="preserve"> ADDIN ZOTERO_ITEM CSL_CITATION {"citationID":"6YprRTp3","properties":{"formattedCitation":"(21)","plainCitation":"(21)","noteIndex":0},"citationItems":[{"id":1520,"uris":["http://zotero.org/users/7110448/items/W5FGHIPU"],"itemData":{"id":1520,"type":"article-journal","abstract":"OBJECTIVE: To study the role of thyroid function in dementia, cognitive function, and subclinical vascular brain disease with MRI.\nMETHODS: Analyses were performed within the Rotterdam Study (baseline 1997), a prospective, population-based cohort. We evaluated the association of thyroid-stimulating hormone (TSH) and free thyroxine with incident dementia using Cox models adjusted for age, sex, cardiovascular risk factors, and education. Absolute risks were calculated accounting for death as a competing risk factor. Associations of thyroid function with cognitive test scores and subclinical vascular brain disease (white matter lesions, lacunes, and microbleeds) were assessed with linear or logistic regression. Additionally, we stratified by sex and restricted analyses to normal thyroid function.\nRESULTS: We included 9,446 participants with a mean age of 65 years. During follow-up (mean 8.0 years), 601 participants had developed dementia. Higher TSH was associated with lower dementia risk in both the full and normal ranges of thyroid function (hazard ratio [HR] 0.90, 95% confidence interval [CI] 0.83-0.98; and HR 0.76, 95% CI 0.64-0.91, respectively). This association was independent of cardiovascular risk factors. Dementia risk was higher in individuals with higher free thyroxine (HR 1.04, 95% CI 1.01-1.07). Absolute 10-year dementia risk decreased from 15% to 10% with higher TSH in older women. Higher TSH was associated with better global cognitive scores (p = 0.021). Thyroid function was not related to subclinical vascular brain disease as indicated by MRI.\nCONCLUSIONS: High and high-normal thyroid function is associated with increased dementia risk. Thyroid function is not related to vascular brain disease as assessed by MRI, suggesting a role for thyroid hormone in nonvascular pathways leading to dementia.","container-title":"Neurology","DOI":"10.1212/WNL.0000000000003227","ISSN":"1526-632X","issue":"16","journalAbbreviation":"Neurology","language":"eng","note":"PMID: 27638924","page":"1688-1695","source":"PubMed","title":"Thyroid function and the risk of dementia: The Rotterdam Study","title-short":"Thyroid function and the risk of dementia","volume":"87","author":[{"family":"Chaker","given":"Layal"},{"family":"Wolters","given":"Frank J."},{"family":"Bos","given":"Daniel"},{"family":"Korevaar","given":"Tim I. M."},{"family":"Hofman","given":"Albert"},{"family":"Lugt","given":"Aad","non-dropping-particle":"van der"},{"family":"Koudstaal","given":"Peter J."},{"family":"Franco","given":"Oscar H."},{"family":"Dehghan","given":"Abbas"},{"family":"Vernooij","given":"Meike W."},{"family":"Peeters","given":"Robin P."},{"family":"Ikram","given":"M. Arfan"}],"issued":{"date-parts":[["2016",10,18]]}}}],"schema":"https://github.com/citation-style-language/schema/raw/master/csl-citation.json"} </w:instrText>
      </w:r>
      <w:r w:rsidR="00247B36">
        <w:rPr>
          <w:color w:val="000000"/>
        </w:rPr>
        <w:fldChar w:fldCharType="separate"/>
      </w:r>
      <w:r w:rsidR="00247B36">
        <w:rPr>
          <w:noProof/>
          <w:color w:val="000000"/>
        </w:rPr>
        <w:t>(21)</w:t>
      </w:r>
      <w:r w:rsidR="00247B36">
        <w:rPr>
          <w:color w:val="000000"/>
        </w:rPr>
        <w:fldChar w:fldCharType="end"/>
      </w:r>
      <w:r w:rsidR="00247B36">
        <w:rPr>
          <w:color w:val="000000"/>
        </w:rPr>
        <w:t xml:space="preserve">, </w:t>
      </w:r>
      <w:r w:rsidR="00CF0A76">
        <w:rPr>
          <w:color w:val="000000"/>
        </w:rPr>
        <w:t xml:space="preserve">na </w:t>
      </w:r>
      <w:r w:rsidR="00247B36">
        <w:rPr>
          <w:color w:val="000000"/>
        </w:rPr>
        <w:t xml:space="preserve">qualidade de vida </w:t>
      </w:r>
      <w:r w:rsidR="00247B36">
        <w:rPr>
          <w:color w:val="000000"/>
        </w:rPr>
        <w:fldChar w:fldCharType="begin"/>
      </w:r>
      <w:r w:rsidR="004C3BF7">
        <w:rPr>
          <w:color w:val="000000"/>
        </w:rPr>
        <w:instrText xml:space="preserve"> ADDIN ZOTERO_ITEM CSL_CITATION {"citationID":"xoHTdAz2","properties":{"formattedCitation":"(22)","plainCitation":"(22)","noteIndex":0},"citationItems":[{"id":1138,"uris":["http://zotero.org/users/7110448/items/I7D5W5HQ"],"itemData":{"id":1138,"type":"article-journal","abstract":"CONTEXT: Despite the equivocal outcomes of randomized controlled trials, general clinical opinion favors screening and treatment of elderly individuals with subclinical thyroid disorders.\nOBJECTIVES: To determine whether subclinical thyroid dysfunction should be treated in old age and the long-term impact of thyroid dysfunction on performance and survival in old age.\nDESIGN, SETTING, AND PARTICIPANTS: A prospective, observational, population-based follow-up study within the Leiden 85-Plus Study of 87% of a 2-year birth cohort (1912-1914) in the municipality of Leiden, the Netherlands. A total of 599 participants were followed up from age 85 years through age 89 years (mean [SD] follow-up, 3.7 [1.4] years).\nMAIN OUTCOME MEASURES: Complete thyroid status at baseline; disability in daily life, depressive symptoms, cognitive function, and mortality from age 85 years through 89 years.\nRESULTS: Plasma levels of thyrotropin and free thyroxine were not associated with disability in daily life, depressive symptoms, and cognitive impairment at baseline or during follow-up. Increasing levels of thyrotropin were associated with a lower mortality rate that remained after adjustments were made for baseline disability and health status. The hazard ratio (HR) for mortality per SD increase of 2.71 mIU/L of thyrotropin was 0.77 (95% confidence interval [CI], 0.63-0.94; P = .009). The HR for mortality per SD increase of 0.21 ng/dL (2.67 pmol/L) of free thyroxine increased 1.16-fold (95% CI, 1.04-1.30; P = .009).\nCONCLUSIONS: In the general population of the oldest old, elderly individuals with abnormally high levels of thyrotropin do not experience adverse effects and may have a prolonged life span. However, evidence for not treating elderly individuals can only come from a well-designed, randomized placebo-controlled clinical trial.","container-title":"JAMA","DOI":"10.1001/jama.292.21.2591","ISSN":"1538-3598","issue":"21","journalAbbreviation":"JAMA","language":"eng","note":"PMID: 15572717","page":"2591-2599","source":"PubMed","title":"Thyroid status, disability and cognitive function, and survival in old age","volume":"292","author":[{"family":"Gussekloo","given":"Jacobijn"},{"family":"Exel","given":"Eric","non-dropping-particle":"van"},{"family":"Craen","given":"Anton J. M.","non-dropping-particle":"de"},{"family":"Meinders","given":"Arend E."},{"family":"Frölich","given":"Marijke"},{"family":"Westendorp","given":"Rudi G. J."}],"issued":{"date-parts":[["2004",12,1]]}}}],"schema":"https://github.com/citation-style-language/schema/raw/master/csl-citation.json"} </w:instrText>
      </w:r>
      <w:r w:rsidR="00247B36">
        <w:rPr>
          <w:color w:val="000000"/>
        </w:rPr>
        <w:fldChar w:fldCharType="separate"/>
      </w:r>
      <w:r w:rsidR="00247B36">
        <w:rPr>
          <w:noProof/>
          <w:color w:val="000000"/>
        </w:rPr>
        <w:t>(22)</w:t>
      </w:r>
      <w:r w:rsidR="00247B36">
        <w:rPr>
          <w:color w:val="000000"/>
        </w:rPr>
        <w:fldChar w:fldCharType="end"/>
      </w:r>
      <w:r w:rsidR="00247B36">
        <w:rPr>
          <w:color w:val="000000"/>
        </w:rPr>
        <w:t xml:space="preserve">, </w:t>
      </w:r>
      <w:r w:rsidR="00CF0A76">
        <w:rPr>
          <w:color w:val="000000"/>
        </w:rPr>
        <w:t xml:space="preserve">no </w:t>
      </w:r>
      <w:r w:rsidR="00247B36">
        <w:rPr>
          <w:color w:val="000000"/>
        </w:rPr>
        <w:t xml:space="preserve">risco de doença cardiovascular </w:t>
      </w:r>
      <w:r w:rsidR="00247B36">
        <w:rPr>
          <w:color w:val="000000"/>
        </w:rPr>
        <w:fldChar w:fldCharType="begin"/>
      </w:r>
      <w:r w:rsidR="004C3BF7">
        <w:rPr>
          <w:color w:val="000000"/>
        </w:rPr>
        <w:instrText xml:space="preserve"> ADDIN ZOTERO_ITEM CSL_CITATION {"citationID":"K5OQ1Oj0","properties":{"formattedCitation":"(23)","plainCitation":"(23)","noteIndex":0},"citationItems":[{"id":1503,"uris":["http://zotero.org/users/7110448/items/Z89KFN29"],"itemData":{"id":1503,"type":"article-journal","abstract":"RATIONALE: Thyroid hormones have been linked with various proatherogenic and antiatherogenic processes. However, the relationship of thyroid function with manifestations of atherosclerosis remains unclear.\nOBJECTIVE: To investigate the association of thyroid function with atherosclerosis throughout its spectrum; that is, subclinical atherosclerosis, incident atherosclerotic cardiovascular (ASCV) events, and ASCV mortality.\nMETHODS AND RESULTS: This population-based study was embedded within the Rotterdam Study. The risk of atherosclerosis was evaluated by measuring (1) presence of subclinical atherosclerosis, assessed by coronary artery calcification score &gt;100 AU; (2) ASCV events, defined as fatal and nonfatal myocardial infarction, other coronary heart disease mortality, or stroke; (3) ASCV mortality, defined as death because of coronary heart disease and cerebrovascular or other atherosclerotic diseases. Associations of thyroid-stimulating hormone and free thyroxine with the outcomes were assessed through logistic regression and Cox proportional hazard models, adjusted for potential confounders, including cardiovascular risk factors. A total of 9420 community-dwelling participants (mean age±SD, 64.8±9.7 years) were included. During a median follow-up of 8.8 years (interquartile range, 4.5-11.8 years), 934 incident ASCV events and 612 ASCV deaths occurred. Free thyroxine levels were positively associated with high coronary artery calcification score (odds ratio, 2.28; 95% confidence interval, 1.30-4.02) and incident ASCV events (hazard ratio, 1.87; confidence interval, 1.34-2.59). The risk of ASCV mortality increased in a linear manner with higher free thyroxine levels (hazard ratio, 2.41; confidence interval, 1.68-3.47 per 1 ng/dL) and lower thyroid-stimulating hormone levels (hazard ratio, 0.92; confidence interval, 0.84-1.00 per 1 logTSH). Results remained similar or became stronger among euthyroid participants.\nCONCLUSIONS: Free thyroxine levels in middle-aged and elderly subjects were positively associated with atherosclerosis throughout the whole disease spectrum, independent of cardiovascular risk factors.","container-title":"Circulation Research","DOI":"10.1161/CIRCRESAHA.117.311603","ISSN":"1524-4571","issue":"12","journalAbbreviation":"Circ Res","language":"eng","note":"PMID: 29089349","page":"1392-1400","source":"PubMed","title":"Thyroid Function and the Risk of Atherosclerotic Cardiovascular Morbidity and Mortality: The Rotterdam Study","title-short":"Thyroid Function and the Risk of Atherosclerotic Cardiovascular Morbidity and Mortality","volume":"121","author":[{"family":"Bano","given":"Arjola"},{"family":"Chaker","given":"Layal"},{"family":"Mattace-Raso","given":"Francesco U. S."},{"family":"Lugt","given":"Aad","non-dropping-particle":"van der"},{"family":"Ikram","given":"M. Arfan"},{"family":"Franco","given":"Oscar H."},{"family":"Peeters","given":"Robin P."},{"family":"Kavousi","given":"Maryam"}],"issued":{"date-parts":[["2017",12,8]]}}}],"schema":"https://github.com/citation-style-language/schema/raw/master/csl-citation.json"} </w:instrText>
      </w:r>
      <w:r w:rsidR="00247B36">
        <w:rPr>
          <w:color w:val="000000"/>
        </w:rPr>
        <w:fldChar w:fldCharType="separate"/>
      </w:r>
      <w:r w:rsidR="00247B36">
        <w:rPr>
          <w:noProof/>
          <w:color w:val="000000"/>
        </w:rPr>
        <w:t>(23)</w:t>
      </w:r>
      <w:r w:rsidR="00247B36">
        <w:rPr>
          <w:color w:val="000000"/>
        </w:rPr>
        <w:fldChar w:fldCharType="end"/>
      </w:r>
      <w:r w:rsidR="00247B36">
        <w:rPr>
          <w:color w:val="000000"/>
        </w:rPr>
        <w:t xml:space="preserve">, </w:t>
      </w:r>
      <w:r w:rsidR="00CF0A76">
        <w:rPr>
          <w:color w:val="000000"/>
        </w:rPr>
        <w:t xml:space="preserve">na </w:t>
      </w:r>
      <w:r w:rsidR="00247B36">
        <w:rPr>
          <w:color w:val="000000"/>
        </w:rPr>
        <w:t xml:space="preserve">densidade mineral óssea </w:t>
      </w:r>
      <w:r w:rsidR="0020053F">
        <w:rPr>
          <w:color w:val="000000"/>
        </w:rPr>
        <w:fldChar w:fldCharType="begin"/>
      </w:r>
      <w:r w:rsidR="004C3BF7">
        <w:rPr>
          <w:color w:val="000000"/>
        </w:rPr>
        <w:instrText xml:space="preserve"> ADDIN ZOTERO_ITEM CSL_CITATION {"citationID":"AU9SURql","properties":{"formattedCitation":"(24)","plainCitation":"(24)","noteIndex":0},"citationItems":[{"id":1517,"uris":["http://zotero.org/users/7110448/items/5IJGZ23D"],"itemData":{"id":1517,"type":"article-journal","abstract":"Context: Hyperthyroidism is associated with increased fracture risk, but it is not clear if lower thyroid-stimulating hormone (TSH) and higher free thyroxine (FT4) in euthyroid individuals are associated with fracture risk.\nObjective: To evaluate the association of TSH and FT4 with incident fractures in euthyroid individuals.\nDesign: Individual participant data analysis.\nSetting: Thirteen prospective cohort studies with baseline examinations between 1981 and 2002.\nParticipants: Adults with baseline TSH 0.45 to 4.49 mIU/L.\nMain Outcome Measures: Primary outcome was incident hip fracture. Secondary outcomes were any, nonvertebral, and vertebral fractures. Results were presented as hazard ratios (HRs) with 95% confidence interval (CI) adjusted for age and sex. For clinical relevance, we studied TSH according to five categories: 0.45 to 0.99 mIU/L; 1.00 to 1.49 mIU/L; 1.50 to 2.49 mIU/L; 2.50 to 3.49 mIU/L; and 3.50 to 4.49 mIU/L (reference). FT4 was assessed as study-specific standard deviation increase, because assays varied between cohorts.\nResults: During 659,059 person-years, 2,565 out of 56,835 participants had hip fracture (4.5%; 12 studies with data on hip fracture). The pooled adjusted HR (95% CI) for hip fracture was 1.25 (1.05 to 1.49) for TSH 0.45 to 0.99 mIU/L, 1.19 (1.01 to 1.41) for TSH 1.00 to 1.49 mIU/L, 1.09 (0.93 to 1.28) for TSH 1.50 to 2.49 mIU/L, and 1.12 (0.94 to 1.33) for TSH 2.50 to 3.49 mIU/L (P for trend = 0.004). Hip fracture was also associated with FT4 [HR (95% CI) 1.22 (1.11 to 1.35) per one standard deviation increase in FT4]. FT4 only was associated with any and nonvertebral fractures. Results remained similar in sensitivity analyses.\nConclusions: Among euthyroid adults, lower TSH and higher FT4 are associated with an increased risk of hip fracture. These findings may help refine the definition of optimal ranges of thyroid function tests.","container-title":"The Journal of Clinical Endocrinology and Metabolism","DOI":"10.1210/jc.2017-00294","ISSN":"1945-7197","issue":"8","journalAbbreviation":"J Clin Endocrinol Metab","language":"eng","note":"PMID: 28482002\nPMCID: PMC6283437","page":"2719-2728","source":"PubMed","title":"Thyroid Function Tests in the Reference Range and Fracture: Individual Participant Analysis of Prospective Cohorts","title-short":"Thyroid Function Tests in the Reference Range and Fracture","volume":"102","author":[{"family":"Aubert","given":"Carole E."},{"family":"Floriani","given":"Carmen"},{"family":"Bauer","given":"Douglas C."},{"family":"Costa","given":"Bruno R.","non-dropping-particle":"da"},{"family":"Segna","given":"Daniel"},{"family":"Blum","given":"Manuel R."},{"family":"Collet","given":"Tinh-Hai"},{"family":"Fink","given":"Howard A."},{"family":"Cappola","given":"Anne R."},{"family":"Syrogiannouli","given":"Lamprini"},{"family":"Peeters","given":"Robin P."},{"family":"Åsvold","given":"Bjørn O."},{"family":"Elzen","given":"Wendy P. J.","non-dropping-particle":"den"},{"family":"Luben","given":"Robert N."},{"family":"Bremner","given":"Alexandra P."},{"family":"Gogakos","given":"Apostolos"},{"family":"Eastell","given":"Richard"},{"family":"Kearney","given":"Patricia M."},{"family":"Hoff","given":"Mari"},{"family":"Le Blanc","given":"Erin"},{"family":"Ceresini","given":"Graziano"},{"family":"Rivadeneira","given":"Fernando"},{"family":"Uitterlinden","given":"André G."},{"family":"Khaw","given":"Kay-Tee"},{"family":"Langhammer","given":"Arnulf"},{"family":"Stott","given":"David J."},{"family":"Westendorp","given":"Rudi G. J."},{"family":"Ferrucci","given":"Luigi"},{"family":"Williams","given":"Graham R."},{"family":"Gussekloo","given":"Jacobijn"},{"family":"Walsh","given":"John P."},{"family":"Aujesky","given":"Drahomir"},{"family":"Rodondi","given":"Nicolas"},{"literal":"Thyroid Studies Collaboration"}],"issued":{"date-parts":[["2017",8,1]]}}}],"schema":"https://github.com/citation-style-language/schema/raw/master/csl-citation.json"} </w:instrText>
      </w:r>
      <w:r w:rsidR="0020053F">
        <w:rPr>
          <w:color w:val="000000"/>
        </w:rPr>
        <w:fldChar w:fldCharType="separate"/>
      </w:r>
      <w:r w:rsidR="0020053F">
        <w:rPr>
          <w:noProof/>
          <w:color w:val="000000"/>
        </w:rPr>
        <w:t>(24)</w:t>
      </w:r>
      <w:r w:rsidR="0020053F">
        <w:rPr>
          <w:color w:val="000000"/>
        </w:rPr>
        <w:fldChar w:fldCharType="end"/>
      </w:r>
      <w:r w:rsidR="0020053F">
        <w:rPr>
          <w:color w:val="000000"/>
        </w:rPr>
        <w:t xml:space="preserve"> e </w:t>
      </w:r>
      <w:r w:rsidR="00CF0A76">
        <w:rPr>
          <w:color w:val="000000"/>
        </w:rPr>
        <w:t xml:space="preserve">na </w:t>
      </w:r>
      <w:r w:rsidR="0020053F">
        <w:rPr>
          <w:color w:val="000000"/>
        </w:rPr>
        <w:t xml:space="preserve">mortalidade </w:t>
      </w:r>
      <w:r w:rsidR="0020053F">
        <w:rPr>
          <w:color w:val="000000"/>
        </w:rPr>
        <w:fldChar w:fldCharType="begin"/>
      </w:r>
      <w:r w:rsidR="004C3BF7">
        <w:rPr>
          <w:color w:val="000000"/>
        </w:rPr>
        <w:instrText xml:space="preserve"> ADDIN ZOTERO_ITEM CSL_CITATION {"citationID":"m52XOTv9","properties":{"formattedCitation":"(25)","plainCitation":"(25)","noteIndex":0},"citationItems":[{"id":1528,"uris":["http://zotero.org/users/7110448/items/W68L37LX"],"itemData":{"id":1528,"type":"article-journal","abstract":"BACKGROUND: Low thyroid function within the euthyroid range, as well as overt and subclinical hypothyroidism, reportedly increases the risk of cardiovascular disease and mortality. However, the association between low normal thyroid function and mortality remains controversial. This study was performed to elucidate the association between low normal thyroid function and all-cause and/or cause-specific mortalities among U.S. adults.\nMETHODS: A prospective cohort study was conducted using a nationally representative sample of 12,584 U.S. adults aged ≥20 years with thyrotropin (TSH) levels within the reference range from the National Health and Nutrition Examination Survey (NHANES) III (1988-1994). Associations between TSH tertiles (high, medium, and low normal TSH groups) and mortalities (all-cause, cardiovascular, and cancer) were investigated using multivariable Cox models. Stratum-specific analyses were estimated within subgroups defined according to sex (male or female) and baseline age (age &lt;60 years or age ≥60 years). Further, the same analysis was conducted using continuous NHANES 2001-2002, 2007-2008, and 2009-2010 cohorts, which included data on free thyroxine levels.\nRESULTS: The median follow-up period was 19.1 years, with 3395 all-cause deaths. A significantly higher risk of all-cause mortality (adjusted hazard ratio [HR] 1.27; [confidence interval (CI) 1.10-1.47]), and cardiovascular mortality (HR 1.30 [CI 1.02-1.67]), and cancer mortality (HR 1.43 [CI 1.01-2.01]) was observed in the high normal TSH group than in the medium normal TSH group. Additionally, the low normal TSH group had an increased risk of all-cause mortality. In stratum-specific analyses, a significant association was found between high normal TSH levels and all-cause mortality among males, females, and participants &lt;60 years. Continuous NHANES cohorts demonstrated a non-significant increase in the HR for all-cause mortality in the high normal TSH group.\nCONCLUSIONS: High normal TSH levels compared with medium normal TSH levels were associated with increased risk of all-cause, cardiovascular, and cancer mortalities over a long-term follow-up period among U.S. adults. This study indicates that the reference range for TSH levels may require re-evaluation.","container-title":"Thyroid: Official Journal of the American Thyroid Association","DOI":"10.1089/thy.2016.0156","ISSN":"1557-9077","issue":"10","journalAbbreviation":"Thyroid","language":"eng","note":"PMID: 27539006","page":"1457-1465","source":"PubMed","title":"Association Between Serum Thyrotropin Levels and Mortality Among Euthyroid Adults in the United States","volume":"26","author":[{"family":"Inoue","given":"Kosuke"},{"family":"Tsujimoto","given":"Tetsuro"},{"family":"Saito","given":"Jun"},{"family":"Sugiyama","given":"Takehiro"}],"issued":{"date-parts":[["2016",10]]}}}],"schema":"https://github.com/citation-style-language/schema/raw/master/csl-citation.json"} </w:instrText>
      </w:r>
      <w:r w:rsidR="0020053F">
        <w:rPr>
          <w:color w:val="000000"/>
        </w:rPr>
        <w:fldChar w:fldCharType="separate"/>
      </w:r>
      <w:r w:rsidR="0020053F">
        <w:rPr>
          <w:noProof/>
          <w:color w:val="000000"/>
        </w:rPr>
        <w:t>(25)</w:t>
      </w:r>
      <w:r w:rsidR="0020053F">
        <w:rPr>
          <w:color w:val="000000"/>
        </w:rPr>
        <w:fldChar w:fldCharType="end"/>
      </w:r>
      <w:r w:rsidR="0020053F">
        <w:rPr>
          <w:color w:val="000000"/>
        </w:rPr>
        <w:t xml:space="preserve">, especialmente nessa faixa etária </w:t>
      </w:r>
      <w:r w:rsidR="004F324D">
        <w:rPr>
          <w:color w:val="000000"/>
        </w:rPr>
        <w:fldChar w:fldCharType="begin"/>
      </w:r>
      <w:r w:rsidR="00262059">
        <w:rPr>
          <w:color w:val="000000"/>
        </w:rPr>
        <w:instrText xml:space="preserve"> ADDIN ZOTERO_ITEM CSL_CITATION {"citationID":"r2mSo7gs","properties":{"formattedCitation":"(22,26)","plainCitation":"(22,26)","noteIndex":0},"citationItems":[{"id":1138,"uris":["http://zotero.org/users/7110448/items/I7D5W5HQ"],"itemData":{"id":1138,"type":"article-journal","abstract":"CONTEXT: Despite the equivocal outcomes of randomized controlled trials, general clinical opinion favors screening and treatment of elderly individuals with subclinical thyroid disorders.\nOBJECTIVES: To determine whether subclinical thyroid dysfunction should be treated in old age and the long-term impact of thyroid dysfunction on performance and survival in old age.\nDESIGN, SETTING, AND PARTICIPANTS: A prospective, observational, population-based follow-up study within the Leiden 85-Plus Study of 87% of a 2-year birth cohort (1912-1914) in the municipality of Leiden, the Netherlands. A total of 599 participants were followed up from age 85 years through age 89 years (mean [SD] follow-up, 3.7 [1.4] years).\nMAIN OUTCOME MEASURES: Complete thyroid status at baseline; disability in daily life, depressive symptoms, cognitive function, and mortality from age 85 years through 89 years.\nRESULTS: Plasma levels of thyrotropin and free thyroxine were not associated with disability in daily life, depressive symptoms, and cognitive impairment at baseline or during follow-up. Increasing levels of thyrotropin were associated with a lower mortality rate that remained after adjustments were made for baseline disability and health status. The hazard ratio (HR) for mortality per SD increase of 2.71 mIU/L of thyrotropin was 0.77 (95% confidence interval [CI], 0.63-0.94; P = .009). The HR for mortality per SD increase of 0.21 ng/dL (2.67 pmol/L) of free thyroxine increased 1.16-fold (95% CI, 1.04-1.30; P = .009).\nCONCLUSIONS: In the general population of the oldest old, elderly individuals with abnormally high levels of thyrotropin do not experience adverse effects and may have a prolonged life span. However, evidence for not treating elderly individuals can only come from a well-designed, randomized placebo-controlled clinical trial.","container-title":"JAMA","DOI":"10.1001/jama.292.21.2591","ISSN":"1538-3598","issue":"21","journalAbbreviation":"JAMA","language":"eng","note":"PMID: 15572717","page":"2591-2599","source":"PubMed","title":"Thyroid status, disability and cognitive function, and survival in old age","volume":"292","author":[{"family":"Gussekloo","given":"Jacobijn"},{"family":"Exel","given":"Eric","non-dropping-particle":"van"},{"family":"Craen","given":"Anton J. M.","non-dropping-particle":"de"},{"family":"Meinders","given":"Arend E."},{"family":"Frölich","given":"Marijke"},{"family":"Westendorp","given":"Rudi G. J."}],"issued":{"date-parts":[["2004",12,1]]}},"label":"page"},{"id":"XtcnOX9k/AidrPwr7","uris":["http://zotero.org/users/7110448/items/7UZ4QSUD"],"itemData":{"id":1795,"type":"article-journal","abstract":"Subclinical thyroid disease (SCTD) is defined as serum free T(4) and free T(3) levels within their respective reference ranges in the presence of abnormal serum TSH levels. SCTD is being diagnosed more frequently in clinical practice in young and middle-aged people as well as in the elderly. However, the clinical significance of subclinical thyroid dysfunction is much debated. Subclinical hyper- and hypothyroidism can have repercussions on the cardiovascular system and bone, as well as on other organs and systems. However, the treatment and management of SCTD and population screening are controversial despite the potential risk of progression to overt disease, and there is no consensus on the thyroid hormone and thyrotropin cutoff values at which treatment should be contemplated. Opinions differ regarding tissue effects, symptoms, signs, and cardiovascular risk. Here, we critically review the data on the prevalence and progression of SCTD, its tissue effects, and its prognostic implications. We also examine the mechanisms underlying tissue alterations in SCTD and the effects of replacement therapy on progression and tissue parameters. Lastly, we address the issue of the need to treat slight thyroid hormone deficiency or excess in relation to the patient's age.","container-title":"Endocrine Reviews","DOI":"10.1210/er.2006-0043","ISSN":"0163-769X","issue":"1","journalAbbreviation":"Endocr Rev","language":"eng","note":"PMID: 17991805","page":"76-131","source":"PubMed","title":"The clinical significance of subclinical thyroid dysfunction","volume":"29","author":[{"family":"Biondi","given":"Bernadette"},{"family":"Cooper","given":"David S."}],"issued":{"date-parts":[["2008",2]]}},"label":"page"}],"schema":"https://github.com/citation-style-language/schema/raw/master/csl-citation.json"} </w:instrText>
      </w:r>
      <w:r w:rsidR="004F324D">
        <w:rPr>
          <w:color w:val="000000"/>
        </w:rPr>
        <w:fldChar w:fldCharType="separate"/>
      </w:r>
      <w:r w:rsidR="004F324D">
        <w:rPr>
          <w:noProof/>
          <w:color w:val="000000"/>
        </w:rPr>
        <w:t>(22,26)</w:t>
      </w:r>
      <w:r w:rsidR="004F324D">
        <w:rPr>
          <w:color w:val="000000"/>
        </w:rPr>
        <w:fldChar w:fldCharType="end"/>
      </w:r>
      <w:r w:rsidR="004F324D">
        <w:rPr>
          <w:color w:val="000000"/>
        </w:rPr>
        <w:t>. O objetivo do atual estudo é avaliar o impacto</w:t>
      </w:r>
      <w:r w:rsidR="003512F0">
        <w:rPr>
          <w:color w:val="000000"/>
        </w:rPr>
        <w:t xml:space="preserve"> </w:t>
      </w:r>
      <w:r w:rsidR="004F324D">
        <w:rPr>
          <w:color w:val="000000"/>
        </w:rPr>
        <w:t xml:space="preserve">de alguns </w:t>
      </w:r>
      <w:r w:rsidR="004531D7">
        <w:rPr>
          <w:color w:val="000000"/>
        </w:rPr>
        <w:t xml:space="preserve">polimorfismos </w:t>
      </w:r>
      <w:r w:rsidR="003512F0">
        <w:rPr>
          <w:color w:val="000000"/>
        </w:rPr>
        <w:t xml:space="preserve">previamente </w:t>
      </w:r>
      <w:r w:rsidR="004F324D">
        <w:rPr>
          <w:color w:val="000000"/>
        </w:rPr>
        <w:t xml:space="preserve">associados </w:t>
      </w:r>
      <w:r w:rsidR="00CF0A76">
        <w:rPr>
          <w:color w:val="000000"/>
        </w:rPr>
        <w:t xml:space="preserve">à </w:t>
      </w:r>
      <w:r w:rsidR="004F324D">
        <w:rPr>
          <w:color w:val="000000"/>
        </w:rPr>
        <w:t xml:space="preserve">função tireoidiana </w:t>
      </w:r>
      <w:r w:rsidR="00FB70B2">
        <w:rPr>
          <w:color w:val="000000"/>
        </w:rPr>
        <w:t>na</w:t>
      </w:r>
      <w:r w:rsidR="004F324D">
        <w:rPr>
          <w:color w:val="000000"/>
        </w:rPr>
        <w:t xml:space="preserve"> população </w:t>
      </w:r>
      <w:r w:rsidR="00FB70B2">
        <w:rPr>
          <w:color w:val="000000"/>
        </w:rPr>
        <w:t>adulta</w:t>
      </w:r>
      <w:r w:rsidR="00CC29CE">
        <w:rPr>
          <w:color w:val="000000"/>
        </w:rPr>
        <w:t>, em idosos.</w:t>
      </w:r>
    </w:p>
    <w:p w14:paraId="10F3CD65" w14:textId="741B633F" w:rsidR="00DE7127" w:rsidRDefault="00DE7127" w:rsidP="00DE7127">
      <w:pPr>
        <w:spacing w:line="360" w:lineRule="auto"/>
        <w:ind w:left="360" w:right="57"/>
        <w:jc w:val="both"/>
        <w:rPr>
          <w:color w:val="000000"/>
        </w:rPr>
      </w:pPr>
    </w:p>
    <w:p w14:paraId="59BB53A2" w14:textId="77777777" w:rsidR="00DE7127" w:rsidRDefault="00DE7127" w:rsidP="00DE7127">
      <w:pPr>
        <w:spacing w:line="360" w:lineRule="auto"/>
        <w:ind w:left="360" w:right="57"/>
        <w:jc w:val="both"/>
        <w:rPr>
          <w:color w:val="000000"/>
        </w:rPr>
      </w:pPr>
    </w:p>
    <w:p w14:paraId="434CF342" w14:textId="77777777" w:rsidR="00ED5956" w:rsidRDefault="00ED5956" w:rsidP="00DE7127">
      <w:pPr>
        <w:spacing w:line="360" w:lineRule="auto"/>
        <w:ind w:left="360" w:right="57"/>
        <w:jc w:val="both"/>
        <w:rPr>
          <w:color w:val="000000"/>
        </w:rPr>
      </w:pPr>
    </w:p>
    <w:p w14:paraId="7A1D0D34" w14:textId="77777777" w:rsidR="00ED5956" w:rsidRDefault="00ED5956" w:rsidP="00DE7127">
      <w:pPr>
        <w:spacing w:line="360" w:lineRule="auto"/>
        <w:ind w:left="360" w:right="57"/>
        <w:jc w:val="both"/>
        <w:rPr>
          <w:color w:val="000000"/>
        </w:rPr>
      </w:pPr>
    </w:p>
    <w:p w14:paraId="4790891D" w14:textId="77777777" w:rsidR="00ED5956" w:rsidRDefault="00ED5956" w:rsidP="00DE7127">
      <w:pPr>
        <w:spacing w:line="360" w:lineRule="auto"/>
        <w:ind w:left="360" w:right="57"/>
        <w:jc w:val="both"/>
        <w:rPr>
          <w:color w:val="000000"/>
        </w:rPr>
      </w:pPr>
    </w:p>
    <w:p w14:paraId="0EE8F5E1" w14:textId="77777777" w:rsidR="00ED5956" w:rsidRDefault="00ED5956" w:rsidP="00DE7127">
      <w:pPr>
        <w:spacing w:line="360" w:lineRule="auto"/>
        <w:ind w:left="360" w:right="57"/>
        <w:jc w:val="both"/>
        <w:rPr>
          <w:color w:val="000000"/>
        </w:rPr>
      </w:pPr>
    </w:p>
    <w:p w14:paraId="1A2D7223" w14:textId="77777777" w:rsidR="00ED5956" w:rsidRDefault="00ED5956" w:rsidP="00DE7127">
      <w:pPr>
        <w:spacing w:line="360" w:lineRule="auto"/>
        <w:ind w:left="360" w:right="57"/>
        <w:jc w:val="both"/>
        <w:rPr>
          <w:color w:val="000000"/>
        </w:rPr>
      </w:pPr>
    </w:p>
    <w:p w14:paraId="5C80616F" w14:textId="77777777" w:rsidR="00ED5956" w:rsidRDefault="00ED5956" w:rsidP="00DE7127">
      <w:pPr>
        <w:spacing w:line="360" w:lineRule="auto"/>
        <w:ind w:left="360" w:right="57"/>
        <w:jc w:val="both"/>
        <w:rPr>
          <w:color w:val="000000"/>
        </w:rPr>
      </w:pPr>
    </w:p>
    <w:p w14:paraId="4426CC6B" w14:textId="77777777" w:rsidR="00ED5956" w:rsidRDefault="00ED5956" w:rsidP="00DE7127">
      <w:pPr>
        <w:spacing w:line="360" w:lineRule="auto"/>
        <w:ind w:left="360" w:right="57"/>
        <w:jc w:val="both"/>
        <w:rPr>
          <w:color w:val="000000"/>
        </w:rPr>
      </w:pPr>
    </w:p>
    <w:p w14:paraId="1F7D10B2" w14:textId="77777777" w:rsidR="00ED5956" w:rsidRDefault="00ED5956" w:rsidP="00DE7127">
      <w:pPr>
        <w:spacing w:line="360" w:lineRule="auto"/>
        <w:ind w:left="360" w:right="57"/>
        <w:jc w:val="both"/>
        <w:rPr>
          <w:color w:val="000000"/>
        </w:rPr>
      </w:pPr>
    </w:p>
    <w:p w14:paraId="1BF63EC1" w14:textId="77777777" w:rsidR="00ED5956" w:rsidRDefault="00ED5956" w:rsidP="00DE7127">
      <w:pPr>
        <w:spacing w:line="360" w:lineRule="auto"/>
        <w:ind w:left="360" w:right="57"/>
        <w:jc w:val="both"/>
        <w:rPr>
          <w:color w:val="000000"/>
        </w:rPr>
      </w:pPr>
    </w:p>
    <w:p w14:paraId="50D22D88" w14:textId="77777777" w:rsidR="00ED5956" w:rsidRDefault="00ED5956" w:rsidP="00DE7127">
      <w:pPr>
        <w:spacing w:line="360" w:lineRule="auto"/>
        <w:ind w:left="360" w:right="57"/>
        <w:jc w:val="both"/>
        <w:rPr>
          <w:color w:val="000000"/>
        </w:rPr>
      </w:pPr>
    </w:p>
    <w:p w14:paraId="2A2995D2" w14:textId="77777777" w:rsidR="00ED5956" w:rsidRDefault="00ED5956" w:rsidP="00DE7127">
      <w:pPr>
        <w:spacing w:line="360" w:lineRule="auto"/>
        <w:ind w:left="360" w:right="57"/>
        <w:jc w:val="both"/>
        <w:rPr>
          <w:color w:val="000000"/>
        </w:rPr>
      </w:pPr>
    </w:p>
    <w:p w14:paraId="186563D8" w14:textId="77777777" w:rsidR="00ED5956" w:rsidRDefault="00ED5956" w:rsidP="00DE7127">
      <w:pPr>
        <w:spacing w:line="360" w:lineRule="auto"/>
        <w:ind w:left="360" w:right="57"/>
        <w:jc w:val="both"/>
        <w:rPr>
          <w:color w:val="000000"/>
        </w:rPr>
      </w:pPr>
    </w:p>
    <w:p w14:paraId="04B4250C" w14:textId="77777777" w:rsidR="00ED5956" w:rsidRDefault="00ED5956" w:rsidP="00DE7127">
      <w:pPr>
        <w:spacing w:line="360" w:lineRule="auto"/>
        <w:ind w:left="360" w:right="57"/>
        <w:jc w:val="both"/>
        <w:rPr>
          <w:color w:val="000000"/>
        </w:rPr>
      </w:pPr>
    </w:p>
    <w:p w14:paraId="0DFDED18" w14:textId="77777777" w:rsidR="00ED5956" w:rsidRDefault="00ED5956" w:rsidP="00DE7127">
      <w:pPr>
        <w:spacing w:line="360" w:lineRule="auto"/>
        <w:ind w:left="360" w:right="57"/>
        <w:jc w:val="both"/>
        <w:rPr>
          <w:color w:val="000000"/>
        </w:rPr>
      </w:pPr>
    </w:p>
    <w:p w14:paraId="617D59E1" w14:textId="77777777" w:rsidR="00ED5956" w:rsidRDefault="00ED5956" w:rsidP="00DE7127">
      <w:pPr>
        <w:spacing w:line="360" w:lineRule="auto"/>
        <w:ind w:left="360" w:right="57"/>
        <w:jc w:val="both"/>
        <w:rPr>
          <w:color w:val="000000"/>
        </w:rPr>
      </w:pPr>
    </w:p>
    <w:p w14:paraId="20EDF45E" w14:textId="77777777" w:rsidR="00ED5956" w:rsidRDefault="00ED5956" w:rsidP="00DE7127">
      <w:pPr>
        <w:spacing w:line="360" w:lineRule="auto"/>
        <w:ind w:left="360" w:right="57"/>
        <w:jc w:val="both"/>
        <w:rPr>
          <w:color w:val="000000"/>
        </w:rPr>
      </w:pPr>
    </w:p>
    <w:p w14:paraId="63C475A4" w14:textId="77777777" w:rsidR="00ED5956" w:rsidRDefault="00ED5956" w:rsidP="00DE7127">
      <w:pPr>
        <w:spacing w:line="360" w:lineRule="auto"/>
        <w:ind w:left="360" w:right="57"/>
        <w:jc w:val="both"/>
        <w:rPr>
          <w:color w:val="000000"/>
        </w:rPr>
      </w:pPr>
    </w:p>
    <w:p w14:paraId="79E7D678" w14:textId="77777777" w:rsidR="00CF0A76" w:rsidRDefault="00CF0A76" w:rsidP="00DE7127">
      <w:pPr>
        <w:spacing w:line="360" w:lineRule="auto"/>
        <w:ind w:left="360" w:right="57"/>
        <w:jc w:val="both"/>
        <w:rPr>
          <w:color w:val="000000"/>
        </w:rPr>
      </w:pPr>
    </w:p>
    <w:p w14:paraId="02E1F6F7" w14:textId="77777777" w:rsidR="00ED5956" w:rsidRDefault="00ED5956" w:rsidP="00DE7127">
      <w:pPr>
        <w:spacing w:line="360" w:lineRule="auto"/>
        <w:ind w:left="360" w:right="57"/>
        <w:jc w:val="both"/>
        <w:rPr>
          <w:color w:val="000000"/>
        </w:rPr>
      </w:pPr>
    </w:p>
    <w:p w14:paraId="5CE038B0" w14:textId="47B0620C" w:rsidR="00595590" w:rsidRPr="00DE7127" w:rsidRDefault="00CF0A76" w:rsidP="00CF0A76">
      <w:pPr>
        <w:pStyle w:val="PargrafodaLista"/>
        <w:spacing w:line="360" w:lineRule="auto"/>
        <w:ind w:left="-142"/>
        <w:jc w:val="both"/>
        <w:rPr>
          <w:b/>
          <w:color w:val="000000"/>
        </w:rPr>
      </w:pPr>
      <w:r>
        <w:rPr>
          <w:b/>
          <w:color w:val="000000"/>
        </w:rPr>
        <w:lastRenderedPageBreak/>
        <w:t xml:space="preserve">2 </w:t>
      </w:r>
      <w:r w:rsidR="00595590" w:rsidRPr="00DE7127">
        <w:rPr>
          <w:b/>
          <w:color w:val="000000"/>
        </w:rPr>
        <w:t>REVISÃO DE LITERATURA</w:t>
      </w:r>
    </w:p>
    <w:p w14:paraId="3748887B" w14:textId="42995484" w:rsidR="00DE7127" w:rsidRDefault="00DE7127" w:rsidP="00DE7127">
      <w:pPr>
        <w:spacing w:line="360" w:lineRule="auto"/>
        <w:jc w:val="both"/>
        <w:rPr>
          <w:b/>
          <w:color w:val="000000"/>
        </w:rPr>
      </w:pPr>
    </w:p>
    <w:p w14:paraId="0F4C1250" w14:textId="225996F4" w:rsidR="00DE7127" w:rsidRDefault="009C3149" w:rsidP="009C3149">
      <w:pPr>
        <w:spacing w:line="360" w:lineRule="auto"/>
        <w:ind w:left="-142"/>
        <w:jc w:val="both"/>
        <w:rPr>
          <w:color w:val="000000"/>
        </w:rPr>
      </w:pPr>
      <w:r>
        <w:rPr>
          <w:color w:val="000000"/>
        </w:rPr>
        <w:t xml:space="preserve">    Esta seção se apresenta em duas divisões, sendo uma sobre a função tireoidiana no idoso (2.1) e a outra, so</w:t>
      </w:r>
      <w:r w:rsidR="00CE5928">
        <w:rPr>
          <w:color w:val="000000"/>
        </w:rPr>
        <w:t>b</w:t>
      </w:r>
      <w:r>
        <w:rPr>
          <w:color w:val="000000"/>
        </w:rPr>
        <w:t xml:space="preserve">re genética e função tireoidiana (2.2), cada </w:t>
      </w:r>
      <w:r w:rsidR="00CE5928">
        <w:rPr>
          <w:color w:val="000000"/>
        </w:rPr>
        <w:t>qual</w:t>
      </w:r>
      <w:r>
        <w:rPr>
          <w:color w:val="000000"/>
        </w:rPr>
        <w:t xml:space="preserve"> subdivida seg</w:t>
      </w:r>
      <w:r w:rsidR="00CE5928">
        <w:rPr>
          <w:color w:val="000000"/>
        </w:rPr>
        <w:t>u</w:t>
      </w:r>
      <w:r>
        <w:rPr>
          <w:color w:val="000000"/>
        </w:rPr>
        <w:t>ndo suas especificidades.</w:t>
      </w:r>
    </w:p>
    <w:p w14:paraId="1DF8E1DF" w14:textId="77777777" w:rsidR="009C3149" w:rsidRPr="00E44DCC" w:rsidRDefault="009C3149" w:rsidP="00DE7127">
      <w:pPr>
        <w:spacing w:line="360" w:lineRule="auto"/>
        <w:jc w:val="both"/>
        <w:rPr>
          <w:color w:val="000000"/>
        </w:rPr>
      </w:pPr>
    </w:p>
    <w:tbl>
      <w:tblPr>
        <w:tblW w:w="8647"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647"/>
      </w:tblGrid>
      <w:tr w:rsidR="00595590" w14:paraId="431523B7" w14:textId="77777777" w:rsidTr="009C3149">
        <w:tc>
          <w:tcPr>
            <w:tcW w:w="8647" w:type="dxa"/>
          </w:tcPr>
          <w:p w14:paraId="690EB633" w14:textId="305B1A21" w:rsidR="00595590" w:rsidRDefault="00595590" w:rsidP="00ED5956">
            <w:pPr>
              <w:spacing w:line="360" w:lineRule="auto"/>
              <w:ind w:right="-16"/>
            </w:pPr>
            <w:r>
              <w:t>2.1 FUNÇÃO TIREOIDIANA NO IDOSO</w:t>
            </w:r>
          </w:p>
          <w:p w14:paraId="71001BEB" w14:textId="2C3BFA5D" w:rsidR="00DE7127" w:rsidRDefault="00DE7127" w:rsidP="00ED5956">
            <w:pPr>
              <w:spacing w:line="360" w:lineRule="auto"/>
              <w:ind w:right="-16"/>
            </w:pPr>
          </w:p>
          <w:p w14:paraId="14007C28" w14:textId="4E7EB197" w:rsidR="00DE7127" w:rsidRDefault="009C3149" w:rsidP="00ED5956">
            <w:pPr>
              <w:spacing w:line="360" w:lineRule="auto"/>
              <w:ind w:right="-16"/>
            </w:pPr>
            <w:r>
              <w:t xml:space="preserve">      Esta subseção </w:t>
            </w:r>
            <w:r w:rsidR="00190E32">
              <w:t>compreende</w:t>
            </w:r>
            <w:r>
              <w:t xml:space="preserve">, </w:t>
            </w:r>
            <w:r w:rsidR="00190E32">
              <w:t>três</w:t>
            </w:r>
            <w:r>
              <w:t xml:space="preserve"> abordagens, a seguir detalhadas.</w:t>
            </w:r>
          </w:p>
          <w:p w14:paraId="224120DF" w14:textId="77777777" w:rsidR="009C3149" w:rsidRDefault="009C3149" w:rsidP="00ED5956">
            <w:pPr>
              <w:spacing w:line="360" w:lineRule="auto"/>
              <w:ind w:right="-16"/>
            </w:pPr>
          </w:p>
          <w:p w14:paraId="3180E546" w14:textId="42CBD87F" w:rsidR="00595590" w:rsidRDefault="00595590" w:rsidP="00595590">
            <w:pPr>
              <w:spacing w:line="360" w:lineRule="auto"/>
              <w:ind w:right="-16"/>
              <w:rPr>
                <w:b/>
              </w:rPr>
            </w:pPr>
            <w:r w:rsidRPr="00C21477">
              <w:rPr>
                <w:b/>
              </w:rPr>
              <w:t>2.</w:t>
            </w:r>
            <w:r w:rsidR="003F616B" w:rsidRPr="00C21477">
              <w:rPr>
                <w:b/>
              </w:rPr>
              <w:t>1</w:t>
            </w:r>
            <w:r w:rsidR="00C21477">
              <w:rPr>
                <w:b/>
              </w:rPr>
              <w:t>.1</w:t>
            </w:r>
            <w:r w:rsidR="009C3149">
              <w:t xml:space="preserve"> </w:t>
            </w:r>
            <w:r w:rsidR="00E756C2" w:rsidRPr="00E44DCC">
              <w:rPr>
                <w:b/>
              </w:rPr>
              <w:t xml:space="preserve">Envelhecimento </w:t>
            </w:r>
            <w:r w:rsidR="00E756C2" w:rsidRPr="00E756C2">
              <w:rPr>
                <w:b/>
              </w:rPr>
              <w:t xml:space="preserve">da </w:t>
            </w:r>
            <w:r w:rsidR="00E756C2" w:rsidRPr="00E44DCC">
              <w:rPr>
                <w:b/>
              </w:rPr>
              <w:t xml:space="preserve">População Mundial </w:t>
            </w:r>
            <w:r w:rsidR="00E756C2" w:rsidRPr="00E756C2">
              <w:rPr>
                <w:b/>
              </w:rPr>
              <w:t>e</w:t>
            </w:r>
            <w:r w:rsidR="00E756C2" w:rsidRPr="00E44DCC">
              <w:rPr>
                <w:b/>
              </w:rPr>
              <w:t xml:space="preserve"> Brasileira</w:t>
            </w:r>
          </w:p>
          <w:p w14:paraId="1F3E177C" w14:textId="77777777" w:rsidR="00E44DCC" w:rsidRDefault="00E44DCC" w:rsidP="00595590">
            <w:pPr>
              <w:spacing w:line="360" w:lineRule="auto"/>
              <w:ind w:right="-16"/>
            </w:pPr>
          </w:p>
          <w:p w14:paraId="28718385" w14:textId="320EFBC1" w:rsidR="00EA46A7" w:rsidRDefault="004531D7" w:rsidP="00595590">
            <w:pPr>
              <w:spacing w:line="360" w:lineRule="auto"/>
              <w:ind w:right="-16"/>
              <w:jc w:val="both"/>
            </w:pPr>
            <w:r>
              <w:t xml:space="preserve">     </w:t>
            </w:r>
            <w:r w:rsidR="00595590">
              <w:t xml:space="preserve">As inclinações populacionais nas últimas décadas indicam progresso no cumprimento de metas globais estabelecidas pela Assembleia Geral das Nações Unidas. Tais metas compõem os Objetivos de Desenvolvimento Sustentável (ODS) e abrangem questões de desenvolvimento social e econômico, impactando na redução da mortalidade infantil e global, maior cuidado com a saúde sexual e reprodutiva, igualdade de gêneros e maior controle da fertilidade </w:t>
            </w:r>
            <w:r w:rsidR="00595590">
              <w:fldChar w:fldCharType="begin"/>
            </w:r>
            <w:r w:rsidR="004C3BF7">
              <w:instrText xml:space="preserve"> ADDIN ZOTERO_ITEM CSL_CITATION {"citationID":"23GWWcQG","properties":{"formattedCitation":"(2)","plainCitation":"(2)","noteIndex":0},"citationItems":[{"id":1181,"uris":["http://zotero.org/users/7110448/items/835A7GVB"],"itemData":{"id":1181,"type":"book","ISBN":"978-92-1-148316-1","language":"en","note":"OCLC: 1110010089","source":"Open WorldCat","title":"World population prospects Highlights, 2019 revision Highlights, 2019 revision","author":[{"literal":"United Nations"},{"literal":"Department of Economic and Social Affairs"},{"literal":"Population Division"}],"issued":{"date-parts":[["2019"]]}}}],"schema":"https://github.com/citation-style-language/schema/raw/master/csl-citation.json"} </w:instrText>
            </w:r>
            <w:r w:rsidR="00595590">
              <w:fldChar w:fldCharType="separate"/>
            </w:r>
            <w:r w:rsidR="00595590">
              <w:rPr>
                <w:noProof/>
              </w:rPr>
              <w:t>(2)</w:t>
            </w:r>
            <w:r w:rsidR="00595590">
              <w:fldChar w:fldCharType="end"/>
            </w:r>
            <w:r w:rsidR="00595590">
              <w:t>. Desenvolvimentos notáveis na área da biomedicina, como maior controle de doenças infecciosas, vacinação, prevenção e tratamento eficiente de doenças crônicas</w:t>
            </w:r>
            <w:r w:rsidR="009C3149">
              <w:t>,</w:t>
            </w:r>
            <w:r w:rsidR="00595590">
              <w:t xml:space="preserve"> contribuem de maneira preponderante </w:t>
            </w:r>
            <w:r w:rsidR="009C3149">
              <w:t xml:space="preserve">para </w:t>
            </w:r>
            <w:r w:rsidR="00595590">
              <w:t>es</w:t>
            </w:r>
            <w:r w:rsidR="009C3149">
              <w:t>s</w:t>
            </w:r>
            <w:r w:rsidR="00595590">
              <w:t xml:space="preserve">e cenário mundial </w:t>
            </w:r>
            <w:r w:rsidR="00595590">
              <w:fldChar w:fldCharType="begin"/>
            </w:r>
            <w:r w:rsidR="004C3BF7">
              <w:instrText xml:space="preserve"> ADDIN ZOTERO_ITEM CSL_CITATION {"citationID":"NhXMQbga","properties":{"formattedCitation":"(27)","plainCitation":"(27)","noteIndex":0},"citationItems":[{"id":1064,"uris":["http://zotero.org/users/7110448/items/JEQDTRHK"],"itemData":{"id":1064,"type":"article-journal","abstract":"Advancements in the field of biomedicine, including the control of infectious diseases through antibiotics and vaccination practices and the prevention of chronic disorders, have led to reduced mortality, increased life expectancy and, as such, growth of the older population. Ageing is accompanied by profound morphological and physiological alterations. In particular, the immune system undergoes a complex series of remodeling/restructuring events, involving almost all compartments - both the innate and the adaptive system. This process is termed immunosenescence or immune dysregulation and, basically, includes 3 events: a reduction in immune response, an increase in the inflammatory and oxidation background (inflammaging and oxi-inflammaging), and a production of autoantibodies. While there is an increase in autoimmunity in the elderly, this does not always translate into an increase in autoimmune diseases, which represent an important cause of morbidity and mortality and affect 5-10% of the world population. Each disease involves a specific age group. Generally speaking, most autoimmune diseases have a decreased peak age of onset, except for very few diseases such as giant cell arteritis and primary biliary cirrhosis, which are more prevalent among the elderly, or inflammatory bowel disease, which has 2 peaks of onset, the first one in young subjects and the other in those older than 60 years. Autoimmune disorders in the elderly have unique clinical presentations, and insidious and atypical symptoms may constitute a challenge for the physician. They are generally milder than in adults and can be controlled by a proper therapeutic treatment. However, despite advancements both in basic and clinical sciences, further studies and investigations are warranted and should be carried out in order to dissect the molecular framework induced by ageing.","container-title":"Gerontology","DOI":"10.1159/000478012","ISSN":"1423-0003","issue":"6","journalAbbreviation":"Gerontology","language":"eng","note":"PMID: 28768257","page":"515-523","source":"PubMed","title":"Autoimmunity in the Elderly: Insights from Basic Science and Clinics - A Mini-Review","title-short":"Autoimmunity in the Elderly","volume":"63","author":[{"family":"Watad","given":"Abdulla"},{"family":"Bragazzi","given":"Nicola Luigi"},{"family":"Adawi","given":"Mohammad"},{"family":"Amital","given":"Howard"},{"family":"Toubi","given":"Elias"},{"family":"Porat","given":"Bat-Sheva"},{"family":"Shoenfeld","given":"Yehuda"}],"issued":{"date-parts":[["2017"]]}}}],"schema":"https://github.com/citation-style-language/schema/raw/master/csl-citation.json"} </w:instrText>
            </w:r>
            <w:r w:rsidR="00595590">
              <w:fldChar w:fldCharType="separate"/>
            </w:r>
            <w:r w:rsidR="00595590">
              <w:rPr>
                <w:noProof/>
              </w:rPr>
              <w:t>(27)</w:t>
            </w:r>
            <w:r w:rsidR="00595590">
              <w:fldChar w:fldCharType="end"/>
            </w:r>
            <w:r w:rsidR="007257EA">
              <w:t>.</w:t>
            </w:r>
          </w:p>
          <w:p w14:paraId="799D7FAA" w14:textId="607685B4" w:rsidR="00EA46A7" w:rsidRDefault="008A32EF" w:rsidP="00595590">
            <w:pPr>
              <w:spacing w:line="360" w:lineRule="auto"/>
              <w:ind w:right="-16"/>
              <w:jc w:val="both"/>
            </w:pPr>
            <w:r>
              <w:t xml:space="preserve">     </w:t>
            </w:r>
            <w:r w:rsidR="007257EA">
              <w:t xml:space="preserve">A combinação de baixos níveis de fertilidade e maior longevidade </w:t>
            </w:r>
            <w:r w:rsidR="009C3149">
              <w:t>resultam n</w:t>
            </w:r>
            <w:r w:rsidR="007257EA">
              <w:t>o envelhecimento global da população. O número de indivíduos com mais de 65 anos superou o número de crianças com menos de 5 anos pela primeira vez na história da humanidade</w:t>
            </w:r>
            <w:r w:rsidR="009C3149">
              <w:t>,</w:t>
            </w:r>
            <w:r w:rsidR="007257EA">
              <w:t xml:space="preserve"> no ano de 2018 </w:t>
            </w:r>
            <w:r w:rsidR="007257EA">
              <w:fldChar w:fldCharType="begin"/>
            </w:r>
            <w:r w:rsidR="004C3BF7">
              <w:instrText xml:space="preserve"> ADDIN ZOTERO_ITEM CSL_CITATION {"citationID":"EqAzQOqd","properties":{"formattedCitation":"(2)","plainCitation":"(2)","noteIndex":0},"citationItems":[{"id":1181,"uris":["http://zotero.org/users/7110448/items/835A7GVB"],"itemData":{"id":1181,"type":"book","ISBN":"978-92-1-148316-1","language":"en","note":"OCLC: 1110010089","source":"Open WorldCat","title":"World population prospects Highlights, 2019 revision Highlights, 2019 revision","author":[{"literal":"United Nations"},{"literal":"Department of Economic and Social Affairs"},{"literal":"Population Division"}],"issued":{"date-parts":[["2019"]]}}}],"schema":"https://github.com/citation-style-language/schema/raw/master/csl-citation.json"} </w:instrText>
            </w:r>
            <w:r w:rsidR="007257EA">
              <w:fldChar w:fldCharType="separate"/>
            </w:r>
            <w:r w:rsidR="007257EA">
              <w:rPr>
                <w:noProof/>
              </w:rPr>
              <w:t>(2)</w:t>
            </w:r>
            <w:r w:rsidR="007257EA">
              <w:fldChar w:fldCharType="end"/>
            </w:r>
            <w:r w:rsidR="007257EA">
              <w:t>. O Departamento Econômico e Social das Nações Unidas</w:t>
            </w:r>
            <w:r w:rsidR="009C3149">
              <w:t>,</w:t>
            </w:r>
            <w:r w:rsidR="007257EA">
              <w:t xml:space="preserve"> na última atualização do </w:t>
            </w:r>
            <w:r w:rsidR="007257EA">
              <w:rPr>
                <w:i/>
              </w:rPr>
              <w:t>World Population Prospects</w:t>
            </w:r>
            <w:r w:rsidR="007257EA">
              <w:t>, em 2019, constata envelhecimento sem precedentes da população mundial. Estima-se que o número de pessoas com mais de 65 anos dobrará no mundo entre os anos de 2019 e 2050</w:t>
            </w:r>
            <w:r w:rsidR="009C3149">
              <w:t>,</w:t>
            </w:r>
            <w:r w:rsidR="007257EA">
              <w:t xml:space="preserve"> enquanto que o número de crianças com menos de 5 anos permanecerá inalterado. Projeta-se, para o ano de 2050, prevalência de 1,5 bilhão de pessoas com idade igual ou maior que 65 anos, superando o número de jovens de até 24 anos (1,3 bilhão) </w:t>
            </w:r>
            <w:r w:rsidR="007257EA">
              <w:fldChar w:fldCharType="begin"/>
            </w:r>
            <w:r w:rsidR="004C3BF7">
              <w:instrText xml:space="preserve"> ADDIN ZOTERO_ITEM CSL_CITATION {"citationID":"8xs67f7U","properties":{"formattedCitation":"(2)","plainCitation":"(2)","noteIndex":0},"citationItems":[{"id":1181,"uris":["http://zotero.org/users/7110448/items/835A7GVB"],"itemData":{"id":1181,"type":"book","ISBN":"978-92-1-148316-1","language":"en","note":"OCLC: 1110010089","source":"Open WorldCat","title":"World population prospects Highlights, 2019 revision Highlights, 2019 revision","author":[{"literal":"United Nations"},{"literal":"Department of Economic and Social Affairs"},{"literal":"Population Division"}],"issued":{"date-parts":[["2019"]]}}}],"schema":"https://github.com/citation-style-language/schema/raw/master/csl-citation.json"} </w:instrText>
            </w:r>
            <w:r w:rsidR="007257EA">
              <w:fldChar w:fldCharType="separate"/>
            </w:r>
            <w:r w:rsidR="007257EA">
              <w:rPr>
                <w:noProof/>
              </w:rPr>
              <w:t>(2)</w:t>
            </w:r>
            <w:r w:rsidR="007257EA">
              <w:fldChar w:fldCharType="end"/>
            </w:r>
            <w:r w:rsidR="007257EA">
              <w:t>. Em 2019, aproximadamente 9% da população tinha 65 anos ou mais</w:t>
            </w:r>
            <w:r w:rsidR="0073627E">
              <w:t>;</w:t>
            </w:r>
            <w:r w:rsidR="007257EA">
              <w:t xml:space="preserve"> para os anos de 2030 e 2050, estima-se prevalência de 12% e 16%, respectivamente. Para a população com mais de 80 </w:t>
            </w:r>
            <w:r w:rsidR="007257EA">
              <w:lastRenderedPageBreak/>
              <w:t>anos, es</w:t>
            </w:r>
            <w:r w:rsidR="0073627E">
              <w:t>s</w:t>
            </w:r>
            <w:r w:rsidR="007257EA">
              <w:t xml:space="preserve">e incremento é ainda mais acentuado, com projeção para o ano de 2050 de 426 milhões de pessoas </w:t>
            </w:r>
            <w:r w:rsidR="007257EA">
              <w:fldChar w:fldCharType="begin"/>
            </w:r>
            <w:r w:rsidR="004C3BF7">
              <w:instrText xml:space="preserve"> ADDIN ZOTERO_ITEM CSL_CITATION {"citationID":"x7ZvNQA6","properties":{"formattedCitation":"(2)","plainCitation":"(2)","noteIndex":0},"citationItems":[{"id":1181,"uris":["http://zotero.org/users/7110448/items/835A7GVB"],"itemData":{"id":1181,"type":"book","ISBN":"978-92-1-148316-1","language":"en","note":"OCLC: 1110010089","source":"Open WorldCat","title":"World population prospects Highlights, 2019 revision Highlights, 2019 revision","author":[{"literal":"United Nations"},{"literal":"Department of Economic and Social Affairs"},{"literal":"Population Division"}],"issued":{"date-parts":[["2019"]]}}}],"schema":"https://github.com/citation-style-language/schema/raw/master/csl-citation.json"} </w:instrText>
            </w:r>
            <w:r w:rsidR="007257EA">
              <w:fldChar w:fldCharType="separate"/>
            </w:r>
            <w:r w:rsidR="007257EA">
              <w:rPr>
                <w:noProof/>
              </w:rPr>
              <w:t>(2)</w:t>
            </w:r>
            <w:r w:rsidR="007257EA">
              <w:fldChar w:fldCharType="end"/>
            </w:r>
            <w:r w:rsidR="007257EA">
              <w:t xml:space="preserve">. </w:t>
            </w:r>
          </w:p>
          <w:p w14:paraId="011F225E" w14:textId="3DF42B93" w:rsidR="00EA46A7" w:rsidRDefault="008A32EF" w:rsidP="00594833">
            <w:pPr>
              <w:spacing w:line="360" w:lineRule="auto"/>
              <w:ind w:right="-16"/>
              <w:jc w:val="both"/>
              <w:rPr>
                <w:color w:val="222222"/>
              </w:rPr>
            </w:pPr>
            <w:r>
              <w:t xml:space="preserve">     </w:t>
            </w:r>
            <w:r w:rsidR="007257EA">
              <w:t>As mulheres apresentam uma média mais longa de expectativa de vida e superam em número os homens em idades mais avançadas. No ano de 2019, elas representavam 55% das pessoas com 65 anos ou mais e 61% das pessoas com 80 anos ou mais</w:t>
            </w:r>
            <w:r w:rsidR="00EA46A7">
              <w:t xml:space="preserve"> </w:t>
            </w:r>
            <w:r w:rsidR="00EA46A7">
              <w:fldChar w:fldCharType="begin"/>
            </w:r>
            <w:r w:rsidR="004C3BF7">
              <w:instrText xml:space="preserve"> ADDIN ZOTERO_ITEM CSL_CITATION {"citationID":"V0KAq8Oe","properties":{"formattedCitation":"(2)","plainCitation":"(2)","noteIndex":0},"citationItems":[{"id":1181,"uris":["http://zotero.org/users/7110448/items/835A7GVB"],"itemData":{"id":1181,"type":"book","ISBN":"978-92-1-148316-1","language":"en","note":"OCLC: 1110010089","source":"Open WorldCat","title":"World population prospects Highlights, 2019 revision Highlights, 2019 revision","author":[{"literal":"United Nations"},{"literal":"Department of Economic and Social Affairs"},{"literal":"Population Division"}],"issued":{"date-parts":[["2019"]]}}}],"schema":"https://github.com/citation-style-language/schema/raw/master/csl-citation.json"} </w:instrText>
            </w:r>
            <w:r w:rsidR="00EA46A7">
              <w:fldChar w:fldCharType="separate"/>
            </w:r>
            <w:r w:rsidR="00EA46A7">
              <w:rPr>
                <w:noProof/>
              </w:rPr>
              <w:t>(2)</w:t>
            </w:r>
            <w:r w:rsidR="00EA46A7">
              <w:fldChar w:fldCharType="end"/>
            </w:r>
            <w:r w:rsidR="00EA46A7">
              <w:t>. Na América Latina, a proporção da população com mais de 65 anos pode aumentar de 9% no ano de 2019 para 19% em 2050</w:t>
            </w:r>
            <w:r>
              <w:t xml:space="preserve"> </w:t>
            </w:r>
            <w:r>
              <w:fldChar w:fldCharType="begin"/>
            </w:r>
            <w:r>
              <w:instrText xml:space="preserve"> ADDIN ZOTERO_ITEM CSL_CITATION {"citationID":"KraZBaX2","properties":{"formattedCitation":"(2)","plainCitation":"(2)","noteIndex":0},"citationItems":[{"id":1181,"uris":["http://zotero.org/users/7110448/items/835A7GVB"],"itemData":{"id":1181,"type":"book","ISBN":"978-92-1-148316-1","language":"en","note":"OCLC: 1110010089","source":"Open WorldCat","title":"World population prospects Highlights, 2019 revision Highlights, 2019 revision","author":[{"literal":"United Nations"},{"literal":"Department of Economic and Social Affairs"},{"literal":"Population Division"}],"issued":{"date-parts":[["2019"]]}}}],"schema":"https://github.com/citation-style-language/schema/raw/master/csl-citation.json"} </w:instrText>
            </w:r>
            <w:r>
              <w:fldChar w:fldCharType="separate"/>
            </w:r>
            <w:r>
              <w:rPr>
                <w:noProof/>
              </w:rPr>
              <w:t>(2)</w:t>
            </w:r>
            <w:r>
              <w:fldChar w:fldCharType="end"/>
            </w:r>
            <w:r w:rsidR="00EA46A7">
              <w:t xml:space="preserve">. O Brasil está de acordo com as tendências populacionais mundiais. Sua </w:t>
            </w:r>
            <w:r w:rsidR="00EA46A7">
              <w:rPr>
                <w:color w:val="222222"/>
              </w:rPr>
              <w:t>população superou a marca de 30,2 milhões de idosos em 2017. As mulheres formam a maioria des</w:t>
            </w:r>
            <w:r w:rsidR="0073627E">
              <w:rPr>
                <w:color w:val="222222"/>
              </w:rPr>
              <w:t>s</w:t>
            </w:r>
            <w:r w:rsidR="00EA46A7">
              <w:rPr>
                <w:color w:val="222222"/>
              </w:rPr>
              <w:t xml:space="preserve">e grupo, com 16,9 milhões (56% dos idosos) enquanto que os homens correspondem a 13,3 milhões (44% dos idosos) </w:t>
            </w:r>
            <w:r w:rsidR="00EA46A7">
              <w:rPr>
                <w:color w:val="222222"/>
              </w:rPr>
              <w:fldChar w:fldCharType="begin"/>
            </w:r>
            <w:r w:rsidR="004C3BF7">
              <w:rPr>
                <w:color w:val="222222"/>
              </w:rPr>
              <w:instrText xml:space="preserve"> ADDIN ZOTERO_ITEM CSL_CITATION {"citationID":"llEuY5N4","properties":{"formattedCitation":"(28)","plainCitation":"(28)","noteIndex":0},"citationItems":[{"id":1798,"uris":["http://zotero.org/users/7110448/items/KAG2E4Y9"],"itemData":{"id":1798,"type":"webpage","title":"IBGE | Portal do IBGE | IBGE","URL":"https://www.ibge.gov.br/","accessed":{"date-parts":[["2022",1,27]]}}}],"schema":"https://github.com/citation-style-language/schema/raw/master/csl-citation.json"} </w:instrText>
            </w:r>
            <w:r w:rsidR="00EA46A7">
              <w:rPr>
                <w:color w:val="222222"/>
              </w:rPr>
              <w:fldChar w:fldCharType="separate"/>
            </w:r>
            <w:r w:rsidR="00EA46A7">
              <w:rPr>
                <w:noProof/>
                <w:color w:val="222222"/>
              </w:rPr>
              <w:t>(28)</w:t>
            </w:r>
            <w:r w:rsidR="00EA46A7">
              <w:rPr>
                <w:color w:val="222222"/>
              </w:rPr>
              <w:fldChar w:fldCharType="end"/>
            </w:r>
            <w:r w:rsidR="00EA46A7">
              <w:rPr>
                <w:color w:val="222222"/>
              </w:rPr>
              <w:t xml:space="preserve">. </w:t>
            </w:r>
          </w:p>
          <w:p w14:paraId="62172208" w14:textId="5B38706E" w:rsidR="008A32EF" w:rsidRDefault="004950D5" w:rsidP="00CC29CE">
            <w:pPr>
              <w:spacing w:line="360" w:lineRule="auto"/>
              <w:ind w:right="-16"/>
              <w:jc w:val="both"/>
            </w:pPr>
            <w:r>
              <w:t xml:space="preserve">     </w:t>
            </w:r>
            <w:r w:rsidR="00EA46A7">
              <w:t xml:space="preserve">As inclinações demográficas são arautos dos desafios futuros ao Desenvolvimento Sustentável. Antecipar as tendências demográficas, incorporá-las às políticas e ao planejamento e compreender os mecanismos envolvidos no processo de envelhecimento é imprescindível diante do impacto social, econômico e clínico no cenário mundial </w:t>
            </w:r>
            <w:r w:rsidR="00EA46A7">
              <w:fldChar w:fldCharType="begin"/>
            </w:r>
            <w:r w:rsidR="004C3BF7">
              <w:instrText xml:space="preserve"> ADDIN ZOTERO_ITEM CSL_CITATION {"citationID":"N95UCKLM","properties":{"unsorted":true,"formattedCitation":"(27,2)","plainCitation":"(27,2)","noteIndex":0},"citationItems":[{"id":1064,"uris":["http://zotero.org/users/7110448/items/JEQDTRHK"],"itemData":{"id":1064,"type":"article-journal","abstract":"Advancements in the field of biomedicine, including the control of infectious diseases through antibiotics and vaccination practices and the prevention of chronic disorders, have led to reduced mortality, increased life expectancy and, as such, growth of the older population. Ageing is accompanied by profound morphological and physiological alterations. In particular, the immune system undergoes a complex series of remodeling/restructuring events, involving almost all compartments - both the innate and the adaptive system. This process is termed immunosenescence or immune dysregulation and, basically, includes 3 events: a reduction in immune response, an increase in the inflammatory and oxidation background (inflammaging and oxi-inflammaging), and a production of autoantibodies. While there is an increase in autoimmunity in the elderly, this does not always translate into an increase in autoimmune diseases, which represent an important cause of morbidity and mortality and affect 5-10% of the world population. Each disease involves a specific age group. Generally speaking, most autoimmune diseases have a decreased peak age of onset, except for very few diseases such as giant cell arteritis and primary biliary cirrhosis, which are more prevalent among the elderly, or inflammatory bowel disease, which has 2 peaks of onset, the first one in young subjects and the other in those older than 60 years. Autoimmune disorders in the elderly have unique clinical presentations, and insidious and atypical symptoms may constitute a challenge for the physician. They are generally milder than in adults and can be controlled by a proper therapeutic treatment. However, despite advancements both in basic and clinical sciences, further studies and investigations are warranted and should be carried out in order to dissect the molecular framework induced by ageing.","container-title":"Gerontology","DOI":"10.1159/000478012","ISSN":"1423-0003","issue":"6","journalAbbreviation":"Gerontology","language":"eng","note":"PMID: 28768257","page":"515-523","source":"PubMed","title":"Autoimmunity in the Elderly: Insights from Basic Science and Clinics - A Mini-Review","title-short":"Autoimmunity in the Elderly","volume":"63","author":[{"family":"Watad","given":"Abdulla"},{"family":"Bragazzi","given":"Nicola Luigi"},{"family":"Adawi","given":"Mohammad"},{"family":"Amital","given":"Howard"},{"family":"Toubi","given":"Elias"},{"family":"Porat","given":"Bat-Sheva"},{"family":"Shoenfeld","given":"Yehuda"}],"issued":{"date-parts":[["2017"]]}},"label":"page"},{"id":1181,"uris":["http://zotero.org/users/7110448/items/835A7GVB"],"itemData":{"id":1181,"type":"book","ISBN":"978-92-1-148316-1","language":"en","note":"OCLC: 1110010089","source":"Open WorldCat","title":"World population prospects Highlights, 2019 revision Highlights, 2019 revision","author":[{"literal":"United Nations"},{"literal":"Department of Economic and Social Affairs"},{"literal":"Population Division"}],"issued":{"date-parts":[["2019"]]}},"label":"page"}],"schema":"https://github.com/citation-style-language/schema/raw/master/csl-citation.json"} </w:instrText>
            </w:r>
            <w:r w:rsidR="00EA46A7">
              <w:fldChar w:fldCharType="separate"/>
            </w:r>
            <w:r w:rsidR="00EA46A7">
              <w:rPr>
                <w:noProof/>
              </w:rPr>
              <w:t>(27,2)</w:t>
            </w:r>
            <w:r w:rsidR="00EA46A7">
              <w:fldChar w:fldCharType="end"/>
            </w:r>
            <w:r w:rsidR="00EA46A7">
              <w:t xml:space="preserve">. </w:t>
            </w:r>
          </w:p>
          <w:p w14:paraId="0CB97DA0" w14:textId="4DCD8FEC" w:rsidR="00CC29CE" w:rsidRDefault="00CC29CE" w:rsidP="00CC29CE">
            <w:pPr>
              <w:spacing w:line="360" w:lineRule="auto"/>
              <w:ind w:right="-16"/>
              <w:jc w:val="both"/>
            </w:pPr>
          </w:p>
        </w:tc>
      </w:tr>
    </w:tbl>
    <w:p w14:paraId="6B16D2F9" w14:textId="6272118D" w:rsidR="00EA46A7" w:rsidRDefault="00EA46A7" w:rsidP="0073627E">
      <w:pPr>
        <w:spacing w:line="360" w:lineRule="auto"/>
        <w:ind w:left="-142" w:right="-16"/>
      </w:pPr>
      <w:r w:rsidRPr="00841744">
        <w:rPr>
          <w:b/>
        </w:rPr>
        <w:lastRenderedPageBreak/>
        <w:t>2.</w:t>
      </w:r>
      <w:r w:rsidR="003F616B" w:rsidRPr="00841744">
        <w:rPr>
          <w:b/>
        </w:rPr>
        <w:t>1.</w:t>
      </w:r>
      <w:r w:rsidR="001D62E5" w:rsidRPr="00841744">
        <w:rPr>
          <w:b/>
        </w:rPr>
        <w:t>2</w:t>
      </w:r>
      <w:r>
        <w:t xml:space="preserve"> </w:t>
      </w:r>
      <w:r w:rsidR="00841744" w:rsidRPr="00E44DCC">
        <w:rPr>
          <w:b/>
        </w:rPr>
        <w:t xml:space="preserve">Envelhecimento </w:t>
      </w:r>
      <w:r w:rsidR="00841744" w:rsidRPr="00841744">
        <w:rPr>
          <w:b/>
        </w:rPr>
        <w:t>e</w:t>
      </w:r>
      <w:r w:rsidR="00841744" w:rsidRPr="00E44DCC">
        <w:rPr>
          <w:b/>
        </w:rPr>
        <w:t xml:space="preserve"> Eixo Hipotálamo-Hipófise-Tireoide</w:t>
      </w:r>
    </w:p>
    <w:p w14:paraId="65A89A35" w14:textId="75F99EF6" w:rsidR="00EA46A7" w:rsidRDefault="00EA46A7" w:rsidP="0073627E">
      <w:pPr>
        <w:spacing w:line="360" w:lineRule="auto"/>
        <w:ind w:left="-142" w:right="-16"/>
      </w:pPr>
    </w:p>
    <w:p w14:paraId="2F0E7833" w14:textId="25AC1207" w:rsidR="003C5F92" w:rsidRDefault="001F75D0" w:rsidP="0073627E">
      <w:pPr>
        <w:spacing w:line="360" w:lineRule="auto"/>
        <w:ind w:left="-142" w:right="57"/>
        <w:jc w:val="both"/>
      </w:pPr>
      <w:r>
        <w:t xml:space="preserve">     </w:t>
      </w:r>
      <w:r w:rsidR="00EA46A7" w:rsidRPr="00472F4B">
        <w:t>O envelhecimento é um pr</w:t>
      </w:r>
      <w:r w:rsidR="0073627E">
        <w:t>ocesso contínuo e multifatorial e</w:t>
      </w:r>
      <w:r w:rsidR="00EA46A7" w:rsidRPr="00472F4B">
        <w:t xml:space="preserve"> está associado a danos cumulativos e aleatórios</w:t>
      </w:r>
      <w:r w:rsidR="0073627E">
        <w:t>,</w:t>
      </w:r>
      <w:r w:rsidR="00EA46A7" w:rsidRPr="00472F4B">
        <w:t xml:space="preserve"> em nível molecular e celular. Culmina numa deterioração funcional, enfraquecimento do sistema imunológico, aumento da prevalência de doenças e morte</w:t>
      </w:r>
      <w:r w:rsidR="00AA56B5" w:rsidRPr="00472F4B">
        <w:t xml:space="preserve"> </w:t>
      </w:r>
      <w:r w:rsidR="00AA56B5">
        <w:fldChar w:fldCharType="begin"/>
      </w:r>
      <w:r w:rsidR="004C3BF7">
        <w:instrText xml:space="preserve"> ADDIN ZOTERO_ITEM CSL_CITATION {"citationID":"pzSAuKfm","properties":{"unsorted":true,"formattedCitation":"(29,3)","plainCitation":"(29,3)","noteIndex":0},"citationItems":[{"id":1800,"uris":["http://zotero.org/users/7110448/items/DY47GVXQ"],"itemData":{"id":1800,"type":"article-journal","abstract":"Several changes in thyroid function have been described in the elderly and largely attributed to concomitant nonthyroidal illness. The extent to which aging per se contributes to these changes remains to be elucidated, and scanty data are available in extremely old subjects. The present study was designed to focus on thyroid function during physiological aging, taking advantage of two groups of selected aged individuals: group A of healthy centenarians (n = 41; age range, 100-110 yr) and group B including healthy elderly subjects selected by the criteria of the EURAGE SENIEUR protocol (n = 33; age range, 65-80 yr). Control groups included 98 healthy normal adult subjects (group C; age range, 20-64 yr) and 52 patients with miscellaneous nonthyroidal illness (group D; age range, 28-82 yr). Our previous report of a low prevalence of thyroid autoantibodies in centenarians was confirmed and extended by the finding of a similar low autoantibody prevalence in the highly selected healthy elderly population of group B. Subclinical primary hypothyroidism was found in 3 (7.3%) centenarians, and their data were excluded from further statistical evaluation. No significant difference was found in the median serum free T4 levels of groups A-C. Median (and range) serum free T3 (FT3) was lower in centenarians [3.67 pmol/L (2.3-5.5)] than in group B [5.22 pmol/L (3.4-6.1)] and group C [5.38 pmol/L (2.9-8.4); P &lt; 0.0001 vs. both groups]. Similarly, the median serum TSH level of centenarians [0.97 mU/L (&lt; 0.09 to 2.28)] was lower than those in groups B [1.17 mU/L (0.53-2.74)] and C [1.7 mU/L (0.4-4.8); P &lt; 0.0001 vs. both groups]; moreover, serum TSH was also significantly (P &lt; 0.01) lower in group B than in group C. Both serum FT3 and TSH concentrations showed a significant inverse correlation (r = -0.634; P &lt; 0.0001 and r = -0.377; P &lt; 0.0001, respectively) with age. Median serum FT3 in centenarians was lower than that in group D patients [4.61 pmol/L (2.15-6.6); P &lt; 0.0001]. In contrast, median serum rT3 in centenarians [0.40 nmol/L (0.20-0.77)], although higher than those in groups B [0.24 nmol/L (0.15-0.37); P &lt; 0.0001] and C [0.22 nmol/L (0.05-0.46); P &lt; 0.0001], was significantly lower than that in group D [0.60 nmol/L (0.13-2.08); P &lt; 0.0001]. In conclusion, thyroid function appears to be well preserved until the eighth decade of life if healthy subjects are studied, whereas a reduction of serum FT3 is observed in extreme aging.(ABSTRACT TRUNCATED AT 400 WORDS)","container-title":"The Journal of Clinical Endocrinology and Metabolism","DOI":"10.1210/jcem.77.5.8077303","ISSN":"0021-972X","issue":"5","journalAbbreviation":"J Clin Endocrinol Metab","language":"eng","note":"PMID: 8077303","page":"1130-1134","source":"PubMed","title":"Complex alteration of thyroid function in healthy centenarians","volume":"77","author":[{"family":"Mariotti","given":"S."},{"family":"Barbesino","given":"G."},{"family":"Caturegli","given":"P."},{"family":"Bartalena","given":"L."},{"family":"Sansoni","given":"P."},{"family":"Fagnoni","given":"F."},{"family":"Monti","given":"D."},{"family":"Fagiolo","given":"U."},{"family":"Franceschi","given":"C."},{"family":"Pinchera","given":"A."}],"issued":{"date-parts":[["1993",11]]}},"label":"page"},{"id":1203,"uris":["http://zotero.org/users/7110448/items/KQITKT3P"],"itemData":{"id":1203,"type":"article-journal","abstract":"Studies in humans and in animal models show negative correlations between thyroid hormone (TH) levels and longevity. TH signaling is implicated in maintaining and integrating metabolic homeostasis at multiple levels, notably centrally in the hypothalamus but also in peripheral tissues. The question is thus raised of how TH signaling is modulated during aging in different tissues. Classically, TH actions on mitochondria and heat production are obvious candidates to link negative effects of TH to aging. Mitochondrial effects of excess TH include reactive oxygen species and DNA damage, 2 factors often considered as aging accelerators. Inversely, caloric restriction, which can retard aging from nematodes to primates, causes a rapid reduction of circulating TH, reducing metabolism in birds and mammals. However, many other factors could link TH to aging, and it is these potentially subtler and less explored areas that are highlighted here. For example, effects of TH on membrane composition, inflammatory responses, stem cell renewal and synchronization of physiological responses to light could each contribute to TH regulation of maintenance of homeostasis during aging. We propose the hypothesis that constraints on TH signaling at certain life stages, notably during maturity, are advantageous for optimal aging.","container-title":"Endocrine Reviews","DOI":"10.1210/er.2012-1056","ISSN":"1945-7189","issue":"4","journalAbbreviation":"Endocr Rev","language":"eng","note":"PMID: 23696256","page":"556-589","source":"PubMed","title":"Thyroid hormone signaling and homeostasis during aging","volume":"34","author":[{"family":"Bowers","given":"J."},{"family":"Terrien","given":"J."},{"family":"Clerget-Froidevaux","given":"M. S."},{"family":"Gothié","given":"J. D."},{"family":"Rozing","given":"M. P."},{"family":"Westendorp","given":"R. G. J."},{"family":"Heemst","given":"D.","non-dropping-particle":"van"},{"family":"Demeneix","given":"B. A."}],"issued":{"date-parts":[["2013",8]]}},"label":"page"}],"schema":"https://github.com/citation-style-language/schema/raw/master/csl-citation.json"} </w:instrText>
      </w:r>
      <w:r w:rsidR="00AA56B5">
        <w:fldChar w:fldCharType="separate"/>
      </w:r>
      <w:r w:rsidR="00624CD1">
        <w:rPr>
          <w:noProof/>
        </w:rPr>
        <w:t>(29,3)</w:t>
      </w:r>
      <w:r w:rsidR="00AA56B5">
        <w:fldChar w:fldCharType="end"/>
      </w:r>
      <w:r w:rsidR="00AA56B5">
        <w:t>. É acompanhado por alterações endócrinas, como mudanças no padrão da secreção hormonal, redução da sensibilidade dos órgãos</w:t>
      </w:r>
      <w:r w:rsidR="0073627E">
        <w:t>-</w:t>
      </w:r>
      <w:r w:rsidR="00AA56B5">
        <w:t xml:space="preserve">alvo aos hormônios e comprometimento da regulação dos eixos hormonais por retroalimentação </w:t>
      </w:r>
      <w:r w:rsidR="003C5F92">
        <w:fldChar w:fldCharType="begin"/>
      </w:r>
      <w:r w:rsidR="004C3BF7">
        <w:instrText xml:space="preserve"> ADDIN ZOTERO_ITEM CSL_CITATION {"citationID":"7aJfakpt","properties":{"formattedCitation":"(30)","plainCitation":"(30)","noteIndex":0},"citationItems":[{"id":1802,"uris":["http://zotero.org/users/7110448/items/LDITT8VV"],"itemData":{"id":1802,"type":"article-journal","abstract":"Ageing is accompanied by deterioration in physical condition and a number of physiological processes and thus a higher risk of a range of diseases and disorders. In particular, we focused on the changes associated with aging, especially the role of small molecules, their role in physiological and pathophysiological processes and potential treatment options. Our previously published results and data from other authors lead to the conclusion that these unwanted changes are mainly linked to the hypothalamic-pituitary-adrenal axis can be slowed down, stopped, or in some cases even reversed by an appropriate treatment, but especially by a life-management adjustment.","container-title":"Physiological Research","DOI":"10.33549/physiolres.934523","ISSN":"1802-9973","issue":"Suppl 2","journalAbbreviation":"Physiol Res","language":"eng","note":"PMID: 33094624","page":"S255-S272","source":"PubMed","title":"Aging, hormones and receptors","volume":"69","author":[{"family":"Hill","given":"M."},{"family":"Třískala","given":"Z."},{"family":"Honců","given":"P."},{"family":"Krejčí","given":"M."},{"family":"Kajzar","given":"J."},{"family":"Bičíková","given":"M."},{"family":"Ondřejíková","given":"L."},{"family":"Jandová","given":"D."},{"family":"Sterzl","given":"I."}],"issued":{"date-parts":[["2020",9,30]]}}}],"schema":"https://github.com/citation-style-language/schema/raw/master/csl-citation.json"} </w:instrText>
      </w:r>
      <w:r w:rsidR="003C5F92">
        <w:fldChar w:fldCharType="separate"/>
      </w:r>
      <w:r w:rsidR="00624CD1">
        <w:rPr>
          <w:noProof/>
        </w:rPr>
        <w:t>(30)</w:t>
      </w:r>
      <w:r w:rsidR="003C5F92">
        <w:fldChar w:fldCharType="end"/>
      </w:r>
      <w:r w:rsidR="003C5F92">
        <w:t>.</w:t>
      </w:r>
    </w:p>
    <w:p w14:paraId="65875438" w14:textId="35DA3AA3" w:rsidR="007C2EEB" w:rsidRDefault="001F75D0" w:rsidP="0073627E">
      <w:pPr>
        <w:spacing w:line="360" w:lineRule="auto"/>
        <w:ind w:left="-142" w:right="57"/>
        <w:jc w:val="both"/>
      </w:pPr>
      <w:r>
        <w:t xml:space="preserve">     </w:t>
      </w:r>
      <w:r w:rsidR="003C5F92">
        <w:t xml:space="preserve">O eixo </w:t>
      </w:r>
      <w:r w:rsidR="00A11DC3">
        <w:t>hipotálamo</w:t>
      </w:r>
      <w:r w:rsidR="0073627E">
        <w:t>-</w:t>
      </w:r>
      <w:r w:rsidR="00A11DC3">
        <w:t>hipófise</w:t>
      </w:r>
      <w:r w:rsidR="0073627E">
        <w:t>-</w:t>
      </w:r>
      <w:r w:rsidR="00A11DC3">
        <w:t>tireoide</w:t>
      </w:r>
      <w:r w:rsidR="003C5F92">
        <w:t xml:space="preserve"> é responsável pela homeostase dos </w:t>
      </w:r>
      <w:r w:rsidR="00A11DC3">
        <w:t xml:space="preserve">hormônios tireoidianos </w:t>
      </w:r>
      <w:r w:rsidR="003C5F92">
        <w:t xml:space="preserve">na circulação sanguínea. O núcleo paraventricular do hipotálamo secreta o </w:t>
      </w:r>
      <w:r w:rsidR="00B2739F">
        <w:t>hormônio liberador da tireotrofina (</w:t>
      </w:r>
      <w:r w:rsidR="003C5F92">
        <w:t>TRH</w:t>
      </w:r>
      <w:r w:rsidR="00B2739F">
        <w:t>)</w:t>
      </w:r>
      <w:r w:rsidR="003C5F92">
        <w:t xml:space="preserve"> que, por sua vez, regula a síntese e </w:t>
      </w:r>
      <w:r w:rsidR="0073627E">
        <w:t xml:space="preserve">a </w:t>
      </w:r>
      <w:r w:rsidR="003C5F92">
        <w:t xml:space="preserve">secreção do </w:t>
      </w:r>
      <w:r w:rsidR="00B2739F">
        <w:t>hormônio tireoestimulante (</w:t>
      </w:r>
      <w:r w:rsidR="003C5F92">
        <w:t>TSH</w:t>
      </w:r>
      <w:r w:rsidR="00B2739F">
        <w:t>)</w:t>
      </w:r>
      <w:r w:rsidR="003C5F92">
        <w:t xml:space="preserve"> pela hipófise anterior. Uma vez na circulação, o TSH se liga ao seu receptor específico na tireoide e estimula a produção e liberação dos </w:t>
      </w:r>
      <w:r w:rsidR="00B2739F">
        <w:t>hormônios tireoidianos</w:t>
      </w:r>
      <w:r w:rsidR="003C5F92">
        <w:t xml:space="preserve"> </w:t>
      </w:r>
      <w:r w:rsidR="003C5F92">
        <w:fldChar w:fldCharType="begin"/>
      </w:r>
      <w:r w:rsidR="00344DCD">
        <w:instrText xml:space="preserve"> ADDIN ZOTERO_ITEM CSL_CITATION {"citationID":"hVKqjXqQ","properties":{"unsorted":true,"formattedCitation":"(3,4)","plainCitation":"(3,4)","noteIndex":0},"citationItems":[{"id":1203,"uris":["http://zotero.org/users/7110448/items/KQITKT3P"],"itemData":{"id":1203,"type":"article-journal","abstract":"Studies in humans and in animal models show negative correlations between thyroid hormone (TH) levels and longevity. TH signaling is implicated in maintaining and integrating metabolic homeostasis at multiple levels, notably centrally in the hypothalamus but also in peripheral tissues. The question is thus raised of how TH signaling is modulated during aging in different tissues. Classically, TH actions on mitochondria and heat production are obvious candidates to link negative effects of TH to aging. Mitochondrial effects of excess TH include reactive oxygen species and DNA damage, 2 factors often considered as aging accelerators. Inversely, caloric restriction, which can retard aging from nematodes to primates, causes a rapid reduction of circulating TH, reducing metabolism in birds and mammals. However, many other factors could link TH to aging, and it is these potentially subtler and less explored areas that are highlighted here. For example, effects of TH on membrane composition, inflammatory responses, stem cell renewal and synchronization of physiological responses to light could each contribute to TH regulation of maintenance of homeostasis during aging. We propose the hypothesis that constraints on TH signaling at certain life stages, notably during maturity, are advantageous for optimal aging.","container-title":"Endocrine Reviews","DOI":"10.1210/er.2012-1056","ISSN":"1945-7189","issue":"4","journalAbbreviation":"Endocr Rev","language":"eng","note":"PMID: 23696256","page":"556-589","source":"PubMed","title":"Thyroid hormone signaling and homeostasis during aging","volume":"34","author":[{"family":"Bowers","given":"J."},{"family":"Terrien","given":"J."},{"family":"Clerget-Froidevaux","given":"M. S."},{"family":"Gothié","given":"J. D."},{"family":"Rozing","given":"M. P."},{"family":"Westendorp","given":"R. G. J."},{"family":"Heemst","given":"D.","non-dropping-particle":"van"},{"family":"Demeneix","given":"B. A."}],"issued":{"date-parts":[["2013",8]]}},"label":"page"},{"id":46,"uris":["http://zotero.org/users/7110448/items/DFR4WKE9"],"itemData":{"id":46,"type":"article-journal","container-title":"Endocrine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C"}],"issued":{"date-parts":[["2019",8,1]]}},"label":"page"}],"schema":"https://github.com/citation-style-language/schema/raw/master/csl-citation.json"} </w:instrText>
      </w:r>
      <w:r w:rsidR="003C5F92">
        <w:fldChar w:fldCharType="separate"/>
      </w:r>
      <w:r w:rsidR="003C5F92">
        <w:rPr>
          <w:noProof/>
        </w:rPr>
        <w:t>(3,4)</w:t>
      </w:r>
      <w:r w:rsidR="003C5F92">
        <w:fldChar w:fldCharType="end"/>
      </w:r>
      <w:r w:rsidR="003C5F92">
        <w:t xml:space="preserve">. </w:t>
      </w:r>
      <w:r w:rsidR="00B23142">
        <w:t>A senescência é acompanhada por alterações estocásticas em diferentes pontos des</w:t>
      </w:r>
      <w:r w:rsidR="0073627E">
        <w:t>s</w:t>
      </w:r>
      <w:r w:rsidR="00B23142">
        <w:t xml:space="preserve">e eixo. A </w:t>
      </w:r>
      <w:r w:rsidR="0073627E">
        <w:t>F</w:t>
      </w:r>
      <w:r w:rsidR="00B23142">
        <w:t xml:space="preserve">igura </w:t>
      </w:r>
      <w:r w:rsidR="002452F8">
        <w:t>1</w:t>
      </w:r>
      <w:r w:rsidR="00B23142">
        <w:t xml:space="preserve"> esquematiza o eixo hipotálamo</w:t>
      </w:r>
      <w:r w:rsidR="0073627E">
        <w:t>-</w:t>
      </w:r>
      <w:r w:rsidR="00B23142">
        <w:t>hipófise</w:t>
      </w:r>
      <w:r w:rsidR="0073627E">
        <w:t>-</w:t>
      </w:r>
      <w:r w:rsidR="00B23142">
        <w:t>tireoide</w:t>
      </w:r>
      <w:r w:rsidR="000A329E">
        <w:t>.</w:t>
      </w:r>
    </w:p>
    <w:p w14:paraId="29FECE58" w14:textId="77777777" w:rsidR="0038430D" w:rsidRDefault="0038430D" w:rsidP="0073627E">
      <w:pPr>
        <w:spacing w:line="360" w:lineRule="auto"/>
        <w:ind w:left="-142" w:right="57"/>
        <w:jc w:val="both"/>
      </w:pPr>
    </w:p>
    <w:p w14:paraId="5BF14D1B" w14:textId="77777777" w:rsidR="00190E32" w:rsidRDefault="00190E32" w:rsidP="00E44DCC">
      <w:pPr>
        <w:ind w:right="-16"/>
        <w:jc w:val="center"/>
        <w:rPr>
          <w:b/>
          <w:sz w:val="22"/>
          <w:szCs w:val="22"/>
        </w:rPr>
      </w:pPr>
    </w:p>
    <w:p w14:paraId="5327F5E0" w14:textId="77777777" w:rsidR="00190E32" w:rsidRDefault="00190E32" w:rsidP="00E44DCC">
      <w:pPr>
        <w:ind w:right="-16"/>
        <w:jc w:val="center"/>
        <w:rPr>
          <w:b/>
          <w:sz w:val="22"/>
          <w:szCs w:val="22"/>
        </w:rPr>
      </w:pPr>
    </w:p>
    <w:p w14:paraId="5E3121DA" w14:textId="0C4760DB" w:rsidR="0073627E" w:rsidRPr="0073627E" w:rsidRDefault="0073627E" w:rsidP="00E44DCC">
      <w:pPr>
        <w:ind w:right="-16"/>
        <w:jc w:val="center"/>
        <w:rPr>
          <w:sz w:val="22"/>
          <w:szCs w:val="22"/>
        </w:rPr>
      </w:pPr>
      <w:r w:rsidRPr="0073627E">
        <w:rPr>
          <w:b/>
          <w:sz w:val="22"/>
          <w:szCs w:val="22"/>
        </w:rPr>
        <w:lastRenderedPageBreak/>
        <w:t>Figura 1</w:t>
      </w:r>
      <w:r w:rsidR="00BC57AE">
        <w:rPr>
          <w:sz w:val="22"/>
          <w:szCs w:val="22"/>
        </w:rPr>
        <w:t xml:space="preserve"> - Eixo hipotálamo-hipófise-</w:t>
      </w:r>
      <w:r w:rsidRPr="0073627E">
        <w:rPr>
          <w:sz w:val="22"/>
          <w:szCs w:val="22"/>
        </w:rPr>
        <w:t>tireoide</w:t>
      </w:r>
    </w:p>
    <w:p w14:paraId="69BC4135" w14:textId="77777777" w:rsidR="0073627E" w:rsidRPr="0073627E" w:rsidRDefault="0073627E" w:rsidP="0073627E">
      <w:pPr>
        <w:ind w:right="-16"/>
        <w:jc w:val="center"/>
        <w:rPr>
          <w:sz w:val="22"/>
          <w:szCs w:val="22"/>
        </w:rPr>
      </w:pPr>
    </w:p>
    <w:p w14:paraId="6A30B5D3" w14:textId="77777777" w:rsidR="0073627E" w:rsidRPr="0073627E" w:rsidRDefault="0073627E" w:rsidP="0073627E">
      <w:pPr>
        <w:jc w:val="both"/>
        <w:rPr>
          <w:color w:val="222222"/>
          <w:sz w:val="22"/>
          <w:szCs w:val="22"/>
          <w:shd w:val="clear" w:color="auto" w:fill="FFFFFF"/>
        </w:rPr>
      </w:pPr>
      <w:r w:rsidRPr="0073627E">
        <w:rPr>
          <w:color w:val="222222"/>
          <w:sz w:val="22"/>
          <w:szCs w:val="22"/>
          <w:shd w:val="clear" w:color="auto" w:fill="FFFFFF"/>
        </w:rPr>
        <w:t xml:space="preserve">Esquematização do eixo hipotálamo hipófise tireoide. O </w:t>
      </w:r>
      <w:r w:rsidRPr="0073627E">
        <w:rPr>
          <w:sz w:val="22"/>
          <w:szCs w:val="22"/>
        </w:rPr>
        <w:t>hormônio liberador da de tireotrofina (</w:t>
      </w:r>
      <w:r w:rsidRPr="0073627E">
        <w:rPr>
          <w:color w:val="222222"/>
          <w:sz w:val="22"/>
          <w:szCs w:val="22"/>
          <w:shd w:val="clear" w:color="auto" w:fill="FFFFFF"/>
        </w:rPr>
        <w:t>TRH), produzido no hipotálamo, estimula a secreção hipofisária de hormônio tireoestimulante (TSH). Este, por sua vez, controla todas as etapas da síntese dos hormônios tireoidianos. A secreção de TRH e TSH é primariamente inibida pelo T3, 80% do qual se originam da conversão periférica do T4.</w:t>
      </w:r>
    </w:p>
    <w:p w14:paraId="06CC2BC2" w14:textId="77777777" w:rsidR="0073627E" w:rsidRDefault="0073627E" w:rsidP="00E44DCC">
      <w:pPr>
        <w:ind w:right="-16"/>
        <w:jc w:val="center"/>
        <w:rPr>
          <w:sz w:val="20"/>
          <w:szCs w:val="20"/>
        </w:rPr>
      </w:pPr>
    </w:p>
    <w:p w14:paraId="1DEC90B9" w14:textId="77777777" w:rsidR="0073627E" w:rsidRPr="005637B7" w:rsidRDefault="0073627E" w:rsidP="0073627E">
      <w:pPr>
        <w:ind w:right="-16"/>
        <w:jc w:val="both"/>
        <w:rPr>
          <w:sz w:val="20"/>
          <w:szCs w:val="20"/>
        </w:rPr>
      </w:pPr>
    </w:p>
    <w:p w14:paraId="744FDCEF" w14:textId="77777777" w:rsidR="00D74824" w:rsidRDefault="00D74824" w:rsidP="00B23142">
      <w:pPr>
        <w:spacing w:line="360" w:lineRule="auto"/>
        <w:ind w:right="-16"/>
        <w:jc w:val="center"/>
      </w:pPr>
    </w:p>
    <w:p w14:paraId="35784781" w14:textId="6F4CE73C" w:rsidR="00CC29CE" w:rsidRDefault="00D74824" w:rsidP="00B23142">
      <w:pPr>
        <w:spacing w:line="360" w:lineRule="auto"/>
        <w:ind w:right="-16"/>
        <w:jc w:val="center"/>
      </w:pPr>
      <w:r>
        <w:rPr>
          <w:noProof/>
        </w:rPr>
        <w:drawing>
          <wp:inline distT="0" distB="0" distL="0" distR="0" wp14:anchorId="036AF20C" wp14:editId="38D459BA">
            <wp:extent cx="2779200" cy="3409367"/>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6">
                      <a:extLst>
                        <a:ext uri="{28A0092B-C50C-407E-A947-70E740481C1C}">
                          <a14:useLocalDpi xmlns:a14="http://schemas.microsoft.com/office/drawing/2010/main" val="0"/>
                        </a:ext>
                      </a:extLst>
                    </a:blip>
                    <a:stretch>
                      <a:fillRect/>
                    </a:stretch>
                  </pic:blipFill>
                  <pic:spPr>
                    <a:xfrm>
                      <a:off x="0" y="0"/>
                      <a:ext cx="2803169" cy="3438771"/>
                    </a:xfrm>
                    <a:prstGeom prst="rect">
                      <a:avLst/>
                    </a:prstGeom>
                  </pic:spPr>
                </pic:pic>
              </a:graphicData>
            </a:graphic>
          </wp:inline>
        </w:drawing>
      </w:r>
    </w:p>
    <w:p w14:paraId="53655A60" w14:textId="77777777" w:rsidR="001C05F1" w:rsidRPr="005637B7" w:rsidRDefault="001C05F1" w:rsidP="005637B7">
      <w:pPr>
        <w:jc w:val="both"/>
        <w:rPr>
          <w:color w:val="222222"/>
          <w:sz w:val="20"/>
          <w:szCs w:val="20"/>
          <w:shd w:val="clear" w:color="auto" w:fill="FFFFFF"/>
        </w:rPr>
      </w:pPr>
    </w:p>
    <w:p w14:paraId="323020B5" w14:textId="6F92B567" w:rsidR="00B23142" w:rsidRPr="005637B7" w:rsidRDefault="00B23142" w:rsidP="005637B7">
      <w:pPr>
        <w:ind w:right="-16"/>
        <w:jc w:val="center"/>
        <w:rPr>
          <w:sz w:val="20"/>
          <w:szCs w:val="20"/>
        </w:rPr>
      </w:pPr>
      <w:r w:rsidRPr="0073627E">
        <w:rPr>
          <w:sz w:val="22"/>
          <w:szCs w:val="22"/>
        </w:rPr>
        <w:t xml:space="preserve">Fonte: </w:t>
      </w:r>
      <w:r w:rsidR="00F55ACE" w:rsidRPr="0073627E">
        <w:rPr>
          <w:sz w:val="22"/>
          <w:szCs w:val="22"/>
        </w:rPr>
        <w:t>Vilar</w:t>
      </w:r>
      <w:r w:rsidR="0073627E" w:rsidRPr="0073627E">
        <w:rPr>
          <w:sz w:val="22"/>
          <w:szCs w:val="22"/>
        </w:rPr>
        <w:t xml:space="preserve"> (2016) </w:t>
      </w:r>
      <w:r w:rsidR="00B53006">
        <w:rPr>
          <w:sz w:val="22"/>
          <w:szCs w:val="22"/>
        </w:rPr>
        <w:t>(125)</w:t>
      </w:r>
    </w:p>
    <w:p w14:paraId="36A6B09A" w14:textId="634D212F" w:rsidR="00BF5E8A" w:rsidRDefault="00BF5E8A" w:rsidP="00B23142">
      <w:pPr>
        <w:spacing w:line="360" w:lineRule="auto"/>
        <w:ind w:right="-16"/>
        <w:jc w:val="center"/>
      </w:pPr>
    </w:p>
    <w:p w14:paraId="17194D01" w14:textId="77777777" w:rsidR="00D74824" w:rsidRDefault="00D74824" w:rsidP="00685141">
      <w:pPr>
        <w:spacing w:line="360" w:lineRule="auto"/>
        <w:ind w:right="-16"/>
        <w:jc w:val="both"/>
      </w:pPr>
    </w:p>
    <w:p w14:paraId="19DC8C3E" w14:textId="56A8477A" w:rsidR="00BF5E8A" w:rsidRPr="00685141" w:rsidRDefault="00D74824" w:rsidP="00685141">
      <w:pPr>
        <w:spacing w:line="360" w:lineRule="auto"/>
        <w:ind w:right="-16"/>
        <w:jc w:val="both"/>
        <w:rPr>
          <w:rFonts w:ascii="Arial" w:hAnsi="Arial" w:cs="Arial"/>
          <w:color w:val="2A2A2A"/>
          <w:sz w:val="20"/>
          <w:szCs w:val="20"/>
        </w:rPr>
      </w:pPr>
      <w:r>
        <w:t xml:space="preserve">     </w:t>
      </w:r>
      <w:r w:rsidR="00B23142">
        <w:t xml:space="preserve">Por outro lado, a concentração intracelular dos </w:t>
      </w:r>
      <w:r w:rsidR="00CC29CE">
        <w:t>hormônios tireoidianos (</w:t>
      </w:r>
      <w:r w:rsidR="00B23142">
        <w:t>HT</w:t>
      </w:r>
      <w:r w:rsidR="00CC29CE">
        <w:t>)</w:t>
      </w:r>
      <w:r w:rsidR="00B23142">
        <w:t xml:space="preserve"> é customizada e determinante </w:t>
      </w:r>
      <w:r w:rsidR="007217C4">
        <w:t>para as</w:t>
      </w:r>
      <w:r w:rsidR="00B23142">
        <w:t xml:space="preserve"> respostas específicas </w:t>
      </w:r>
      <w:r w:rsidR="00CC29CE">
        <w:t>n</w:t>
      </w:r>
      <w:r w:rsidR="00B23142">
        <w:t>os órgãos alvos. A homeostase</w:t>
      </w:r>
      <w:r w:rsidR="00CE5928">
        <w:t>,</w:t>
      </w:r>
      <w:r w:rsidR="00B23142">
        <w:t xml:space="preserve"> no interior das células</w:t>
      </w:r>
      <w:r w:rsidR="00CE5928">
        <w:t>,</w:t>
      </w:r>
      <w:r w:rsidR="00B23142">
        <w:t xml:space="preserve"> é garantida pela combinação de </w:t>
      </w:r>
      <w:r w:rsidR="00077F34">
        <w:t xml:space="preserve">elementos </w:t>
      </w:r>
      <w:r w:rsidR="00B23142">
        <w:t>encontrados na membrana celular (transportadores de</w:t>
      </w:r>
      <w:r w:rsidR="000A329E">
        <w:t xml:space="preserve"> hormônios tireoidianos</w:t>
      </w:r>
      <w:r w:rsidR="00B23142">
        <w:t xml:space="preserve"> e </w:t>
      </w:r>
      <w:bookmarkStart w:id="2" w:name="OLE_LINK7"/>
      <w:bookmarkStart w:id="3" w:name="OLE_LINK8"/>
      <w:r w:rsidR="000A329E">
        <w:t xml:space="preserve">desiodase tipo </w:t>
      </w:r>
      <w:r w:rsidR="00B23142">
        <w:t>3</w:t>
      </w:r>
      <w:bookmarkEnd w:id="2"/>
      <w:bookmarkEnd w:id="3"/>
      <w:r w:rsidR="00B23142">
        <w:t>), no citoplasma (</w:t>
      </w:r>
      <w:r w:rsidR="000A329E">
        <w:t xml:space="preserve">desiodase tipo 1 e 2) </w:t>
      </w:r>
      <w:r w:rsidR="00B23142">
        <w:t>e no núcleo (</w:t>
      </w:r>
      <w:r w:rsidR="000A329E">
        <w:t>receptores dos hormônios tireoidianos</w:t>
      </w:r>
      <w:r w:rsidR="00B23142">
        <w:t xml:space="preserve">) </w:t>
      </w:r>
      <w:r w:rsidR="00D95E6A">
        <w:fldChar w:fldCharType="begin"/>
      </w:r>
      <w:r w:rsidR="00344DCD">
        <w:instrText xml:space="preserve"> ADDIN ZOTERO_ITEM CSL_CITATION {"citationID":"RZLgQhYx","properties":{"unsorted":true,"formattedCitation":"(3,4)","plainCitation":"(3,4)","noteIndex":0},"citationItems":[{"id":1203,"uris":["http://zotero.org/users/7110448/items/KQITKT3P"],"itemData":{"id":1203,"type":"article-journal","abstract":"Studies in humans and in animal models show negative correlations between thyroid hormone (TH) levels and longevity. TH signaling is implicated in maintaining and integrating metabolic homeostasis at multiple levels, notably centrally in the hypothalamus but also in peripheral tissues. The question is thus raised of how TH signaling is modulated during aging in different tissues. Classically, TH actions on mitochondria and heat production are obvious candidates to link negative effects of TH to aging. Mitochondrial effects of excess TH include reactive oxygen species and DNA damage, 2 factors often considered as aging accelerators. Inversely, caloric restriction, which can retard aging from nematodes to primates, causes a rapid reduction of circulating TH, reducing metabolism in birds and mammals. However, many other factors could link TH to aging, and it is these potentially subtler and less explored areas that are highlighted here. For example, effects of TH on membrane composition, inflammatory responses, stem cell renewal and synchronization of physiological responses to light could each contribute to TH regulation of maintenance of homeostasis during aging. We propose the hypothesis that constraints on TH signaling at certain life stages, notably during maturity, are advantageous for optimal aging.","container-title":"Endocrine Reviews","DOI":"10.1210/er.2012-1056","ISSN":"1945-7189","issue":"4","journalAbbreviation":"Endocr Rev","language":"eng","note":"PMID: 23696256","page":"556-589","source":"PubMed","title":"Thyroid hormone signaling and homeostasis during aging","volume":"34","author":[{"family":"Bowers","given":"J."},{"family":"Terrien","given":"J."},{"family":"Clerget-Froidevaux","given":"M. S."},{"family":"Gothié","given":"J. D."},{"family":"Rozing","given":"M. P."},{"family":"Westendorp","given":"R. G. J."},{"family":"Heemst","given":"D.","non-dropping-particle":"van"},{"family":"Demeneix","given":"B. A."}],"issued":{"date-parts":[["2013",8]]}},"label":"page"},{"id":46,"uris":["http://zotero.org/users/7110448/items/DFR4WKE9"],"itemData":{"id":46,"type":"article-journal","container-title":"Endocrine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C"}],"issued":{"date-parts":[["2019",8,1]]}},"label":"page"}],"schema":"https://github.com/citation-style-language/schema/raw/master/csl-citation.json"} </w:instrText>
      </w:r>
      <w:r w:rsidR="00D95E6A">
        <w:fldChar w:fldCharType="separate"/>
      </w:r>
      <w:r w:rsidR="00D95E6A">
        <w:rPr>
          <w:noProof/>
        </w:rPr>
        <w:t>(3,4)</w:t>
      </w:r>
      <w:r w:rsidR="00D95E6A">
        <w:fldChar w:fldCharType="end"/>
      </w:r>
      <w:r w:rsidR="0073627E">
        <w:t>. Alterações ness</w:t>
      </w:r>
      <w:r w:rsidR="00D95E6A">
        <w:t xml:space="preserve">es fatores impactam diretamente na resposta do organismo aos </w:t>
      </w:r>
      <w:r w:rsidR="000A329E">
        <w:t>hormônios tireoidianos</w:t>
      </w:r>
      <w:r w:rsidR="00D95E6A">
        <w:t xml:space="preserve"> e podem se associar a fenótipos específicos</w:t>
      </w:r>
      <w:r w:rsidR="00685141">
        <w:t>.</w:t>
      </w:r>
    </w:p>
    <w:p w14:paraId="7062444F" w14:textId="15FE6896" w:rsidR="00E92CC4" w:rsidRPr="001F75D0" w:rsidRDefault="001F75D0" w:rsidP="00EA46A7">
      <w:pPr>
        <w:spacing w:line="360" w:lineRule="auto"/>
        <w:ind w:right="57"/>
        <w:jc w:val="both"/>
        <w:rPr>
          <w:color w:val="2A2A2A"/>
        </w:rPr>
      </w:pPr>
      <w:r w:rsidRPr="00685141">
        <w:rPr>
          <w:color w:val="2A2A2A"/>
        </w:rPr>
        <w:t xml:space="preserve">     </w:t>
      </w:r>
      <w:r w:rsidR="00D95E6A" w:rsidRPr="00624CD1">
        <w:rPr>
          <w:color w:val="2A2A2A"/>
        </w:rPr>
        <w:t xml:space="preserve">Durante o envelhecimento, mudanças que ocorrem na tireoide e no eixo HHT afetam a produção, </w:t>
      </w:r>
      <w:r w:rsidR="0073627E">
        <w:rPr>
          <w:color w:val="2A2A2A"/>
        </w:rPr>
        <w:t xml:space="preserve">o </w:t>
      </w:r>
      <w:r w:rsidR="00D95E6A" w:rsidRPr="00624CD1">
        <w:rPr>
          <w:color w:val="2A2A2A"/>
        </w:rPr>
        <w:t xml:space="preserve">metabolismo, </w:t>
      </w:r>
      <w:r w:rsidR="0073627E">
        <w:rPr>
          <w:color w:val="2A2A2A"/>
        </w:rPr>
        <w:t xml:space="preserve">o </w:t>
      </w:r>
      <w:r w:rsidR="00D95E6A" w:rsidRPr="00624CD1">
        <w:rPr>
          <w:color w:val="2A2A2A"/>
        </w:rPr>
        <w:t xml:space="preserve">transporte e </w:t>
      </w:r>
      <w:r w:rsidR="0073627E">
        <w:rPr>
          <w:color w:val="2A2A2A"/>
        </w:rPr>
        <w:t xml:space="preserve">a </w:t>
      </w:r>
      <w:r w:rsidR="00D95E6A" w:rsidRPr="00624CD1">
        <w:rPr>
          <w:color w:val="2A2A2A"/>
        </w:rPr>
        <w:t xml:space="preserve">ação dos HT </w:t>
      </w:r>
      <w:r w:rsidR="00D95E6A">
        <w:rPr>
          <w:color w:val="2A2A2A"/>
        </w:rPr>
        <w:fldChar w:fldCharType="begin"/>
      </w:r>
      <w:r w:rsidR="00344DCD">
        <w:rPr>
          <w:color w:val="2A2A2A"/>
        </w:rPr>
        <w:instrText xml:space="preserve"> ADDIN ZOTERO_ITEM CSL_CITATION {"citationID":"PqYIn203","properties":{"formattedCitation":"(31)","plainCitation":"(31)","noteIndex":0},"citationItems":[{"id":1399,"uris":["http://zotero.org/users/7110448/items/8EMFWZYN"],"itemData":{"id":1399,"type":"article-journal","container-title":"The Lancet Diabetes &amp; Endocrinology","DOI":"10.1016/S2213-8587(18)30028-7","ISSN":"22138587","issue":"9","journalAbbreviation":"The Lancet Diabetes &amp; Endocrinology","language":"en","page":"733-742","source":"DOI.org (Crossref)","title":"Clinical aspects of thyroid function during ageing","volume":"6","author":[{"family":"Chaker","given":"Layal"},{"family":"Cappola","given":"Anne R"},{"family":"Mooijaart","given":"Simon P"},{"family":"Peeters","given":"Robin P"}],"issued":{"date-parts":[["2018",9]]}}}],"schema":"https://github.com/citation-style-language/schema/raw/master/csl-citation.json"} </w:instrText>
      </w:r>
      <w:r w:rsidR="00D95E6A">
        <w:rPr>
          <w:color w:val="2A2A2A"/>
        </w:rPr>
        <w:fldChar w:fldCharType="separate"/>
      </w:r>
      <w:r w:rsidR="004357A4">
        <w:rPr>
          <w:noProof/>
          <w:color w:val="2A2A2A"/>
        </w:rPr>
        <w:t>(31)</w:t>
      </w:r>
      <w:r w:rsidR="00D95E6A">
        <w:rPr>
          <w:color w:val="2A2A2A"/>
        </w:rPr>
        <w:fldChar w:fldCharType="end"/>
      </w:r>
      <w:r w:rsidR="00D95E6A">
        <w:rPr>
          <w:color w:val="2A2A2A"/>
        </w:rPr>
        <w:t xml:space="preserve">. Estudos mostram que as concentrações e distribuição do TSH sérico aumentam gradualmente com a idade, sugerindo um declínio na função tireoidiana ou redefinição do ponto de ajuste do TSH </w:t>
      </w:r>
      <w:r w:rsidR="00D95E6A">
        <w:rPr>
          <w:color w:val="2A2A2A"/>
        </w:rPr>
        <w:fldChar w:fldCharType="begin"/>
      </w:r>
      <w:r w:rsidR="00344DCD">
        <w:rPr>
          <w:color w:val="2A2A2A"/>
        </w:rPr>
        <w:instrText xml:space="preserve"> ADDIN ZOTERO_ITEM CSL_CITATION {"citationID":"e536WoTk","properties":{"unsorted":true,"formattedCitation":"(32,11)","plainCitation":"(32,11)","noteIndex":0},"citationItems":[{"id":1351,"uris":["http://zotero.org/users/7110448/items/WU2WBFIU"],"itemData":{"id":1351,"type":"article-journal","abstract":"NHANES III measured serum TSH, total serum T(4), antithyroperoxidase (TPOAb), and antithyroglobulin (TgAb) antibodies from a sample of 17,353 people aged &gt; or =12 yr representing the geographic and ethnic distribution of the U.S. population. These data provide a reference for other studies of these analytes in the U.S. For the 16,533 people who did not report thyroid disease, goiter, or taking thyroid medications (disease-free population), we determined mean concentrations of TSH, T(4), TgAb, and TPOAb. A reference population of 13,344 people was selected from the disease-free population by excluding, in addition, those who were pregnant, taking androgens or estrogens, who had thyroid antibodies, or biochemical hypothyroidism or hyperthyroidism. The influence of demographics on TSH, T(4), and antibodies was examined. Hypothyroidism was found in 4.6% of the U.S. population (0.3% clinical and 4.3% subclinical) and hyperthyroidism in 1.3% (0.5% clinical and 0.7% subclinical). (Subclinical hypothyroidism is used in this paper to mean mild hypothyroidism, the term now preferred by the American Thyroid Association for the laboratory findings described.) For the disease-free population, mean serum TSH was 1.50 (95% confidence interval, 1.46-1.54) mIU/liter, was higher in females than males, and higher in white non-Hispanics (whites) [1.57 (1.52-1.62) mIU/liter] than black non-Hispanics (blacks) [1.18 (1.14-1.21) mIU/liter] (P &lt; 0.001) or Mexican Americans [1.43 (1.40-1.46) mIU/liter] (P &lt; 0.001). TgAb were positive in 10.4 +/- 0.5% and TPOAb, in 11.3 +/- 0.4%; positive antibodies were more prevalent in women than men, increased with age, and TPOAb were less prevalent in blacks (4.5 +/- 0.3%) than in whites (12.3 +/- 0.5%) (P &lt; 0.001). TPOAb were significantly associated with hypo or hyperthyroidism, but TgAb were not. Using the reference population, geometric mean TSH was 1.40 +/- 0.02 mIU/liter and increased with age, and was significantly lower in blacks (1.18 +/- 0.02 mIU/liter) than whites (1.45 +/- 0.02 mIU/liter) (P &lt; 0.001) and Mexican Americans (1.37 +/- 0.02 mIU/liter) (P &lt; 0.001). Arithmetic mean total T(4) was 112.3 +/- 0.7 nmol/liter in the disease-free population and was consistently higher among Mexican Americans in all populations. In the reference population, mean total T(4) in Mexican Americans was (116.3 +/- 0.7 nmol/liter), significantly higher than whites (110.0 +/- 0.8 nmol/liter) or blacks (109.4 +/- 0.8 nmol/liter) (P &lt; 0.0001). The difference persisted in all age groups. In summary, TSH and the prevalence of antithyroid antibodies are greater in females, increase with age, and are greater in whites and Mexican Americans than in blacks. TgAb alone in the absence of TPOAb is not significantly associated with thyroid disease. The lower prevalence of thyroid antibodies and lower TSH concentrations in blacks need more research to relate these findings to clinical status. A large proportion of the U.S. population unknowingly have laboratory evidence of thyroid disease, which supports the usefulness of screening for early detection.","container-title":"The Journal of Clinical Endocrinology and Metabolism","DOI":"10.1210/jcem.87.2.8182","ISSN":"0021-972X","issue":"2","journalAbbreviation":"J Clin Endocrinol Metab","language":"eng","note":"PMID: 11836274","page":"489-499","source":"PubMed","title":"Serum TSH, T(4), and thyroid antibodies in the United States population (1988 to 1994): National Health and Nutrition Examination Survey (NHANES III)","title-short":"Serum TSH, T(4), and thyroid antibodies in the United States population (1988 to 1994)","volume":"87","author":[{"family":"Hollowell","given":"Joseph G."},{"family":"Staehling","given":"Norman W."},{"family":"Flanders","given":"W. Dana"},{"family":"Hannon","given":"W. Harry"},{"family":"Gunter","given":"Elaine W."},{"family":"Spencer","given":"Carole A."},{"family":"Braverman","given":"Lewis E."}],"issued":{"date-parts":[["2002",2]]}},"label":"page"},{"id":81,"uris":["http://zotero.org/users/7110448/items/2HWBZV3Q"],"itemData":{"id":81,"type":"article-journal","abstract":"Objective: The aim of the study was to determine whether the population shift in TSH distribution to higher concentrations with aging extends to people of exceptional longevity, namely centenarians, and to assess the relationship between concentrations of TSH and free T4 (FT4). Design/Setting/Patients: We analyzed TSH, FT4, and TSH frequency distribution curves in thyroid disease-free Ashkenazi Jews with exceptional longevity (centenarians; median age, 98 yr), in younger Ashkenazi controls (median age, 72 yr), and in a population of thyroid disease-free individuals (median age, 68 yr) from the U.S. National Health and Nutrition Examination Survey 1998 –2002 (NHANES controls).\nResults: Serum TSH was significantly higher in centenarians [1.97 (0.42–7.15) mIU/liter] than in Ashkenazi controls [1.55 (0.46 – 4.55) mIU/liter] and NHANES controls [1.61 (0.39 – 6.29) mIU/liter] (median, 2.5 and 97.5 centiles) (P Ͻ 0.001). The TSH frequency distribution curve of centenarians was relatively similar in shape to controls but shifted significantly to higher TSH, including TSH concentration at peak frequency. The TSH distribution curve of the NHANES control group was superimposable to and not significantly different from the Ashkenazi controls. FT4 was similar in centenarians and Ashkenazi controls, and there was a significant inverse correlation between FT4 and TSH in both groups.\nConclusions: The TSH population shifts to higher concentrations with age appear to be a continuum that extends even to people with exceptional longevity. The inverse correlation between TSH and FT4 in our populations suggests that changes in negative feedback may contribute to exceptional longevity. (J Clin Endocrinol Metab 94: 1251–1254, 2009)","container-title":"The Journal of Clinical Endocrinology &amp; Metabolism","DOI":"10.1210/jc.2008-2325","ISSN":"0021-972X, 1945-7197","issue":"4","journalAbbreviation":"The Journal of Clinical Endocrinology &amp; Metabolism","language":"en","page":"1251-1254","source":"DOI.org (Crossref)","title":"Extreme Longevity Is Associated with Increased Serum Thyrotropin","volume":"94","author":[{"family":"Atzmon","given":"Gil"},{"family":"Barzilai","given":"Nir"},{"family":"Hollowell","given":"Joseph G."},{"family":"Surks","given":"Martin I."},{"family":"Gabriely","given":"Ilan"}],"issued":{"date-parts":[["2009",4]]}},"label":"page"}],"schema":"https://github.com/citation-style-language/schema/raw/master/csl-citation.json"} </w:instrText>
      </w:r>
      <w:r w:rsidR="00D95E6A">
        <w:rPr>
          <w:color w:val="2A2A2A"/>
        </w:rPr>
        <w:fldChar w:fldCharType="separate"/>
      </w:r>
      <w:r w:rsidR="004357A4">
        <w:rPr>
          <w:noProof/>
          <w:color w:val="2A2A2A"/>
        </w:rPr>
        <w:t>(32,11)</w:t>
      </w:r>
      <w:r w:rsidR="00D95E6A">
        <w:rPr>
          <w:color w:val="2A2A2A"/>
        </w:rPr>
        <w:fldChar w:fldCharType="end"/>
      </w:r>
      <w:r w:rsidR="00D95E6A">
        <w:rPr>
          <w:color w:val="2A2A2A"/>
        </w:rPr>
        <w:t xml:space="preserve">. Isso pode </w:t>
      </w:r>
      <w:r w:rsidR="00D95E6A">
        <w:rPr>
          <w:color w:val="2A2A2A"/>
        </w:rPr>
        <w:lastRenderedPageBreak/>
        <w:t xml:space="preserve">estar associado ao aumento da resistência da glândula tireoide ao TSH ou diminuição do tônus dopaminérgico central </w:t>
      </w:r>
      <w:r w:rsidR="00D95E6A">
        <w:rPr>
          <w:color w:val="2A2A2A"/>
        </w:rPr>
        <w:fldChar w:fldCharType="begin"/>
      </w:r>
      <w:r w:rsidR="00344DCD">
        <w:rPr>
          <w:color w:val="2A2A2A"/>
        </w:rPr>
        <w:instrText xml:space="preserve"> ADDIN ZOTERO_ITEM CSL_CITATION {"citationID":"PK3gU7hK","properties":{"formattedCitation":"(13)","plainCitation":"(13)","noteIndex":0},"citationItems":[{"id":629,"uris":["http://zotero.org/users/7110448/items/KVGB5TYJ"],"itemData":{"id":629,"type":"article-journal","abstract":"Longevity is associated with changes in circulating levels of thyroid hormone (TH) and/or TSH in animals and humans, but underlying mechanisms remain elusive.We explored in 38 offspring of nonagenarian participants from the Leiden Longevity Study, who are enriched for longevity and in their partners, ultradian and circadian rhythmicity of TSH, temporal relationship, and feedback and forward interplay between TSH and TH.We collected blood samples every 10 minutes for 24 hours for TSH and TH profiles. We used a deconvolution analysis to estimate basal (nonpulsatile), pulsatile, and other secretion parameters to characterize ultradian rhythmicity and locally weighted polynomial regression of TSH to assess circadian rhythmicity. A cross-correlation analysis was used to investigate the temporal relationship between TSH and TH and cross-approximate entropy to assess feedback and forward interplay between TSH and TH.Compared with partners, offspring displayed higher mean (95% confidence interval [CI]) basal TSH secretion (34.3 [95% CI 27.2–43.1] mU/L per 24 hours vs 18.5 [95% CI 14.4–23.7] mU/L per 24 hours, P = .001) but no differences in ultradian or circadian properties of TSH. The temporal relationship between TSH and free T3 at zero delay was higher in offspring (0.48 ± 0.2) compared with partners (0.26 ± 0.4) (P = .05), but the feedback and forward interplay between TSH and TH did not differ.Familial longevity is associated with increased basal TSH secretion and a strong temporal relationship between TSH and free T3 but not with differences in ultradian or circadian TSH rhythmicity or feedback and forward interplay between TSH and TH.","container-title":"The Journal of Clinical Endocrinology &amp; Metabolism","DOI":"10.1210/jc.2015-2624","ISSN":"0021-972X","issue":"10","journalAbbreviation":"The Journal of Clinical Endocrinology &amp; Metabolism","page":"3806-3813","source":"Silverchair","title":"Familial Longevity Is Associated With Higher TSH Secretion and Strong TSH-fT3 Relationship","volume":"100","author":[{"family":"Jansen","given":"Steffy W."},{"family":"Roelfsema","given":"Ferdinand"},{"family":"Spoel","given":"Evie","non-dropping-particle":"van der"},{"family":"Akintola","given":"Abimbola A."},{"family":"Postmus","given":"Iris"},{"family":"Ballieux","given":"Bart E."},{"family":"Slagboom","given":"P. Eline"},{"family":"Cobbaert","given":"Christa M."},{"family":"Grond","given":"Jeroen","non-dropping-particle":"van der"},{"family":"Westendorp","given":"Rudi G."},{"family":"Pijl","given":"Hanno"},{"family":"Heemst","given":"Diana","non-dropping-particle":"van"}],"issued":{"date-parts":[["2015",10,1]]}}}],"schema":"https://github.com/citation-style-language/schema/raw/master/csl-citation.json"} </w:instrText>
      </w:r>
      <w:r w:rsidR="00D95E6A">
        <w:rPr>
          <w:color w:val="2A2A2A"/>
        </w:rPr>
        <w:fldChar w:fldCharType="separate"/>
      </w:r>
      <w:r w:rsidR="00D95E6A">
        <w:rPr>
          <w:noProof/>
          <w:color w:val="2A2A2A"/>
        </w:rPr>
        <w:t>(13)</w:t>
      </w:r>
      <w:r w:rsidR="00D95E6A">
        <w:rPr>
          <w:color w:val="2A2A2A"/>
        </w:rPr>
        <w:fldChar w:fldCharType="end"/>
      </w:r>
      <w:r w:rsidR="00D95E6A">
        <w:rPr>
          <w:color w:val="2A2A2A"/>
        </w:rPr>
        <w:t xml:space="preserve">. </w:t>
      </w:r>
      <w:r w:rsidR="00804047">
        <w:rPr>
          <w:color w:val="2A2A2A"/>
        </w:rPr>
        <w:t xml:space="preserve">O processo de envelhecimento ocasiona redução da absorção </w:t>
      </w:r>
      <w:r w:rsidR="005274AE">
        <w:rPr>
          <w:color w:val="2A2A2A"/>
        </w:rPr>
        <w:t xml:space="preserve">intestinal </w:t>
      </w:r>
      <w:r w:rsidR="00804047">
        <w:rPr>
          <w:color w:val="2A2A2A"/>
        </w:rPr>
        <w:t xml:space="preserve">e organificação do iodo no interior da </w:t>
      </w:r>
      <w:r w:rsidR="00BF5E8A">
        <w:rPr>
          <w:color w:val="2A2A2A"/>
        </w:rPr>
        <w:t>glândula</w:t>
      </w:r>
      <w:r w:rsidR="00804047">
        <w:rPr>
          <w:color w:val="2A2A2A"/>
        </w:rPr>
        <w:t xml:space="preserve">, comprometendo sua resposta ao estímulo do TSH </w:t>
      </w:r>
      <w:r w:rsidR="00624CD1">
        <w:rPr>
          <w:color w:val="2A2A2A"/>
        </w:rPr>
        <w:fldChar w:fldCharType="begin"/>
      </w:r>
      <w:r w:rsidR="00344DCD">
        <w:rPr>
          <w:color w:val="2A2A2A"/>
        </w:rPr>
        <w:instrText xml:space="preserve"> ADDIN ZOTERO_ITEM CSL_CITATION {"citationID":"4kY4OaGR","properties":{"formattedCitation":"(33)","plainCitation":"(33)","noteIndex":0},"citationItems":[{"id":1717,"uris":["http://zotero.org/users/7110448/items/K65TF76S"],"itemData":{"id":1717,"type":"article-journal","abstract":"Hypothyroidism is characterized by increased thyrotropin (TSH) levels and reduced free thyroid hormone fractions while, subclinical hypothyroidism (sHT) by elevated serum TSH in the face of normal thyroid hormones. The high frequency of hypothyroidism among the general population in Western Countries made levothyroxine (LT4) one of the 10 most prescribed drugs. However, circulating TSH has been demonstrated to increase with aging, regardless the existence of an actual thyroid disease. Thus, when confronting an increase in circulating TSH levels in the elderly, especially in the oldest old, it is important to carry an appropriate diagnostic path, comprehensive of clinical picture as well as laboratory and imaging techniques. In the current review, we summarize the recommendations for a correct diagnostic workup and therapeutic approach to older people with elevated TSH value, with special attention to the presence of frailty, comorbidities, and poly-therapy. The treatment of choice for hypothyroid patients is hormone replacement with LT4 but, it is important to consider multiple factors before commencing the therapy, from the age dependent TSH increase to the presence of an actual thyroid disease and comorbidities. When treatment is necessary, a tailored therapy should be chosen, considering poly-pharmacy and frailty. A careful follow-up and treatment re-assessment should be always considered to avoid the risk of over-treatment. It is important to stress the need of educating the patient for a correct administration of LT4, particularly when poly-therapy is in place, and the importance of a tailored therapeutic approach and follow-up, to avoid overtreatment.","container-title":"Frontiers in Endocrinology","DOI":"10.3389/fendo.2019.00177","ISSN":"1664-2392","journalAbbreviation":"Front Endocrinol (Lausanne)","note":"PMID: 30967841\nPMCID: PMC6438852","page":"177","source":"PubMed Central","title":"Overt and Subclinical Hypothyroidism in the Elderly: When to Treat?","title-short":"Overt and Subclinical Hypothyroidism in the Elderly","volume":"10","author":[{"family":"Calsolaro","given":"Valeria"},{"family":"Niccolai","given":"Filippo"},{"family":"Pasqualetti","given":"Giuseppe"},{"family":"Calabrese","given":"Alessia Maria"},{"family":"Polini","given":"Antonio"},{"family":"Okoye","given":"Chukwuma"},{"family":"Magno","given":"Silvia"},{"family":"Caraccio","given":"Nadia"},{"family":"Monzani","given":"Fabio"}],"issued":{"date-parts":[["2019",3,22]]}}}],"schema":"https://github.com/citation-style-language/schema/raw/master/csl-citation.json"} </w:instrText>
      </w:r>
      <w:r w:rsidR="00624CD1">
        <w:rPr>
          <w:color w:val="2A2A2A"/>
        </w:rPr>
        <w:fldChar w:fldCharType="separate"/>
      </w:r>
      <w:r w:rsidR="004357A4">
        <w:rPr>
          <w:noProof/>
          <w:color w:val="2A2A2A"/>
        </w:rPr>
        <w:t>(33)</w:t>
      </w:r>
      <w:r w:rsidR="00624CD1">
        <w:rPr>
          <w:color w:val="2A2A2A"/>
        </w:rPr>
        <w:fldChar w:fldCharType="end"/>
      </w:r>
      <w:r w:rsidR="00624CD1">
        <w:rPr>
          <w:color w:val="2A2A2A"/>
        </w:rPr>
        <w:t xml:space="preserve">.  </w:t>
      </w:r>
      <w:r w:rsidR="00E92CC4">
        <w:rPr>
          <w:color w:val="2A2A2A"/>
        </w:rPr>
        <w:t xml:space="preserve">A perda da ritmicidade circadiana que também ocorre em idades mais avançadas impacta em diversas funções endócrinas e metabólicas. No eixo HHT, o comprometimento do padrão do sono pode reduzir a amplitude da secreção do TSH </w:t>
      </w:r>
      <w:r w:rsidR="00E92CC4">
        <w:rPr>
          <w:color w:val="2A2A2A"/>
        </w:rPr>
        <w:fldChar w:fldCharType="begin"/>
      </w:r>
      <w:r w:rsidR="004C3BF7">
        <w:rPr>
          <w:color w:val="2A2A2A"/>
        </w:rPr>
        <w:instrText xml:space="preserve"> ADDIN ZOTERO_ITEM CSL_CITATION {"citationID":"rd2jpPUp","properties":{"unsorted":true,"formattedCitation":"(34,3)","plainCitation":"(34,3)","noteIndex":0},"citationItems":[{"id":1277,"uris":["http://zotero.org/users/7110448/items/7JLD9FC8"],"itemData":{"id":1277,"type":"article-journal","abstract":"To delineate the physiological effects of aging on basal levels and temporal patterns of neuroendocrine secretions, the 24-h profiles of cortisol, thyroid-stimulating hormone (TSH), melatonin, prolactin, and growth hormone (GH) levels were simultaneously obtained at frequent intervals in eight healthy, active elderly men, age 67-84 yr and in eight young male adults, age 20-27 yr. The study was preceded by an extended period of habituation to laboratory conditions, and sleep was polygraphically recorded. Mean cortisol levels in the elderly were normal, but the amplitude of the circadian rhythm was reduced. Circulating levels of daytime and nighttime levels of both TSH and GH were greatly diminished in old age. In contrast, prolactin and melatonin concentrations were decreased during the nighttime only. The circadian rises of cortisol, TSH, and melatonin occurred 1-1.5 h earlier in elderly subjects, and the distribution of rapid-eye-movement stages during sleep was similarly advanced, suggesting that circadian timekeeping is modified during normal senescence. Despite perturbations of sleep, sleep-related release of GH and prolactin occurred in all elderly men. Age-related decreases in hormonal levels were associated with a decrease in the amplitude, but not the frequency, of secretory pulses. These findings demonstrate that the normal process of aging involves alterations in the central mechanisms controlling the temporal organization of endocrine release in addition to a reduction of secretory outputs.","container-title":"The American Journal of Physiology","DOI":"10.1152/ajpendo.1991.260.4.E651","ISSN":"0002-9513","issue":"4 Pt 1","journalAbbreviation":"Am J Physiol","language":"eng","note":"PMID: 2018128","page":"E651-661","source":"PubMed","title":"Neuroendocrine rhythms and sleep in aging men","volume":"260","author":[{"family":"Coevorden","given":"A.","non-dropping-particle":"van"},{"family":"Mockel","given":"J."},{"family":"Laurent","given":"E."},{"family":"Kerkhofs","given":"M."},{"family":"L'Hermite-Balériaux","given":"M."},{"family":"Decoster","given":"C."},{"family":"Nève","given":"P."},{"family":"Van Cauter","given":"E."}],"issued":{"date-parts":[["1991",4]]}},"label":"page"},{"id":1203,"uris":["http://zotero.org/users/7110448/items/KQITKT3P"],"itemData":{"id":1203,"type":"article-journal","abstract":"Studies in humans and in animal models show negative correlations between thyroid hormone (TH) levels and longevity. TH signaling is implicated in maintaining and integrating metabolic homeostasis at multiple levels, notably centrally in the hypothalamus but also in peripheral tissues. The question is thus raised of how TH signaling is modulated during aging in different tissues. Classically, TH actions on mitochondria and heat production are obvious candidates to link negative effects of TH to aging. Mitochondrial effects of excess TH include reactive oxygen species and DNA damage, 2 factors often considered as aging accelerators. Inversely, caloric restriction, which can retard aging from nematodes to primates, causes a rapid reduction of circulating TH, reducing metabolism in birds and mammals. However, many other factors could link TH to aging, and it is these potentially subtler and less explored areas that are highlighted here. For example, effects of TH on membrane composition, inflammatory responses, stem cell renewal and synchronization of physiological responses to light could each contribute to TH regulation of maintenance of homeostasis during aging. We propose the hypothesis that constraints on TH signaling at certain life stages, notably during maturity, are advantageous for optimal aging.","container-title":"Endocrine Reviews","DOI":"10.1210/er.2012-1056","ISSN":"1945-7189","issue":"4","journalAbbreviation":"Endocr Rev","language":"eng","note":"PMID: 23696256","page":"556-589","source":"PubMed","title":"Thyroid hormone signaling and homeostasis during aging","volume":"34","author":[{"family":"Bowers","given":"J."},{"family":"Terrien","given":"J."},{"family":"Clerget-Froidevaux","given":"M. S."},{"family":"Gothié","given":"J. D."},{"family":"Rozing","given":"M. P."},{"family":"Westendorp","given":"R. G. J."},{"family":"Heemst","given":"D.","non-dropping-particle":"van"},{"family":"Demeneix","given":"B. A."}],"issued":{"date-parts":[["2013",8]]}},"label":"page"}],"schema":"https://github.com/citation-style-language/schema/raw/master/csl-citation.json"} </w:instrText>
      </w:r>
      <w:r w:rsidR="00E92CC4">
        <w:rPr>
          <w:color w:val="2A2A2A"/>
        </w:rPr>
        <w:fldChar w:fldCharType="separate"/>
      </w:r>
      <w:r w:rsidR="00821A28">
        <w:rPr>
          <w:noProof/>
          <w:color w:val="2A2A2A"/>
        </w:rPr>
        <w:t>(34,3)</w:t>
      </w:r>
      <w:r w:rsidR="00E92CC4">
        <w:rPr>
          <w:color w:val="2A2A2A"/>
        </w:rPr>
        <w:fldChar w:fldCharType="end"/>
      </w:r>
      <w:r w:rsidR="00E92CC4">
        <w:rPr>
          <w:color w:val="2A2A2A"/>
        </w:rPr>
        <w:t xml:space="preserve">. </w:t>
      </w:r>
      <w:r w:rsidR="00E92CC4">
        <w:t xml:space="preserve">Além disso, a bioatividade do TSH pode estar reduzida por alteração da glicosilação, fenômeno </w:t>
      </w:r>
      <w:r w:rsidR="002B4D5F">
        <w:t>pós-</w:t>
      </w:r>
      <w:proofErr w:type="spellStart"/>
      <w:r w:rsidR="002B4D5F">
        <w:t>traducional</w:t>
      </w:r>
      <w:proofErr w:type="spellEnd"/>
      <w:r w:rsidR="002B4D5F">
        <w:t xml:space="preserve"> de </w:t>
      </w:r>
      <w:r w:rsidR="00CC29CE">
        <w:t>proteínas</w:t>
      </w:r>
      <w:r w:rsidR="002B4D5F">
        <w:t xml:space="preserve"> </w:t>
      </w:r>
      <w:r w:rsidR="00E92CC4">
        <w:t xml:space="preserve">que oferece estabilidade e proteção contra agregação intracelular e degradação proteolítica, garantindo seu efeito biológico </w:t>
      </w:r>
      <w:r w:rsidR="00E92CC4">
        <w:fldChar w:fldCharType="begin"/>
      </w:r>
      <w:r w:rsidR="00344DCD">
        <w:instrText xml:space="preserve"> ADDIN ZOTERO_ITEM CSL_CITATION {"citationID":"haWcBgGh","properties":{"unsorted":true,"formattedCitation":"(35,36)","plainCitation":"(35,36)","noteIndex":0},"citationItems":[{"id":1271,"uris":["http://zotero.org/users/7110448/items/62JQ3SI9"],"itemData":{"id":1271,"type":"article-journal","abstract":"A secreção de tireotrofina (TSH) é determinada pelo efeito estimulatório do hormônio hipotalâmico estimulador de tireotrofina (TRH) e pela retroalimentação negativa exercida pelos hormônios tireóideos (HT). Superpostos, atuam outros reguladores e aferências do sistema nervoso central. Somatostatina e dopamina inibem a secreção de TSH, já as vias alfa-adrenérgicas centrais são predominantemente estimuladoras e participariam no estímulo da secreção de TSH pelo frio. O estado nutricional modula o eixo através da leptina, por vias diretas e indiretas. O estresse induz redução da secreção de TSH, e discute-se a participação dos glicocorticóides, citocinas e opiáceos. Recentemente, evidenciou-se que fatores locais produzidos na adenohipófise podem atuar de forma autócrina/parácrina, modulando a secreção de TSH. Dentre estes, destacam-se a neuromedina B e o peptídeo liberador de gastrina, que atuam como inibidores locais da secreção de TSH. Discute-se ainda, as alterações do TSH decorrentes da programação neonatal, por hormônios ou desnutrição.\n          , \n            The set point of thyrotropin (TSH) secretion is determined by the balance of a positive regulation of thyrotropin releasing hormone (TRH) and the strong negative regulation exerted by thyroid hormones. In addition, there are other regulators superimposed on this main axis such as somatostatin and dopamine, which act as inhibitors of TSH secretion, and central alpha-adrenergic pathways that are predominantly stimulatory and involved in the cold-induced thyroid activation. Nutritional status and leptin also regulate TSH by stimulating TRH neurons through direct and indirect mechanisms. Stress is also involved in lowering TRH/TSH secretion possibly through glucocorticoids, cytokines and opioids. Recently, a new regulatory pathway has been proposed, via peptides produced in pituitary, acting in an autocrine/paracrine manner. Among those, more consistent data are available on neuromedin B, gastrin-releasing peptide and pituitary leptin, which act as local inhibitors of TSH release. Neonatal programming of TSH secretion set point is also discussed.","container-title":"Arquivos Brasileiros de Endocrinologia &amp; Metabologia","DOI":"10.1590/S0004-27302004000100006","ISSN":"0004-2730","issue":"1","journalAbbreviation":"Arq Bras Endocrinol Metab","language":"pt","page":"40-52","source":"DOI.org (Crossref)","title":"Regulação da síntese e secreção de tireotrofina","volume":"48","author":[{"family":"Moura","given":"Egberto G.","dropping-particle":"de"},{"family":"Moura","given":"Carmen C. Pazos","dropping-particle":"de"}],"issued":{"date-parts":[["2004",2]]}},"label":"page"},{"id":107,"uris":["http://zotero.org/users/7110448/items/CRM566TH"],"itemData":{"id":107,"type":"chapter","abstract":"The hypothalamus-pituitary-thyroid (HPT) axis determines the set point of thyroid hormone (TH) production. Hypothalamic thyrotropin-releasing hormone (TRH) stimulates the synthesis and secretion of pituitary thyrotropin (thyroid-stimulating hormone, TSH), which acts at the thyroid to stimulate all steps of TH biosynthesis and secretion. The THs thyroxine (T4) and triiodothyronine (T3) control the secretion of TRH and TSH by negative feedback to maintain physiological levels of the main hormones of the HPT axis. Reduction of circulating TH levels due to primary thyroid failure results in increased TRH and TSH production, whereas the opposite occurs when circulating THs are in excess. Other neural, humoral, and local factors modulate the HPT axis and, in speciﬁc situations, determine alterations in the physiological function of the axis. The roles of THs are vital to nervous system development, linear growth, energetic metabolism, and thermogenesis. THs also regulate the hepatic metabolism of nutrients, ﬂuid balance and the cardiovascular system. In cells, TH actions are mediated mainly by nuclear TH receptors (210), which modify gene expression. T3 is the preferred ligand of THR, whereas T4, the serum concentration of which is 100-fold higher than that of T3, undergoes extra-thyroidal conversion to T3. This conversion is catalyzed by 5′-deiodinases (D1 and D2), which are TH-activating enzymes. T4 can also be inactivated by conversion to reverse T3, which has very low afﬁnity for THR, by 5-deiodinase (D3). The regulation of deiodinases, particularly D2, and TH transporters at the cell membrane control T3 availability, which is fundamental for TH action. © 2016 American Physiological Society. Compr Physiol 6:1387-1428, 2016.","container-title":"Comprehensive Physiology","event-place":"Hoboken, NJ, USA","ISBN":"978-0-470-65071-4","language":"en","note":"DOI: 10.1002/cphy.c150027","page":"1387-1428","publisher":"John Wiley &amp; Sons, Inc.","publisher-place":"Hoboken, NJ, USA","source":"DOI.org (Crossref)","title":"Hypothalamus-Pituitary-Thyroid Axis","URL":"http://doi.wiley.com/10.1002/cphy.c150027","editor":[{"family":"Terjung","given":"Ronald"}],"author":[{"family":"Ortiga-Carvalho","given":"Tania M."},{"family":"Chiamolera","given":"Maria I."},{"family":"Pazos-Moura","given":"Carmen C."},{"family":"Wondisford","given":"Fredric E."}],"accessed":{"date-parts":[["2021",3,21]]},"issued":{"date-parts":[["2016",6,13]]}},"label":"page"}],"schema":"https://github.com/citation-style-language/schema/raw/master/csl-citation.json"} </w:instrText>
      </w:r>
      <w:r w:rsidR="00E92CC4">
        <w:fldChar w:fldCharType="separate"/>
      </w:r>
      <w:r w:rsidR="00821A28">
        <w:rPr>
          <w:noProof/>
        </w:rPr>
        <w:t>(35,36)</w:t>
      </w:r>
      <w:r w:rsidR="00E92CC4">
        <w:fldChar w:fldCharType="end"/>
      </w:r>
      <w:r w:rsidR="00E92CC4">
        <w:t xml:space="preserve">. </w:t>
      </w:r>
    </w:p>
    <w:p w14:paraId="1029C5D6" w14:textId="46398135" w:rsidR="001F75D0" w:rsidRDefault="001F75D0" w:rsidP="00EA46A7">
      <w:pPr>
        <w:spacing w:line="360" w:lineRule="auto"/>
        <w:ind w:right="57"/>
        <w:jc w:val="both"/>
      </w:pPr>
      <w:r>
        <w:rPr>
          <w:color w:val="2A2A2A"/>
        </w:rPr>
        <w:t xml:space="preserve">     </w:t>
      </w:r>
      <w:r w:rsidR="00E92CC4">
        <w:rPr>
          <w:color w:val="2A2A2A"/>
        </w:rPr>
        <w:t>Alterações no metabolismo periférico dos HT</w:t>
      </w:r>
      <w:r w:rsidR="0073627E">
        <w:rPr>
          <w:color w:val="2A2A2A"/>
        </w:rPr>
        <w:t>,</w:t>
      </w:r>
      <w:r w:rsidR="00E92CC4">
        <w:rPr>
          <w:color w:val="2A2A2A"/>
        </w:rPr>
        <w:t xml:space="preserve"> associadas ao envelhecimento</w:t>
      </w:r>
      <w:r w:rsidR="0073627E">
        <w:rPr>
          <w:color w:val="2A2A2A"/>
        </w:rPr>
        <w:t>,</w:t>
      </w:r>
      <w:r w:rsidR="00E92CC4">
        <w:rPr>
          <w:color w:val="2A2A2A"/>
        </w:rPr>
        <w:t xml:space="preserve"> podem</w:t>
      </w:r>
      <w:r w:rsidR="00337062">
        <w:rPr>
          <w:color w:val="2A2A2A"/>
        </w:rPr>
        <w:t xml:space="preserve"> </w:t>
      </w:r>
      <w:r w:rsidR="00E92CC4">
        <w:rPr>
          <w:color w:val="2A2A2A"/>
        </w:rPr>
        <w:t xml:space="preserve"> contribuir com mudanças nas </w:t>
      </w:r>
      <w:r w:rsidR="00337062">
        <w:rPr>
          <w:color w:val="2A2A2A"/>
        </w:rPr>
        <w:t xml:space="preserve">suas </w:t>
      </w:r>
      <w:r w:rsidR="00E92CC4">
        <w:rPr>
          <w:color w:val="2A2A2A"/>
        </w:rPr>
        <w:t xml:space="preserve">concentrações séricas </w:t>
      </w:r>
      <w:r w:rsidR="00E92CC4">
        <w:rPr>
          <w:color w:val="2A2A2A"/>
        </w:rPr>
        <w:fldChar w:fldCharType="begin"/>
      </w:r>
      <w:r w:rsidR="00344DCD">
        <w:rPr>
          <w:color w:val="2A2A2A"/>
        </w:rPr>
        <w:instrText xml:space="preserve"> ADDIN ZOTERO_ITEM CSL_CITATION {"citationID":"ZasNdpdG","properties":{"formattedCitation":"(37)","plainCitation":"(37)","noteIndex":0},"citationItems":[{"id":53,"uris":["http://zotero.org/users/7110448/items/5DGFK9F2"],"itemData":{"id":53,"type":"article-journal","abstract":"Context: Physiological changes in thyroid hormone concentrations might be related to changes in the overall physical function in the elderly.\n            Objective: We determined to what extent thyroid hormone concentrations are related to physical function and mortality in elderly men.\n            Design: A longitudinal population study (the Zoetermeer study) was conducted. Mortality was registered in the subsequent 4 yr.\n            Participants: Four hundred three independently and ambulatory living men (aged 73–94 yr) participated.\n            Main Outcome Measures: The study examined the association between serum thyroid hormones and parameters of physical function as well as the association with mortality.\n            Methods: TSH, free T4 (FT4) total T4, T3, rT3, and T4-binding globulin were measured. Physical function was estimated by the number of problems in activities of daily living, a measure of physical performance score (PPS), leg extensor strength and grip strength, bone density, and body composition.\n            Results: Serum rT3 increased significantly with age and the presence of disease. Sixty-three men met the biochemical criteria for the low T3 syndrome (decreased serum T3 and increased serum rT3). This was associated with a lower PPS, independent of disease. Furthermore, higher serum FT4 (within the normal range of healthy adults) and rT3 (above the normal range of healthy adults) were related with a lower grip strength and PPS, independent of age and disease. Isolated low T3 was associated with a better PPS and a higher lean body mass. Low FT4 was related to a decreased risk of 4-yr mortality.\n            Conclusions: In a population of independently living elderly men, higher FT4 and rT3 concentrations are associated with a lower physical function. High serum rT3 may result from a decreased peripheral metabolism of thyroid hormones due to the aging process itself and/or disease and may reflect a catabolic state. Low serum FT4 is associated with a better 4-yr survival; this may reflect an adaptive mechanism to prevent excessive catabolism.","container-title":"The Journal of Clinical Endocrinology &amp; Metabolism","DOI":"10.1210/jc.2005-0872","ISSN":"0021-972X, 1945-7197","issue":"12","language":"en","page":"6403-6409","source":"DOI.org (Crossref)","title":"Thyroid Hormone Concentrations, Disease, Physical Function, and Mortality in Elderly Men","volume":"90","author":[{"family":"Beld","given":"Annewieke W.","non-dropping-particle":"van den"},{"family":"Visser","given":"Theo J."},{"family":"Feelders","given":"Richard A."},{"family":"Grobbee","given":"Diederick E."},{"family":"Lamberts","given":"Steven W. J."}],"issued":{"date-parts":[["2005",12,1]]}}}],"schema":"https://github.com/citation-style-language/schema/raw/master/csl-citation.json"} </w:instrText>
      </w:r>
      <w:r w:rsidR="00E92CC4">
        <w:rPr>
          <w:color w:val="2A2A2A"/>
        </w:rPr>
        <w:fldChar w:fldCharType="separate"/>
      </w:r>
      <w:r w:rsidR="00821A28">
        <w:rPr>
          <w:noProof/>
          <w:color w:val="2A2A2A"/>
        </w:rPr>
        <w:t>(37)</w:t>
      </w:r>
      <w:r w:rsidR="00E92CC4">
        <w:rPr>
          <w:color w:val="2A2A2A"/>
        </w:rPr>
        <w:fldChar w:fldCharType="end"/>
      </w:r>
      <w:r w:rsidR="00E92CC4">
        <w:rPr>
          <w:color w:val="2A2A2A"/>
        </w:rPr>
        <w:t xml:space="preserve">. A redução da atividade da </w:t>
      </w:r>
      <w:r w:rsidR="00991A3E">
        <w:rPr>
          <w:color w:val="2A2A2A"/>
        </w:rPr>
        <w:t xml:space="preserve">desiodase tipo 1 </w:t>
      </w:r>
      <w:r w:rsidR="00E92CC4">
        <w:rPr>
          <w:color w:val="2A2A2A"/>
        </w:rPr>
        <w:t xml:space="preserve">no fígado pode levar </w:t>
      </w:r>
      <w:r w:rsidR="00624EB4">
        <w:rPr>
          <w:color w:val="2A2A2A"/>
        </w:rPr>
        <w:t xml:space="preserve">à </w:t>
      </w:r>
      <w:r w:rsidR="00E92CC4">
        <w:rPr>
          <w:color w:val="2A2A2A"/>
        </w:rPr>
        <w:t xml:space="preserve">diminuição do T3 sérico por comprometimento da conversão de T4 em T3 </w:t>
      </w:r>
      <w:r w:rsidR="00E92CC4">
        <w:rPr>
          <w:color w:val="2A2A2A"/>
        </w:rPr>
        <w:fldChar w:fldCharType="begin"/>
      </w:r>
      <w:r w:rsidR="00344DCD">
        <w:rPr>
          <w:color w:val="2A2A2A"/>
        </w:rPr>
        <w:instrText xml:space="preserve"> ADDIN ZOTERO_ITEM CSL_CITATION {"citationID":"fq7TmbLb","properties":{"formattedCitation":"(37)","plainCitation":"(37)","noteIndex":0},"citationItems":[{"id":53,"uris":["http://zotero.org/users/7110448/items/5DGFK9F2"],"itemData":{"id":53,"type":"article-journal","abstract":"Context: Physiological changes in thyroid hormone concentrations might be related to changes in the overall physical function in the elderly.\n            Objective: We determined to what extent thyroid hormone concentrations are related to physical function and mortality in elderly men.\n            Design: A longitudinal population study (the Zoetermeer study) was conducted. Mortality was registered in the subsequent 4 yr.\n            Participants: Four hundred three independently and ambulatory living men (aged 73–94 yr) participated.\n            Main Outcome Measures: The study examined the association between serum thyroid hormones and parameters of physical function as well as the association with mortality.\n            Methods: TSH, free T4 (FT4) total T4, T3, rT3, and T4-binding globulin were measured. Physical function was estimated by the number of problems in activities of daily living, a measure of physical performance score (PPS), leg extensor strength and grip strength, bone density, and body composition.\n            Results: Serum rT3 increased significantly with age and the presence of disease. Sixty-three men met the biochemical criteria for the low T3 syndrome (decreased serum T3 and increased serum rT3). This was associated with a lower PPS, independent of disease. Furthermore, higher serum FT4 (within the normal range of healthy adults) and rT3 (above the normal range of healthy adults) were related with a lower grip strength and PPS, independent of age and disease. Isolated low T3 was associated with a better PPS and a higher lean body mass. Low FT4 was related to a decreased risk of 4-yr mortality.\n            Conclusions: In a population of independently living elderly men, higher FT4 and rT3 concentrations are associated with a lower physical function. High serum rT3 may result from a decreased peripheral metabolism of thyroid hormones due to the aging process itself and/or disease and may reflect a catabolic state. Low serum FT4 is associated with a better 4-yr survival; this may reflect an adaptive mechanism to prevent excessive catabolism.","container-title":"The Journal of Clinical Endocrinology &amp; Metabolism","DOI":"10.1210/jc.2005-0872","ISSN":"0021-972X, 1945-7197","issue":"12","language":"en","page":"6403-6409","source":"DOI.org (Crossref)","title":"Thyroid Hormone Concentrations, Disease, Physical Function, and Mortality in Elderly Men","volume":"90","author":[{"family":"Beld","given":"Annewieke W.","non-dropping-particle":"van den"},{"family":"Visser","given":"Theo J."},{"family":"Feelders","given":"Richard A."},{"family":"Grobbee","given":"Diederick E."},{"family":"Lamberts","given":"Steven W. J."}],"issued":{"date-parts":[["2005",12,1]]}}}],"schema":"https://github.com/citation-style-language/schema/raw/master/csl-citation.json"} </w:instrText>
      </w:r>
      <w:r w:rsidR="00E92CC4">
        <w:rPr>
          <w:color w:val="2A2A2A"/>
        </w:rPr>
        <w:fldChar w:fldCharType="separate"/>
      </w:r>
      <w:r w:rsidR="00821A28">
        <w:rPr>
          <w:noProof/>
          <w:color w:val="2A2A2A"/>
        </w:rPr>
        <w:t>(37)</w:t>
      </w:r>
      <w:r w:rsidR="00E92CC4">
        <w:rPr>
          <w:color w:val="2A2A2A"/>
        </w:rPr>
        <w:fldChar w:fldCharType="end"/>
      </w:r>
      <w:r w:rsidR="00E92CC4">
        <w:rPr>
          <w:color w:val="2A2A2A"/>
        </w:rPr>
        <w:t xml:space="preserve">. Além disso, de acordo com recentes estudos que avaliaram envelhecimento e função tireoidiana, o aumento da atividade da DIO3 e </w:t>
      </w:r>
      <w:r w:rsidR="00624EB4">
        <w:rPr>
          <w:color w:val="2A2A2A"/>
        </w:rPr>
        <w:t xml:space="preserve">a </w:t>
      </w:r>
      <w:r w:rsidR="00E92CC4">
        <w:rPr>
          <w:color w:val="2A2A2A"/>
        </w:rPr>
        <w:t xml:space="preserve">redução na concentração dos transportadores de membrana dos HT (exemplo: MCT8) também parecem estar envolvidos </w:t>
      </w:r>
      <w:r w:rsidR="00C62636">
        <w:rPr>
          <w:color w:val="2A2A2A"/>
        </w:rPr>
        <w:fldChar w:fldCharType="begin"/>
      </w:r>
      <w:r w:rsidR="00344DCD">
        <w:rPr>
          <w:color w:val="2A2A2A"/>
        </w:rPr>
        <w:instrText xml:space="preserve"> ADDIN ZOTERO_ITEM CSL_CITATION {"citationID":"BWM8bNnC","properties":{"formattedCitation":"(31)","plainCitation":"(31)","noteIndex":0},"citationItems":[{"id":1399,"uris":["http://zotero.org/users/7110448/items/8EMFWZYN"],"itemData":{"id":1399,"type":"article-journal","container-title":"The Lancet Diabetes &amp; Endocrinology","DOI":"10.1016/S2213-8587(18)30028-7","ISSN":"22138587","issue":"9","journalAbbreviation":"The Lancet Diabetes &amp; Endocrinology","language":"en","page":"733-742","source":"DOI.org (Crossref)","title":"Clinical aspects of thyroid function during ageing","volume":"6","author":[{"family":"Chaker","given":"Layal"},{"family":"Cappola","given":"Anne R"},{"family":"Mooijaart","given":"Simon P"},{"family":"Peeters","given":"Robin P"}],"issued":{"date-parts":[["2018",9]]}}}],"schema":"https://github.com/citation-style-language/schema/raw/master/csl-citation.json"} </w:instrText>
      </w:r>
      <w:r w:rsidR="00C62636">
        <w:rPr>
          <w:color w:val="2A2A2A"/>
        </w:rPr>
        <w:fldChar w:fldCharType="separate"/>
      </w:r>
      <w:r w:rsidR="004357A4">
        <w:rPr>
          <w:noProof/>
          <w:color w:val="2A2A2A"/>
        </w:rPr>
        <w:t>(31)</w:t>
      </w:r>
      <w:r w:rsidR="00C62636">
        <w:rPr>
          <w:color w:val="2A2A2A"/>
        </w:rPr>
        <w:fldChar w:fldCharType="end"/>
      </w:r>
      <w:r w:rsidR="00C62636">
        <w:rPr>
          <w:color w:val="2A2A2A"/>
        </w:rPr>
        <w:t xml:space="preserve">. </w:t>
      </w:r>
      <w:r w:rsidR="00C62636">
        <w:t>Tudo isso é acentuado e pode ser confundido pela usual presença de doenças crônicas, associadas a baixos níveis de T3 e altos níveis de T3</w:t>
      </w:r>
      <w:r w:rsidR="00685141">
        <w:t xml:space="preserve"> </w:t>
      </w:r>
      <w:r w:rsidR="00C62636">
        <w:t>r</w:t>
      </w:r>
      <w:r w:rsidR="00685141">
        <w:t>everso</w:t>
      </w:r>
      <w:r w:rsidR="00C62636">
        <w:t xml:space="preserve">, além do uso de múltiplas medicações que interferem nos níveis séricos dos HT </w:t>
      </w:r>
      <w:r w:rsidR="00C62636">
        <w:fldChar w:fldCharType="begin"/>
      </w:r>
      <w:r w:rsidR="004C3BF7">
        <w:instrText xml:space="preserve"> ADDIN ZOTERO_ITEM CSL_CITATION {"citationID":"Im0Mstyk","properties":{"formattedCitation":"(38)","plainCitation":"(38)","noteIndex":0},"citationItems":[{"id":1131,"uris":["http://zotero.org/users/7110448/items/KZRC68SI"],"itemData":{"id":1131,"type":"article-journal","container-title":"The Journal of Clinical Endocrinology and Metabolism","DOI":"10.1210/jc.2009-2198","ISSN":"1945-7197","issue":"12","journalAbbreviation":"J Clin Endocrinol Metab","language":"eng","note":"PMID: 19959751","page":"4658-4660","source":"PubMed","title":"Thyroid function and longevity: new insights into an old dilemma","title-short":"Thyroid function and longevity","volume":"94","author":[{"family":"Peeters","given":"Robin P."}],"issued":{"date-parts":[["2009",12]]}}}],"schema":"https://github.com/citation-style-language/schema/raw/master/csl-citation.json"} </w:instrText>
      </w:r>
      <w:r w:rsidR="00C62636">
        <w:fldChar w:fldCharType="separate"/>
      </w:r>
      <w:r w:rsidR="00821A28">
        <w:rPr>
          <w:noProof/>
        </w:rPr>
        <w:t>(38)</w:t>
      </w:r>
      <w:r w:rsidR="00C62636">
        <w:fldChar w:fldCharType="end"/>
      </w:r>
      <w:r w:rsidR="00C62636">
        <w:t xml:space="preserve">. </w:t>
      </w:r>
    </w:p>
    <w:p w14:paraId="3B9CA0C2" w14:textId="02D0061A" w:rsidR="00CC29CE" w:rsidRDefault="00CC29CE" w:rsidP="00EA46A7">
      <w:pPr>
        <w:spacing w:line="360" w:lineRule="auto"/>
        <w:ind w:right="57"/>
        <w:jc w:val="both"/>
      </w:pPr>
    </w:p>
    <w:p w14:paraId="15A83FC4" w14:textId="235E7B12" w:rsidR="00C62636" w:rsidRPr="00841744" w:rsidRDefault="00841744" w:rsidP="00624EB4">
      <w:pPr>
        <w:ind w:left="709" w:right="-17" w:hanging="709"/>
        <w:jc w:val="both"/>
        <w:rPr>
          <w:b/>
        </w:rPr>
      </w:pPr>
      <w:r w:rsidRPr="00841744">
        <w:rPr>
          <w:b/>
        </w:rPr>
        <w:t>2.1.3   Estud</w:t>
      </w:r>
      <w:r w:rsidR="00BC57AE">
        <w:rPr>
          <w:b/>
        </w:rPr>
        <w:t>os Populacionais de Avaliação da</w:t>
      </w:r>
      <w:r w:rsidRPr="00841744">
        <w:rPr>
          <w:b/>
        </w:rPr>
        <w:t xml:space="preserve"> Função Tireoidiana em Idosos</w:t>
      </w:r>
    </w:p>
    <w:p w14:paraId="71290CF4" w14:textId="77777777" w:rsidR="005637B7" w:rsidRDefault="005637B7" w:rsidP="00DB35D2">
      <w:pPr>
        <w:spacing w:line="360" w:lineRule="auto"/>
        <w:ind w:right="-16"/>
        <w:jc w:val="both"/>
      </w:pPr>
    </w:p>
    <w:p w14:paraId="7BCFBF2D" w14:textId="5BF00BBD" w:rsidR="001F75D0" w:rsidRDefault="001F75D0" w:rsidP="00DB35D2">
      <w:pPr>
        <w:spacing w:line="360" w:lineRule="auto"/>
        <w:ind w:right="-16"/>
        <w:jc w:val="both"/>
      </w:pPr>
      <w:r>
        <w:t xml:space="preserve">     </w:t>
      </w:r>
      <w:r w:rsidR="00C62636">
        <w:t xml:space="preserve">A triagem e </w:t>
      </w:r>
      <w:r w:rsidR="00624EB4">
        <w:t xml:space="preserve">o </w:t>
      </w:r>
      <w:r w:rsidR="00C62636">
        <w:t xml:space="preserve">tratamento de idosos com disfunções subclínicas da tireoide e o impacto disso na saúde ainda é um assunto controverso </w:t>
      </w:r>
      <w:r w:rsidR="00C62636">
        <w:fldChar w:fldCharType="begin"/>
      </w:r>
      <w:r w:rsidR="00344DCD">
        <w:instrText xml:space="preserve"> ADDIN ZOTERO_ITEM CSL_CITATION {"citationID":"TI7gJQck","properties":{"unsorted":true,"formattedCitation":"(22,39)","plainCitation":"(22,39)","noteIndex":0},"citationItems":[{"id":1138,"uris":["http://zotero.org/users/7110448/items/I7D5W5HQ"],"itemData":{"id":1138,"type":"article-journal","abstract":"CONTEXT: Despite the equivocal outcomes of randomized controlled trials, general clinical opinion favors screening and treatment of elderly individuals with subclinical thyroid disorders.\nOBJECTIVES: To determine whether subclinical thyroid dysfunction should be treated in old age and the long-term impact of thyroid dysfunction on performance and survival in old age.\nDESIGN, SETTING, AND PARTICIPANTS: A prospective, observational, population-based follow-up study within the Leiden 85-Plus Study of 87% of a 2-year birth cohort (1912-1914) in the municipality of Leiden, the Netherlands. A total of 599 participants were followed up from age 85 years through age 89 years (mean [SD] follow-up, 3.7 [1.4] years).\nMAIN OUTCOME MEASURES: Complete thyroid status at baseline; disability in daily life, depressive symptoms, cognitive function, and mortality from age 85 years through 89 years.\nRESULTS: Plasma levels of thyrotropin and free thyroxine were not associated with disability in daily life, depressive symptoms, and cognitive impairment at baseline or during follow-up. Increasing levels of thyrotropin were associated with a lower mortality rate that remained after adjustments were made for baseline disability and health status. The hazard ratio (HR) for mortality per SD increase of 2.71 mIU/L of thyrotropin was 0.77 (95% confidence interval [CI], 0.63-0.94; P = .009). The HR for mortality per SD increase of 0.21 ng/dL (2.67 pmol/L) of free thyroxine increased 1.16-fold (95% CI, 1.04-1.30; P = .009).\nCONCLUSIONS: In the general population of the oldest old, elderly individuals with abnormally high levels of thyrotropin do not experience adverse effects and may have a prolonged life span. However, evidence for not treating elderly individuals can only come from a well-designed, randomized placebo-controlled clinical trial.","container-title":"JAMA","DOI":"10.1001/jama.292.21.2591","ISSN":"1538-3598","issue":"21","journalAbbreviation":"JAMA","language":"eng","note":"PMID: 15572717","page":"2591-2599","source":"PubMed","title":"Thyroid status, disability and cognitive function, and survival in old age","volume":"292","author":[{"family":"Gussekloo","given":"Jacobijn"},{"family":"Exel","given":"Eric","non-dropping-particle":"van"},{"family":"Craen","given":"Anton J. M.","non-dropping-particle":"de"},{"family":"Meinders","given":"Arend E."},{"family":"Frölich","given":"Marijke"},{"family":"Westendorp","given":"Rudi G. J."}],"issued":{"date-parts":[["2004",12,1]]}},"label":"page"},{"id":1054,"uris":["http://zotero.org/users/7110448/items/A4RPJPZD"],"itemData":{"id":1054,"type":"article-journal","abstract":"Thyroid hormone production, metabolism, and action change with aging. The reference ranges for serum thyrotropin and thyroid hormones are derived mainly from younger populations. Thus, the prevalence of subclinical thyroid dysfunction is increased greatly in the elderly. However, it is unclear whether mild thyroid dysfunction in the elderly is associated with adverse outcomes. In this review, we discuss current evidence-based literature on thyroid function in the elderly and whether subclinical thyroid dysfunction in the elderly should be treated.","container-title":"Journal of Thyroid Research","DOI":"10.1155/2013/481287","ISSN":"2090-8067","journalAbbreviation":"J Thyroid Res","note":"PMID: 24106641\nPMCID: PMC3782841","page":"481287","source":"PubMed Central","title":"Thyroid and Aging or the Aging Thyroid? An Evidence-Based Analysis of the Literature","title-short":"Thyroid and Aging or the Aging Thyroid?","volume":"2013","author":[{"family":"Aggarwal","given":"Naveen"},{"family":"Razvi","given":"Salman"}],"issued":{"date-parts":[["2013"]]}},"label":"page"}],"schema":"https://github.com/citation-style-language/schema/raw/master/csl-citation.json"} </w:instrText>
      </w:r>
      <w:r w:rsidR="00C62636">
        <w:fldChar w:fldCharType="separate"/>
      </w:r>
      <w:r w:rsidR="00821A28">
        <w:rPr>
          <w:noProof/>
        </w:rPr>
        <w:t>(22,39)</w:t>
      </w:r>
      <w:r w:rsidR="00C62636">
        <w:fldChar w:fldCharType="end"/>
      </w:r>
      <w:r w:rsidR="00C62636">
        <w:t xml:space="preserve">. Estudos populacionais apontam associação benéfica entre hipofunção tireoidiana e longevidade, contrastando com estudos realizados em indivíduos mais jovens que associaram a presença de </w:t>
      </w:r>
      <w:r w:rsidR="00991A3E">
        <w:t>hipotireoidismo subclínico</w:t>
      </w:r>
      <w:r w:rsidR="00C62636">
        <w:t xml:space="preserve"> a </w:t>
      </w:r>
      <w:r w:rsidR="00624EB4">
        <w:t xml:space="preserve">uma </w:t>
      </w:r>
      <w:r w:rsidR="00C62636">
        <w:t xml:space="preserve">maior taxa de mortalidade por todas as causas </w:t>
      </w:r>
      <w:r w:rsidR="00C62636">
        <w:fldChar w:fldCharType="begin"/>
      </w:r>
      <w:r w:rsidR="00344DCD">
        <w:instrText xml:space="preserve"> ADDIN ZOTERO_ITEM CSL_CITATION {"citationID":"ja4h1BGM","properties":{"unsorted":true,"formattedCitation":"(22,11,15)","plainCitation":"(22,11,15)","noteIndex":0},"citationItems":[{"id":1138,"uris":["http://zotero.org/users/7110448/items/I7D5W5HQ"],"itemData":{"id":1138,"type":"article-journal","abstract":"CONTEXT: Despite the equivocal outcomes of randomized controlled trials, general clinical opinion favors screening and treatment of elderly individuals with subclinical thyroid disorders.\nOBJECTIVES: To determine whether subclinical thyroid dysfunction should be treated in old age and the long-term impact of thyroid dysfunction on performance and survival in old age.\nDESIGN, SETTING, AND PARTICIPANTS: A prospective, observational, population-based follow-up study within the Leiden 85-Plus Study of 87% of a 2-year birth cohort (1912-1914) in the municipality of Leiden, the Netherlands. A total of 599 participants were followed up from age 85 years through age 89 years (mean [SD] follow-up, 3.7 [1.4] years).\nMAIN OUTCOME MEASURES: Complete thyroid status at baseline; disability in daily life, depressive symptoms, cognitive function, and mortality from age 85 years through 89 years.\nRESULTS: Plasma levels of thyrotropin and free thyroxine were not associated with disability in daily life, depressive symptoms, and cognitive impairment at baseline or during follow-up. Increasing levels of thyrotropin were associated with a lower mortality rate that remained after adjustments were made for baseline disability and health status. The hazard ratio (HR) for mortality per SD increase of 2.71 mIU/L of thyrotropin was 0.77 (95% confidence interval [CI], 0.63-0.94; P = .009). The HR for mortality per SD increase of 0.21 ng/dL (2.67 pmol/L) of free thyroxine increased 1.16-fold (95% CI, 1.04-1.30; P = .009).\nCONCLUSIONS: In the general population of the oldest old, elderly individuals with abnormally high levels of thyrotropin do not experience adverse effects and may have a prolonged life span. However, evidence for not treating elderly individuals can only come from a well-designed, randomized placebo-controlled clinical trial.","container-title":"JAMA","DOI":"10.1001/jama.292.21.2591","ISSN":"1538-3598","issue":"21","journalAbbreviation":"JAMA","language":"eng","note":"PMID: 15572717","page":"2591-2599","source":"PubMed","title":"Thyroid status, disability and cognitive function, and survival in old age","volume":"292","author":[{"family":"Gussekloo","given":"Jacobijn"},{"family":"Exel","given":"Eric","non-dropping-particle":"van"},{"family":"Craen","given":"Anton J. M.","non-dropping-particle":"de"},{"family":"Meinders","given":"Arend E."},{"family":"Frölich","given":"Marijke"},{"family":"Westendorp","given":"Rudi G. J."}],"issued":{"date-parts":[["2004",12,1]]}},"label":"page"},{"id":81,"uris":["http://zotero.org/users/7110448/items/2HWBZV3Q"],"itemData":{"id":81,"type":"article-journal","abstract":"Objective: The aim of the study was to determine whether the population shift in TSH distribution to higher concentrations with aging extends to people of exceptional longevity, namely centenarians, and to assess the relationship between concentrations of TSH and free T4 (FT4). Design/Setting/Patients: We analyzed TSH, FT4, and TSH frequency distribution curves in thyroid disease-free Ashkenazi Jews with exceptional longevity (centenarians; median age, 98 yr), in younger Ashkenazi controls (median age, 72 yr), and in a population of thyroid disease-free individuals (median age, 68 yr) from the U.S. National Health and Nutrition Examination Survey 1998 –2002 (NHANES controls).\nResults: Serum TSH was significantly higher in centenarians [1.97 (0.42–7.15) mIU/liter] than in Ashkenazi controls [1.55 (0.46 – 4.55) mIU/liter] and NHANES controls [1.61 (0.39 – 6.29) mIU/liter] (median, 2.5 and 97.5 centiles) (P Ͻ 0.001). The TSH frequency distribution curve of centenarians was relatively similar in shape to controls but shifted significantly to higher TSH, including TSH concentration at peak frequency. The TSH distribution curve of the NHANES control group was superimposable to and not significantly different from the Ashkenazi controls. FT4 was similar in centenarians and Ashkenazi controls, and there was a significant inverse correlation between FT4 and TSH in both groups.\nConclusions: The TSH population shifts to higher concentrations with age appear to be a continuum that extends even to people with exceptional longevity. The inverse correlation between TSH and FT4 in our populations suggests that changes in negative feedback may contribute to exceptional longevity. (J Clin Endocrinol Metab 94: 1251–1254, 2009)","container-title":"The Journal of Clinical Endocrinology &amp; Metabolism","DOI":"10.1210/jc.2008-2325","ISSN":"0021-972X, 1945-7197","issue":"4","journalAbbreviation":"The Journal of Clinical Endocrinology &amp; Metabolism","language":"en","page":"1251-1254","source":"DOI.org (Crossref)","title":"Extreme Longevity Is Associated with Increased Serum Thyrotropin","volume":"94","author":[{"family":"Atzmon","given":"Gil"},{"family":"Barzilai","given":"Nir"},{"family":"Hollowell","given":"Joseph G."},{"family":"Surks","given":"Martin I."},{"family":"Gabriely","given":"Ilan"}],"issued":{"date-parts":[["2009",4]]}},"label":"page"},{"id":1310,"uris":["http://zotero.org/users/7110448/items/9XI9UHRJ"],"itemData":{"id":1310,"type":"article-journal","abstract":"CONTEXT: A relation between low thyroid activity and prolonged life span in humans has been observed. Several studies have demonstrated hereditary and genetic influences on thyroid function.\nOBJECTIVE: The objective of the study was to test whether low thyroid activity associated with extreme longevity constitutes a heritable phenotype, which could contribute to the familial longevity observed in the Leiden Longevity Study.\nDESIGN: This was a cross-sectional study.\nSETTING: The study was conducted at a university hospital in the city of Leiden, The Netherlands.\nPARTICIPANTS: Eight hundred fifty-nine nonagenarian siblings (median age 92.9 yr) from 421 long-lived families participated in the study. Families were recruited from the entire Dutch population if at least two long-lived siblings were alive and fulfilled the age criterion of age of 89 yr or older for males and 91 yr or older for females. There were no selection criteria on health or demographic characteristics.\nINTERVENTION: Blood samples were taken for determination of serum parameters of thyroid function.\nMAIN OUTCOME MEASURE: We calculated the family mortality history score of the parents of the nonagenarian siblings and related this to thyroid function parameters in the nonagenarian siblings.\nRESULTS: We found that a lower family mortality history score (less mortality) of the parents of nonagenarian siblings was associated with higher serum TSH levels (P = 0.005) and lower free T(4) levels (P = 0.002) as well as lower free T(3) levels (P = 0.034) in the nonagenarian siblings.\nCONCLUSIONS: Our findings support the previous observation that low thyroid activity in humans constitutes a heritable phenotype that contributes to exceptional familial longevity observed in the Leiden Longevity Study.","container-title":"The Journal of Clinical Endocrinology and Metabolism","DOI":"10.1210/jc.2010-0875","ISSN":"1945-7197","issue":"11","journalAbbreviation":"J Clin Endocrinol Metab","language":"eng","note":"PMID: 20739380","page":"4979-4984","source":"PubMed","title":"Familial longevity is associated with decreased thyroid function","volume":"95","author":[{"family":"Rozing","given":"M. P."},{"family":"Houwing-Duistermaat","given":"J. J."},{"family":"Slagboom","given":"P. E."},{"family":"Beekman","given":"M."},{"family":"Frölich","given":"M."},{"family":"Craen","given":"A. J. M.","non-dropping-particle":"de"},{"family":"Westendorp","given":"R. G. J."},{"family":"Heemst","given":"D.","non-dropping-particle":"van"}],"issued":{"date-parts":[["2010",11]]}},"label":"page"}],"schema":"https://github.com/citation-style-language/schema/raw/master/csl-citation.json"} </w:instrText>
      </w:r>
      <w:r w:rsidR="00C62636">
        <w:fldChar w:fldCharType="separate"/>
      </w:r>
      <w:r w:rsidR="00C62636">
        <w:rPr>
          <w:noProof/>
        </w:rPr>
        <w:t>(22,11,15)</w:t>
      </w:r>
      <w:r w:rsidR="00C62636">
        <w:fldChar w:fldCharType="end"/>
      </w:r>
      <w:r w:rsidR="00C62636">
        <w:t xml:space="preserve">. </w:t>
      </w:r>
      <w:r w:rsidR="00991A3E">
        <w:t xml:space="preserve">Em </w:t>
      </w:r>
      <w:r w:rsidR="00A73B85">
        <w:t>estudo</w:t>
      </w:r>
      <w:r w:rsidR="00DF38B2">
        <w:t xml:space="preserve"> </w:t>
      </w:r>
      <w:r w:rsidR="00A73B85">
        <w:t xml:space="preserve">realizado com homens idosos de Zoetermeer, na Holanda, </w:t>
      </w:r>
      <w:r w:rsidR="00DF38B2">
        <w:t>após análise d</w:t>
      </w:r>
      <w:r w:rsidR="00A73B85">
        <w:t>os índices de performance física, mortalidade e função tireoidiana</w:t>
      </w:r>
      <w:r w:rsidR="00624EB4">
        <w:t>,</w:t>
      </w:r>
      <w:r w:rsidR="00A73B85">
        <w:t xml:space="preserve"> </w:t>
      </w:r>
      <w:r w:rsidR="00DF38B2">
        <w:t xml:space="preserve">foi demonstrada </w:t>
      </w:r>
      <w:r w:rsidR="00A73B85">
        <w:t xml:space="preserve">associação entre baixo nível sérico de T4 e maior sobrevida </w:t>
      </w:r>
      <w:r w:rsidR="00A73B85">
        <w:fldChar w:fldCharType="begin"/>
      </w:r>
      <w:r w:rsidR="00344DCD">
        <w:instrText xml:space="preserve"> ADDIN ZOTERO_ITEM CSL_CITATION {"citationID":"BjsX8ymk","properties":{"formattedCitation":"(37)","plainCitation":"(37)","noteIndex":0},"citationItems":[{"id":53,"uris":["http://zotero.org/users/7110448/items/5DGFK9F2"],"itemData":{"id":53,"type":"article-journal","abstract":"Context: Physiological changes in thyroid hormone concentrations might be related to changes in the overall physical function in the elderly.\n            Objective: We determined to what extent thyroid hormone concentrations are related to physical function and mortality in elderly men.\n            Design: A longitudinal population study (the Zoetermeer study) was conducted. Mortality was registered in the subsequent 4 yr.\n            Participants: Four hundred three independently and ambulatory living men (aged 73–94 yr) participated.\n            Main Outcome Measures: The study examined the association between serum thyroid hormones and parameters of physical function as well as the association with mortality.\n            Methods: TSH, free T4 (FT4) total T4, T3, rT3, and T4-binding globulin were measured. Physical function was estimated by the number of problems in activities of daily living, a measure of physical performance score (PPS), leg extensor strength and grip strength, bone density, and body composition.\n            Results: Serum rT3 increased significantly with age and the presence of disease. Sixty-three men met the biochemical criteria for the low T3 syndrome (decreased serum T3 and increased serum rT3). This was associated with a lower PPS, independent of disease. Furthermore, higher serum FT4 (within the normal range of healthy adults) and rT3 (above the normal range of healthy adults) were related with a lower grip strength and PPS, independent of age and disease. Isolated low T3 was associated with a better PPS and a higher lean body mass. Low FT4 was related to a decreased risk of 4-yr mortality.\n            Conclusions: In a population of independently living elderly men, higher FT4 and rT3 concentrations are associated with a lower physical function. High serum rT3 may result from a decreased peripheral metabolism of thyroid hormones due to the aging process itself and/or disease and may reflect a catabolic state. Low serum FT4 is associated with a better 4-yr survival; this may reflect an adaptive mechanism to prevent excessive catabolism.","container-title":"The Journal of Clinical Endocrinology &amp; Metabolism","DOI":"10.1210/jc.2005-0872","ISSN":"0021-972X, 1945-7197","issue":"12","language":"en","page":"6403-6409","source":"DOI.org (Crossref)","title":"Thyroid Hormone Concentrations, Disease, Physical Function, and Mortality in Elderly Men","volume":"90","author":[{"family":"Beld","given":"Annewieke W.","non-dropping-particle":"van den"},{"family":"Visser","given":"Theo J."},{"family":"Feelders","given":"Richard A."},{"family":"Grobbee","given":"Diederick E."},{"family":"Lamberts","given":"Steven W. J."}],"issued":{"date-parts":[["2005",12,1]]}}}],"schema":"https://github.com/citation-style-language/schema/raw/master/csl-citation.json"} </w:instrText>
      </w:r>
      <w:r w:rsidR="00A73B85">
        <w:fldChar w:fldCharType="separate"/>
      </w:r>
      <w:r w:rsidR="00A73B85">
        <w:rPr>
          <w:noProof/>
        </w:rPr>
        <w:t>(37)</w:t>
      </w:r>
      <w:r w:rsidR="00A73B85">
        <w:fldChar w:fldCharType="end"/>
      </w:r>
      <w:r w:rsidR="00A73B85">
        <w:t xml:space="preserve">. </w:t>
      </w:r>
      <w:r w:rsidR="0077735B">
        <w:t xml:space="preserve">Diante de tais achados, é prudente não extrapolar as consequências negativas à saúde da disfunção tireoidiana subclínica da população adulta jovem para populações geriátricas </w:t>
      </w:r>
      <w:r w:rsidR="00412083">
        <w:fldChar w:fldCharType="begin"/>
      </w:r>
      <w:r w:rsidR="00344DCD">
        <w:instrText xml:space="preserve"> ADDIN ZOTERO_ITEM CSL_CITATION {"citationID":"4UvLfH15","properties":{"unsorted":true,"formattedCitation":"(6,40)","plainCitation":"(6,40)","noteIndex":0},"citationItems":[{"id":1403,"uris":["http://zotero.org/users/7110448/items/EVXG9M4V"],"itemData":{"id":1403,"type":"article-journal","container-title":"JAMA","DOI":"10.1001/jama.2019.9052","ISSN":"0098-7484","issue":"2","journalAbbreviation":"JAMA","language":"en","page":"153","source":"DOI.org (Crossref)","title":"Subclinical Hypothyroidism: A Review","title-short":"Subclinical Hypothyroidism","volume":"322","author":[{"family":"Biondi","given":"Bernadette"},{"family":"Cappola","given":"Anne R."},{"family":"Cooper","given":"David S."}],"issued":{"date-parts":[["2019",7,9]]}},"label":"page"},{"id":74,"uris":["http://zotero.org/users/7110448/items/YLMZUE6Z"],"itemData":{"id":74,"type":"article-journal","abstract":"The global population is aging with millions of people today living into their 90 s. Thyroid disease, particularly hypothyroidism, is widespread among all age groups, and it is expected to steadily increase as the population gets older. Clinical diagnosis of hypothyroidism is challenging, as the TSH reference range needs to be evaluated according to age, while evaluation of TSH levels must also take into account body weight and other variants such as polypharmacy, comorbidities, and general health condition. Since thyroid hormone has a potent regulatory effect on cholesterol metabolism, the possibility of thyroid dysfunction should be considered in cases of unexplained dyslipidemia. Once hypothyroidism has been conﬁrmed, treatment requires caution, frequent cardiovascular monitoring, and individualized (precision) medicine. Treatment of subclinical hypothyroidism (SCH) in the elderly should be undertaken with care, guided by age and the degree of SCH: a TSH higher than 10 mU/l seems a reasonable threshold, though it should be regularly re-evaluated, while the LT4 dose needs to be tailored, taking into account the patient’s health condition and the potential presence of dyslipidemia as well as other metabolic derangements.","container-title":"Endocrine","DOI":"10.1007/s12020-019-02067-9","ISSN":"1355-008X, 1559-0100","issue":"1","journalAbbreviation":"Endocrine","language":"en","page":"63-69","source":"DOI.org (Crossref)","title":"Diagnosis and treatment of hypothyroidism in the elderly","volume":"66","author":[{"family":"Duntas","given":"Leonidas H."},{"family":"Yen","given":"Paul Michael"}],"issued":{"date-parts":[["2019",10]]}},"label":"page"}],"schema":"https://github.com/citation-style-language/schema/raw/master/csl-citation.json"} </w:instrText>
      </w:r>
      <w:r w:rsidR="00412083">
        <w:fldChar w:fldCharType="separate"/>
      </w:r>
      <w:r w:rsidR="00821A28">
        <w:rPr>
          <w:noProof/>
        </w:rPr>
        <w:t>(6,40)</w:t>
      </w:r>
      <w:r w:rsidR="00412083">
        <w:fldChar w:fldCharType="end"/>
      </w:r>
      <w:r w:rsidR="00412083">
        <w:t xml:space="preserve">. </w:t>
      </w:r>
      <w:r w:rsidR="00DB35D2">
        <w:t>Compreender melhor a evolução do</w:t>
      </w:r>
      <w:r w:rsidR="00DB35D2" w:rsidRPr="00991A3E">
        <w:rPr>
          <w:i/>
          <w:iCs/>
        </w:rPr>
        <w:t xml:space="preserve"> status</w:t>
      </w:r>
      <w:r w:rsidR="00DB35D2">
        <w:t xml:space="preserve"> tireoidiano no processo de envelhecimento é necessário para </w:t>
      </w:r>
      <w:r w:rsidR="00BF536F">
        <w:t xml:space="preserve">a </w:t>
      </w:r>
      <w:r w:rsidR="00DB35D2">
        <w:t xml:space="preserve">adequada interpretação da função tireoidiana e </w:t>
      </w:r>
      <w:r w:rsidR="00BF536F">
        <w:t xml:space="preserve">a </w:t>
      </w:r>
      <w:r w:rsidR="00DB35D2">
        <w:t>condução clínica de situações como hipotireoidismo subclínico</w:t>
      </w:r>
      <w:r w:rsidR="00BF536F">
        <w:t>,</w:t>
      </w:r>
      <w:r w:rsidR="00DB35D2">
        <w:t xml:space="preserve"> nessa população em especial.</w:t>
      </w:r>
    </w:p>
    <w:p w14:paraId="7276D4F9" w14:textId="73FE7000" w:rsidR="001968AD" w:rsidRDefault="001F75D0" w:rsidP="00DB35D2">
      <w:pPr>
        <w:spacing w:line="360" w:lineRule="auto"/>
        <w:ind w:right="-16"/>
        <w:jc w:val="both"/>
      </w:pPr>
      <w:r>
        <w:lastRenderedPageBreak/>
        <w:t xml:space="preserve">     </w:t>
      </w:r>
      <w:r w:rsidR="00DB35D2">
        <w:t xml:space="preserve">A realização de estudos populacionais longitudinais possibilita analisar o comportamento e </w:t>
      </w:r>
      <w:r w:rsidR="00BF536F">
        <w:t xml:space="preserve">a </w:t>
      </w:r>
      <w:r w:rsidR="00DB35D2">
        <w:t xml:space="preserve">dinâmica da função tireoidiana ao longo da vida. Eles indicam mudanças nas concentrações séricas do TSH, T4l e T3l durante o envelhecimento </w:t>
      </w:r>
      <w:r w:rsidR="00DB35D2">
        <w:fldChar w:fldCharType="begin"/>
      </w:r>
      <w:r w:rsidR="00344DCD">
        <w:instrText xml:space="preserve"> ADDIN ZOTERO_ITEM CSL_CITATION {"citationID":"Bp0Y236R","properties":{"unsorted":true,"formattedCitation":"(11,39)","plainCitation":"(11,39)","noteIndex":0},"citationItems":[{"id":81,"uris":["http://zotero.org/users/7110448/items/2HWBZV3Q"],"itemData":{"id":81,"type":"article-journal","abstract":"Objective: The aim of the study was to determine whether the population shift in TSH distribution to higher concentrations with aging extends to people of exceptional longevity, namely centenarians, and to assess the relationship between concentrations of TSH and free T4 (FT4). Design/Setting/Patients: We analyzed TSH, FT4, and TSH frequency distribution curves in thyroid disease-free Ashkenazi Jews with exceptional longevity (centenarians; median age, 98 yr), in younger Ashkenazi controls (median age, 72 yr), and in a population of thyroid disease-free individuals (median age, 68 yr) from the U.S. National Health and Nutrition Examination Survey 1998 –2002 (NHANES controls).\nResults: Serum TSH was significantly higher in centenarians [1.97 (0.42–7.15) mIU/liter] than in Ashkenazi controls [1.55 (0.46 – 4.55) mIU/liter] and NHANES controls [1.61 (0.39 – 6.29) mIU/liter] (median, 2.5 and 97.5 centiles) (P Ͻ 0.001). The TSH frequency distribution curve of centenarians was relatively similar in shape to controls but shifted significantly to higher TSH, including TSH concentration at peak frequency. The TSH distribution curve of the NHANES control group was superimposable to and not significantly different from the Ashkenazi controls. FT4 was similar in centenarians and Ashkenazi controls, and there was a significant inverse correlation between FT4 and TSH in both groups.\nConclusions: The TSH population shifts to higher concentrations with age appear to be a continuum that extends even to people with exceptional longevity. The inverse correlation between TSH and FT4 in our populations suggests that changes in negative feedback may contribute to exceptional longevity. (J Clin Endocrinol Metab 94: 1251–1254, 2009)","container-title":"The Journal of Clinical Endocrinology &amp; Metabolism","DOI":"10.1210/jc.2008-2325","ISSN":"0021-972X, 1945-7197","issue":"4","journalAbbreviation":"The Journal of Clinical Endocrinology &amp; Metabolism","language":"en","page":"1251-1254","source":"DOI.org (Crossref)","title":"Extreme Longevity Is Associated with Increased Serum Thyrotropin","volume":"94","author":[{"family":"Atzmon","given":"Gil"},{"family":"Barzilai","given":"Nir"},{"family":"Hollowell","given":"Joseph G."},{"family":"Surks","given":"Martin I."},{"family":"Gabriely","given":"Ilan"}],"issued":{"date-parts":[["2009",4]]}},"label":"page"},{"id":1054,"uris":["http://zotero.org/users/7110448/items/A4RPJPZD"],"itemData":{"id":1054,"type":"article-journal","abstract":"Thyroid hormone production, metabolism, and action change with aging. The reference ranges for serum thyrotropin and thyroid hormones are derived mainly from younger populations. Thus, the prevalence of subclinical thyroid dysfunction is increased greatly in the elderly. However, it is unclear whether mild thyroid dysfunction in the elderly is associated with adverse outcomes. In this review, we discuss current evidence-based literature on thyroid function in the elderly and whether subclinical thyroid dysfunction in the elderly should be treated.","container-title":"Journal of Thyroid Research","DOI":"10.1155/2013/481287","ISSN":"2090-8067","journalAbbreviation":"J Thyroid Res","note":"PMID: 24106641\nPMCID: PMC3782841","page":"481287","source":"PubMed Central","title":"Thyroid and Aging or the Aging Thyroid? An Evidence-Based Analysis of the Literature","title-short":"Thyroid and Aging or the Aging Thyroid?","volume":"2013","author":[{"family":"Aggarwal","given":"Naveen"},{"family":"Razvi","given":"Salman"}],"issued":{"date-parts":[["2013"]]}},"label":"page"}],"schema":"https://github.com/citation-style-language/schema/raw/master/csl-citation.json"} </w:instrText>
      </w:r>
      <w:r w:rsidR="00DB35D2">
        <w:fldChar w:fldCharType="separate"/>
      </w:r>
      <w:r w:rsidR="00821A28">
        <w:rPr>
          <w:noProof/>
        </w:rPr>
        <w:t>(11,39)</w:t>
      </w:r>
      <w:r w:rsidR="00DB35D2">
        <w:fldChar w:fldCharType="end"/>
      </w:r>
      <w:r w:rsidR="00DB35D2">
        <w:t>. Um estudo populacional prospectivo e observacional</w:t>
      </w:r>
      <w:r w:rsidR="00BF536F">
        <w:t>,</w:t>
      </w:r>
      <w:r w:rsidR="00DB35D2">
        <w:t xml:space="preserve"> derivado do Leiden 85-Plus Study, avaliou coorte de octogenários, residentes em Leiden, Holanda, mostrando que níveis mais elevados de TSH e mais baixos de T4 estavam associados </w:t>
      </w:r>
      <w:r w:rsidR="00BF536F">
        <w:t xml:space="preserve">à </w:t>
      </w:r>
      <w:r w:rsidR="00DB35D2">
        <w:t xml:space="preserve">expectativa de vida mais longa (longevidade) </w:t>
      </w:r>
      <w:r w:rsidR="00DB35D2">
        <w:fldChar w:fldCharType="begin"/>
      </w:r>
      <w:r w:rsidR="004C3BF7">
        <w:instrText xml:space="preserve"> ADDIN ZOTERO_ITEM CSL_CITATION {"citationID":"h0DYNKG0","properties":{"formattedCitation":"(22)","plainCitation":"(22)","noteIndex":0},"citationItems":[{"id":1138,"uris":["http://zotero.org/users/7110448/items/I7D5W5HQ"],"itemData":{"id":1138,"type":"article-journal","abstract":"CONTEXT: Despite the equivocal outcomes of randomized controlled trials, general clinical opinion favors screening and treatment of elderly individuals with subclinical thyroid disorders.\nOBJECTIVES: To determine whether subclinical thyroid dysfunction should be treated in old age and the long-term impact of thyroid dysfunction on performance and survival in old age.\nDESIGN, SETTING, AND PARTICIPANTS: A prospective, observational, population-based follow-up study within the Leiden 85-Plus Study of 87% of a 2-year birth cohort (1912-1914) in the municipality of Leiden, the Netherlands. A total of 599 participants were followed up from age 85 years through age 89 years (mean [SD] follow-up, 3.7 [1.4] years).\nMAIN OUTCOME MEASURES: Complete thyroid status at baseline; disability in daily life, depressive symptoms, cognitive function, and mortality from age 85 years through 89 years.\nRESULTS: Plasma levels of thyrotropin and free thyroxine were not associated with disability in daily life, depressive symptoms, and cognitive impairment at baseline or during follow-up. Increasing levels of thyrotropin were associated with a lower mortality rate that remained after adjustments were made for baseline disability and health status. The hazard ratio (HR) for mortality per SD increase of 2.71 mIU/L of thyrotropin was 0.77 (95% confidence interval [CI], 0.63-0.94; P = .009). The HR for mortality per SD increase of 0.21 ng/dL (2.67 pmol/L) of free thyroxine increased 1.16-fold (95% CI, 1.04-1.30; P = .009).\nCONCLUSIONS: In the general population of the oldest old, elderly individuals with abnormally high levels of thyrotropin do not experience adverse effects and may have a prolonged life span. However, evidence for not treating elderly individuals can only come from a well-designed, randomized placebo-controlled clinical trial.","container-title":"JAMA","DOI":"10.1001/jama.292.21.2591","ISSN":"1538-3598","issue":"21","journalAbbreviation":"JAMA","language":"eng","note":"PMID: 15572717","page":"2591-2599","source":"PubMed","title":"Thyroid status, disability and cognitive function, and survival in old age","volume":"292","author":[{"family":"Gussekloo","given":"Jacobijn"},{"family":"Exel","given":"Eric","non-dropping-particle":"van"},{"family":"Craen","given":"Anton J. M.","non-dropping-particle":"de"},{"family":"Meinders","given":"Arend E."},{"family":"Frölich","given":"Marijke"},{"family":"Westendorp","given":"Rudi G. J."}],"issued":{"date-parts":[["2004",12,1]]}}}],"schema":"https://github.com/citation-style-language/schema/raw/master/csl-citation.json"} </w:instrText>
      </w:r>
      <w:r w:rsidR="00DB35D2">
        <w:fldChar w:fldCharType="separate"/>
      </w:r>
      <w:r w:rsidR="00DB35D2">
        <w:rPr>
          <w:noProof/>
        </w:rPr>
        <w:t>(22)</w:t>
      </w:r>
      <w:r w:rsidR="00DB35D2">
        <w:fldChar w:fldCharType="end"/>
      </w:r>
      <w:r w:rsidR="00DB35D2">
        <w:t xml:space="preserve">. O </w:t>
      </w:r>
      <w:proofErr w:type="spellStart"/>
      <w:r w:rsidR="00DB35D2">
        <w:rPr>
          <w:i/>
          <w:highlight w:val="white"/>
        </w:rPr>
        <w:t>National</w:t>
      </w:r>
      <w:proofErr w:type="spellEnd"/>
      <w:r w:rsidR="00DB35D2">
        <w:rPr>
          <w:i/>
          <w:highlight w:val="white"/>
        </w:rPr>
        <w:t xml:space="preserve"> Health </w:t>
      </w:r>
      <w:proofErr w:type="spellStart"/>
      <w:r w:rsidR="00DB35D2">
        <w:rPr>
          <w:i/>
          <w:highlight w:val="white"/>
        </w:rPr>
        <w:t>and</w:t>
      </w:r>
      <w:proofErr w:type="spellEnd"/>
      <w:r w:rsidR="00DB35D2">
        <w:rPr>
          <w:i/>
          <w:highlight w:val="white"/>
        </w:rPr>
        <w:t xml:space="preserve"> </w:t>
      </w:r>
      <w:proofErr w:type="spellStart"/>
      <w:r w:rsidR="00DB35D2">
        <w:rPr>
          <w:i/>
          <w:highlight w:val="white"/>
        </w:rPr>
        <w:t>Nutrition</w:t>
      </w:r>
      <w:proofErr w:type="spellEnd"/>
      <w:r w:rsidR="00DB35D2">
        <w:rPr>
          <w:i/>
          <w:highlight w:val="white"/>
        </w:rPr>
        <w:t xml:space="preserve"> </w:t>
      </w:r>
      <w:proofErr w:type="spellStart"/>
      <w:r w:rsidR="00DB35D2">
        <w:rPr>
          <w:i/>
          <w:highlight w:val="white"/>
        </w:rPr>
        <w:t>Examination</w:t>
      </w:r>
      <w:proofErr w:type="spellEnd"/>
      <w:r w:rsidR="00DB35D2">
        <w:rPr>
          <w:i/>
          <w:highlight w:val="white"/>
        </w:rPr>
        <w:t xml:space="preserve"> </w:t>
      </w:r>
      <w:proofErr w:type="spellStart"/>
      <w:r w:rsidR="00DB35D2">
        <w:rPr>
          <w:i/>
          <w:highlight w:val="white"/>
        </w:rPr>
        <w:t>Survey</w:t>
      </w:r>
      <w:proofErr w:type="spellEnd"/>
      <w:r w:rsidR="00DB35D2">
        <w:rPr>
          <w:i/>
          <w:highlight w:val="white"/>
        </w:rPr>
        <w:t xml:space="preserve"> </w:t>
      </w:r>
      <w:r w:rsidR="00DB35D2">
        <w:rPr>
          <w:color w:val="2A2A2A"/>
          <w:highlight w:val="white"/>
        </w:rPr>
        <w:t xml:space="preserve">(NHANES III) </w:t>
      </w:r>
      <w:r w:rsidR="00DB35D2" w:rsidRPr="00E44DCC">
        <w:rPr>
          <w:highlight w:val="white"/>
        </w:rPr>
        <w:t>observou aumento</w:t>
      </w:r>
      <w:r w:rsidR="00DB35D2" w:rsidRPr="00BF536F">
        <w:rPr>
          <w:highlight w:val="white"/>
        </w:rPr>
        <w:t xml:space="preserve"> </w:t>
      </w:r>
      <w:r w:rsidR="00DB35D2">
        <w:rPr>
          <w:highlight w:val="white"/>
        </w:rPr>
        <w:t>do TSH e dos anticorpos tireoidianos com a idade em ambos os sexos</w:t>
      </w:r>
      <w:r w:rsidR="00DB35D2">
        <w:t xml:space="preserve"> </w:t>
      </w:r>
      <w:r w:rsidR="00DB35D2">
        <w:fldChar w:fldCharType="begin"/>
      </w:r>
      <w:r w:rsidR="004C3BF7">
        <w:instrText xml:space="preserve"> ADDIN ZOTERO_ITEM CSL_CITATION {"citationID":"SKdzOfaB","properties":{"formattedCitation":"(41)","plainCitation":"(41)","noteIndex":0},"citationItems":[{"id":676,"uris":["http://zotero.org/users/7110448/items/J5ESXU6D"],"itemData":{"id":676,"type":"webpage","language":"pt","title":"NHANES - Sobre o National Health and Nutrition Examination Survey","URL":"https://www.cdc.gov/nchs/nhanes/about_nhanes.htm","accessed":{"date-parts":[["2021",7,25]]},"issued":{"date-parts":[["2020",1,8]]}}}],"schema":"https://github.com/citation-style-language/schema/raw/master/csl-citation.json"} </w:instrText>
      </w:r>
      <w:r w:rsidR="00DB35D2">
        <w:fldChar w:fldCharType="separate"/>
      </w:r>
      <w:r w:rsidR="00821A28">
        <w:rPr>
          <w:noProof/>
        </w:rPr>
        <w:t>(41)</w:t>
      </w:r>
      <w:r w:rsidR="00DB35D2">
        <w:fldChar w:fldCharType="end"/>
      </w:r>
      <w:r w:rsidR="007217C4">
        <w:t xml:space="preserve">; no </w:t>
      </w:r>
      <w:r w:rsidR="00DB35D2">
        <w:t>estudo</w:t>
      </w:r>
      <w:r w:rsidR="007217C4">
        <w:t xml:space="preserve"> citado (4)</w:t>
      </w:r>
      <w:r w:rsidR="00DB35D2">
        <w:t xml:space="preserve">, foi notado que a mediana do TSH aumenta enquanto do T4 reduz após 20 anos de seguimento, mesmo após exclusões dos autoanticorpos tireoidianos e alguns fatores de risco </w:t>
      </w:r>
      <w:r w:rsidR="00DB35D2">
        <w:fldChar w:fldCharType="begin"/>
      </w:r>
      <w:r w:rsidR="004C3BF7">
        <w:instrText xml:space="preserve"> ADDIN ZOTERO_ITEM CSL_CITATION {"citationID":"jDEQBhQR","properties":{"formattedCitation":"(42)","plainCitation":"(42)","noteIndex":0},"citationItems":[{"id":1805,"uris":["http://zotero.org/users/7110448/items/DRLCZFZU"],"itemData":{"id":1805,"type":"article-journal","abstract":"CONTEXT: Data on thyroid function in the oldest old are sparse, and existing studies show conflicting evidence on the relationship between thyroid function and mortality in this age group.\nOBJECTIVE: We describe longitudinal changes in thyroid function in a cohort of elderly individuals and determine the relationship between thyroid function and mortality.\nDESIGN, SETTING, AND PARTICIPANTS: Eight hundred forty-three participants in the Cardiovascular Health Study All Stars Study who were not taking thyroid medications and had thyroid function testing in 2005-2006 (mean age 85 yr).\nMAIN OUTCOME MEASURE: Thyroid-stimulating hormone (TSH), free T(4) (FT4), total T(3), and thyroid peroxidase antibody status were measured in 1992-1993 and 2005-2006. Deaths were ascertained through February 2011.\nRESULTS: There was a statistically significant 13% increase in TSH, 1.7% increase in FT4, and 13% decrease in total T(3) over the 13-yr period. Two hundred eighty-seven deaths occurred over a median follow-up of 5.1 yr. There was no association between subclinical hypothyroidism[hazard ratio (HR) 0.97, 95% confidence interval (CI) 0.66-1.43], TSH level (HR per milliunits per liter 0.94, 95% CI 0.88-1.01), or persistent thyroid peroxidase antibody positivity (HR 1.09, 95% CI 0.62-1.92), and death. However, FT4 was positively associated with death (HR per nanograms per deciliter 2.57, 95% CI 1.32-5.02).\nCONCLUSIONS: TSH increased over time in these older individuals. This elevation was not associated with increased or decreased mortality, although higher FT4 levels were associated with death. These findings raise concern for treatment of mild elevations of TSH in advanced age. Further studies are needed to determine the potential benefit of treating age-related changes in thyroid function.","container-title":"The Journal of Clinical Endocrinology and Metabolism","DOI":"10.1210/jc.2012-2481","ISSN":"1945-7197","issue":"11","journalAbbreviation":"J Clin Endocrinol Metab","language":"eng","note":"PMID: 22879629\nPMCID: PMC3485600","page":"3944-3950","source":"PubMed","title":"Longitudinal changes in thyroid function in the oldest old and survival: the cardiovascular health study all-stars study","title-short":"Longitudinal changes in thyroid function in the oldest old and survival","volume":"97","author":[{"family":"Waring","given":"Avantika C."},{"family":"Arnold","given":"Alice M."},{"family":"Newman","given":"Anne B."},{"family":"Bùzková","given":"Petra"},{"family":"Hirsch","given":"Calvin"},{"family":"Cappola","given":"Anne R."}],"issued":{"date-parts":[["2012",11]]}}}],"schema":"https://github.com/citation-style-language/schema/raw/master/csl-citation.json"} </w:instrText>
      </w:r>
      <w:r w:rsidR="00DB35D2">
        <w:fldChar w:fldCharType="separate"/>
      </w:r>
      <w:r w:rsidR="00821A28">
        <w:rPr>
          <w:noProof/>
        </w:rPr>
        <w:t>(42)</w:t>
      </w:r>
      <w:r w:rsidR="00DB35D2">
        <w:fldChar w:fldCharType="end"/>
      </w:r>
      <w:r w:rsidR="001968AD">
        <w:t>.</w:t>
      </w:r>
      <w:r w:rsidR="001968AD" w:rsidRPr="001968AD">
        <w:t xml:space="preserve"> </w:t>
      </w:r>
      <w:r w:rsidR="001968AD">
        <w:t xml:space="preserve">A partir dos dados do NHANES III, </w:t>
      </w:r>
      <w:proofErr w:type="spellStart"/>
      <w:r w:rsidR="001968AD">
        <w:t>Surks</w:t>
      </w:r>
      <w:proofErr w:type="spellEnd"/>
      <w:r w:rsidR="001968AD">
        <w:t xml:space="preserve"> e </w:t>
      </w:r>
      <w:proofErr w:type="spellStart"/>
      <w:r w:rsidR="001968AD">
        <w:t>Hollowell</w:t>
      </w:r>
      <w:proofErr w:type="spellEnd"/>
      <w:r w:rsidR="001968AD">
        <w:t xml:space="preserve"> também mostraram aumento progressivo na média, </w:t>
      </w:r>
      <w:r w:rsidR="00BF536F">
        <w:t xml:space="preserve">na </w:t>
      </w:r>
      <w:r w:rsidR="001968AD">
        <w:t xml:space="preserve">mediana e </w:t>
      </w:r>
      <w:r w:rsidR="00BF536F">
        <w:t xml:space="preserve">no </w:t>
      </w:r>
      <w:r w:rsidR="001968AD">
        <w:t>percentil 97,5 para a concentração de TSH</w:t>
      </w:r>
      <w:r w:rsidR="00BF536F">
        <w:t>,</w:t>
      </w:r>
      <w:r w:rsidR="001968AD">
        <w:t xml:space="preserve"> com o avanço da idade em população livre de doenças. Após análise, diferentes valores de TSH foram propostos para o percentil 97,5, para os mais jovens</w:t>
      </w:r>
      <w:r w:rsidR="00BF536F">
        <w:t>:</w:t>
      </w:r>
      <w:r w:rsidR="001968AD">
        <w:t xml:space="preserve"> 3,6 mIU / litro, 70-79 anos, 5,9 mIU / litro e no grupo com idade a partir de 80 anos,</w:t>
      </w:r>
      <w:bookmarkStart w:id="4" w:name="bookmark=id.2et92p0" w:colFirst="0" w:colLast="0"/>
      <w:bookmarkStart w:id="5" w:name="bookmark=id.tyjcwt" w:colFirst="0" w:colLast="0"/>
      <w:bookmarkEnd w:id="4"/>
      <w:bookmarkEnd w:id="5"/>
      <w:r w:rsidR="001968AD">
        <w:t xml:space="preserve"> 7,5 mIU / litro </w:t>
      </w:r>
      <w:r w:rsidR="001968AD">
        <w:fldChar w:fldCharType="begin"/>
      </w:r>
      <w:r w:rsidR="00344DCD">
        <w:instrText xml:space="preserve"> ADDIN ZOTERO_ITEM CSL_CITATION {"citationID":"8KMC0N0W","properties":{"formattedCitation":"(43)","plainCitation":"(43)","noteIndex":0},"citationItems":[{"id":54,"uris":["http://zotero.org/users/7110448/items/HGYDBC22"],"itemData":{"id":54,"type":"article-journal","container-title":"The Journal of Clinical Endocrinology &amp; Metabolism","DOI":"10.1210/jc.2007-1499","ISSN":"0021-972X, 1945-7197","issue":"12","journalAbbreviation":"The Journal of Clinical Endocrinology &amp; Metabolism","language":"en","page":"4575-4582","source":"DOI.org (Crossref)","title":"Age-Specific Distribution of Serum Thyrotropin and Antithyroid Antibodies in the U.S. Population: Implications for the Prevalence of Subclinical Hypothyroidism","title-short":"Age-Specific Distribution of Serum Thyrotropin and Antithyroid Antibodies in the U.S. Population","volume":"92","author":[{"family":"Surks","given":"Martin I."},{"family":"Hollowell","given":"Joseph G."}],"issued":{"date-parts":[["2007",12]]}}}],"schema":"https://github.com/citation-style-language/schema/raw/master/csl-citation.json"} </w:instrText>
      </w:r>
      <w:r w:rsidR="001968AD">
        <w:fldChar w:fldCharType="separate"/>
      </w:r>
      <w:r w:rsidR="00821A28">
        <w:rPr>
          <w:noProof/>
        </w:rPr>
        <w:t>(43)</w:t>
      </w:r>
      <w:r w:rsidR="001968AD">
        <w:fldChar w:fldCharType="end"/>
      </w:r>
      <w:r w:rsidR="001968AD">
        <w:t xml:space="preserve">.  Diante disso, os autores sugeriram ajustes dos intervalos de referencias de TSH de acordo com faixa etária </w:t>
      </w:r>
      <w:r w:rsidR="001968AD">
        <w:fldChar w:fldCharType="begin"/>
      </w:r>
      <w:r w:rsidR="00344DCD">
        <w:instrText xml:space="preserve"> ADDIN ZOTERO_ITEM CSL_CITATION {"citationID":"PxHQdwF6","properties":{"unsorted":true,"formattedCitation":"(44,39)","plainCitation":"(44,39)","noteIndex":0},"citationItems":[{"id":175,"uris":["http://zotero.org/users/7110448/items/X78AYZZP"],"itemData":{"id":175,"type":"article-journal","abstract":"CONTEXT: TSH reference limits, particularly the upper limit, are controversial. The traditional and prevailing method for setting limits uses TSH distribution of thyroid disease-free individuals. The curve is not Gaussian, but skewed to higher concentrations, even after log-transformation; values in the skewed area are assumed to reflect mild hypothyroidism. The underlying assumption for this traditional approach, which has not previously been tested, is that the limits derived from this curve are applicable to all people. However, recent studies suggest that distinct subpopulations have unique TSH distribution and reference limits that are significantly different from limits established by the traditional approach.\nEVIDENCE ACQUISITION: A search was focused on articles that provide the basis for current recommendations for setting TSH reference limits as well as articles that suggest that the traditional method does not reflect accurately the TSH distribution and reference limits of distinct subpopulations within the United States.\nEVIDENCE SYNTHESIS: TSH distribution and reference limits shift to higher concentrations with age, even up to centenarians, and are unique for different racial/ethnic groups, being at higher concentrations in Caucasians than either Blacks or Hispanics originating from Puerto Rico or the Dominican Republic. The distribution curve derived by the traditional approach represents a composite of curves from specific subpopulations that do not provide appropriate reference limits for those unique groups.\nCONCLUSIONS: Age- and race-specific TSH distribution and reference limits, possibly influenced by genetic factors, should be employed to provide clinicians accurate limits for specific populations and guidance for further evaluation of thyroid dysfunction.","container-title":"The Journal of Clinical Endocrinology and Metabolism","DOI":"10.1210/jc.2009-1845","ISSN":"1945-7197","issue":"2","journalAbbreviation":"J Clin Endocrinol Metab","language":"eng","note":"PMID: 19965925","page":"496-502","source":"PubMed","title":"Age- and race-based serum thyrotropin reference limits","volume":"95","author":[{"family":"Surks","given":"Martin I."},{"family":"Boucai","given":"Laura"}],"issued":{"date-parts":[["2010",2]]}},"label":"page"},{"id":1054,"uris":["http://zotero.org/users/7110448/items/A4RPJPZD"],"itemData":{"id":1054,"type":"article-journal","abstract":"Thyroid hormone production, metabolism, and action change with aging. The reference ranges for serum thyrotropin and thyroid hormones are derived mainly from younger populations. Thus, the prevalence of subclinical thyroid dysfunction is increased greatly in the elderly. However, it is unclear whether mild thyroid dysfunction in the elderly is associated with adverse outcomes. In this review, we discuss current evidence-based literature on thyroid function in the elderly and whether subclinical thyroid dysfunction in the elderly should be treated.","container-title":"Journal of Thyroid Research","DOI":"10.1155/2013/481287","ISSN":"2090-8067","journalAbbreviation":"J Thyroid Res","note":"PMID: 24106641\nPMCID: PMC3782841","page":"481287","source":"PubMed Central","title":"Thyroid and Aging or the Aging Thyroid? An Evidence-Based Analysis of the Literature","title-short":"Thyroid and Aging or the Aging Thyroid?","volume":"2013","author":[{"family":"Aggarwal","given":"Naveen"},{"family":"Razvi","given":"Salman"}],"issued":{"date-parts":[["2013"]]}},"label":"page"}],"schema":"https://github.com/citation-style-language/schema/raw/master/csl-citation.json"} </w:instrText>
      </w:r>
      <w:r w:rsidR="001968AD">
        <w:fldChar w:fldCharType="separate"/>
      </w:r>
      <w:r w:rsidR="00821A28">
        <w:rPr>
          <w:noProof/>
        </w:rPr>
        <w:t>(44,39)</w:t>
      </w:r>
      <w:r w:rsidR="001968AD">
        <w:fldChar w:fldCharType="end"/>
      </w:r>
      <w:r w:rsidR="001968AD">
        <w:t xml:space="preserve">. </w:t>
      </w:r>
    </w:p>
    <w:p w14:paraId="0E69C2DE" w14:textId="3273DC54" w:rsidR="001968AD" w:rsidRDefault="001F75D0" w:rsidP="00DB35D2">
      <w:pPr>
        <w:spacing w:line="360" w:lineRule="auto"/>
        <w:ind w:right="-16"/>
        <w:jc w:val="both"/>
      </w:pPr>
      <w:r>
        <w:t xml:space="preserve">     </w:t>
      </w:r>
      <w:r w:rsidR="00384467">
        <w:t>Um</w:t>
      </w:r>
      <w:r w:rsidR="001968AD">
        <w:t xml:space="preserve"> estudo norte-americano</w:t>
      </w:r>
      <w:r w:rsidR="00384467">
        <w:t xml:space="preserve"> </w:t>
      </w:r>
      <w:r w:rsidR="001968AD">
        <w:t>com 843 participantes, idade média de 72 anos, demonstrou elevação dos níveis de TSH e T4 e redução de T3</w:t>
      </w:r>
      <w:r w:rsidR="00BF536F">
        <w:t>,</w:t>
      </w:r>
      <w:r w:rsidR="001968AD">
        <w:t xml:space="preserve"> ao longo do seguimento feito por 13 anos </w:t>
      </w:r>
      <w:r w:rsidR="001968AD">
        <w:fldChar w:fldCharType="begin"/>
      </w:r>
      <w:r w:rsidR="004C3BF7">
        <w:instrText xml:space="preserve"> ADDIN ZOTERO_ITEM CSL_CITATION {"citationID":"oxJz9bnK","properties":{"formattedCitation":"(42)","plainCitation":"(42)","noteIndex":0},"citationItems":[{"id":1805,"uris":["http://zotero.org/users/7110448/items/DRLCZFZU"],"itemData":{"id":1805,"type":"article-journal","abstract":"CONTEXT: Data on thyroid function in the oldest old are sparse, and existing studies show conflicting evidence on the relationship between thyroid function and mortality in this age group.\nOBJECTIVE: We describe longitudinal changes in thyroid function in a cohort of elderly individuals and determine the relationship between thyroid function and mortality.\nDESIGN, SETTING, AND PARTICIPANTS: Eight hundred forty-three participants in the Cardiovascular Health Study All Stars Study who were not taking thyroid medications and had thyroid function testing in 2005-2006 (mean age 85 yr).\nMAIN OUTCOME MEASURE: Thyroid-stimulating hormone (TSH), free T(4) (FT4), total T(3), and thyroid peroxidase antibody status were measured in 1992-1993 and 2005-2006. Deaths were ascertained through February 2011.\nRESULTS: There was a statistically significant 13% increase in TSH, 1.7% increase in FT4, and 13% decrease in total T(3) over the 13-yr period. Two hundred eighty-seven deaths occurred over a median follow-up of 5.1 yr. There was no association between subclinical hypothyroidism[hazard ratio (HR) 0.97, 95% confidence interval (CI) 0.66-1.43], TSH level (HR per milliunits per liter 0.94, 95% CI 0.88-1.01), or persistent thyroid peroxidase antibody positivity (HR 1.09, 95% CI 0.62-1.92), and death. However, FT4 was positively associated with death (HR per nanograms per deciliter 2.57, 95% CI 1.32-5.02).\nCONCLUSIONS: TSH increased over time in these older individuals. This elevation was not associated with increased or decreased mortality, although higher FT4 levels were associated with death. These findings raise concern for treatment of mild elevations of TSH in advanced age. Further studies are needed to determine the potential benefit of treating age-related changes in thyroid function.","container-title":"The Journal of Clinical Endocrinology and Metabolism","DOI":"10.1210/jc.2012-2481","ISSN":"1945-7197","issue":"11","journalAbbreviation":"J Clin Endocrinol Metab","language":"eng","note":"PMID: 22879629\nPMCID: PMC3485600","page":"3944-3950","source":"PubMed","title":"Longitudinal changes in thyroid function in the oldest old and survival: the cardiovascular health study all-stars study","title-short":"Longitudinal changes in thyroid function in the oldest old and survival","volume":"97","author":[{"family":"Waring","given":"Avantika C."},{"family":"Arnold","given":"Alice M."},{"family":"Newman","given":"Anne B."},{"family":"Bùzková","given":"Petra"},{"family":"Hirsch","given":"Calvin"},{"family":"Cappola","given":"Anne R."}],"issued":{"date-parts":[["2012",11]]}}}],"schema":"https://github.com/citation-style-language/schema/raw/master/csl-citation.json"} </w:instrText>
      </w:r>
      <w:r w:rsidR="001968AD">
        <w:fldChar w:fldCharType="separate"/>
      </w:r>
      <w:r w:rsidR="00821A28">
        <w:rPr>
          <w:noProof/>
        </w:rPr>
        <w:t>(42)</w:t>
      </w:r>
      <w:r w:rsidR="001968AD">
        <w:fldChar w:fldCharType="end"/>
      </w:r>
      <w:r w:rsidR="001968AD">
        <w:t xml:space="preserve">. </w:t>
      </w:r>
      <w:r w:rsidR="00384467">
        <w:t>Na Austrália, estudo prospectivo com</w:t>
      </w:r>
      <w:r w:rsidR="001968AD">
        <w:t xml:space="preserve"> 908 participantes</w:t>
      </w:r>
      <w:r w:rsidR="00BF536F">
        <w:t>,</w:t>
      </w:r>
      <w:r w:rsidR="001968AD">
        <w:t xml:space="preserve"> com idade média inicial de 45.5 anos e duração de 13 anos, também mostrou elevação do TSH com o avanço da idade, mas sem evidenciar mudanças nas concentrações séricas de T4 </w:t>
      </w:r>
      <w:r w:rsidR="001968AD">
        <w:fldChar w:fldCharType="begin"/>
      </w:r>
      <w:r w:rsidR="00344DCD">
        <w:instrText xml:space="preserve"> ADDIN ZOTERO_ITEM CSL_CITATION {"citationID":"HToJJAhO","properties":{"unsorted":true,"formattedCitation":"(12,31)","plainCitation":"(12,31)","noteIndex":0},"citationItems":[{"id":49,"uris":["http://zotero.org/users/7110448/items/RRA2FVVI"],"itemData":{"id":49,"type":"article-journal","abstract":"Methods: We measured serum TSH, free T4, thyroid peroxidase, and thyroglobulin antibodies in 1100 participants in the 1981 and 1994 Busselton Health Surveys and derived a reference group of 908 individuals without thyroid disease or thyroid antibodies. We examined changes in thyroid function longitudinally and, in 781 participants, explored associations with the CAPZB polymorphism rs10917469.\nResults: At 13 yr follow-up, mean serum TSH increased from 1.49 to 1.81 mU/liter, a change in mean TSH (</w:instrText>
      </w:r>
      <w:r w:rsidR="00344DCD">
        <w:rPr>
          <w:rFonts w:ascii="Segoe UI Symbol" w:hAnsi="Segoe UI Symbol" w:cs="Segoe UI Symbol"/>
        </w:rPr>
        <w:instrText>⌬</w:instrText>
      </w:r>
      <w:r w:rsidR="00344DCD">
        <w:instrText xml:space="preserve">TSH) of 0.32 mU/liter [95% confidence interval (CI) 0.27, 0.38, P Ͻ 0.001], whereas mean free T4 concentration was unchanged (16.6 vs. 16.6 pmol/liter, P ϭ 0.7). The TSH increase was most marked in the elderly, such that gender-adjusted </w:instrText>
      </w:r>
      <w:r w:rsidR="00344DCD">
        <w:rPr>
          <w:rFonts w:ascii="Segoe UI Symbol" w:hAnsi="Segoe UI Symbol" w:cs="Segoe UI Symbol"/>
        </w:rPr>
        <w:instrText>⌬</w:instrText>
      </w:r>
      <w:r w:rsidR="00344DCD">
        <w:instrText xml:space="preserve">TSH increased by 0.08 mU/liter (95% CI 0.04, 0.11) for each decade of baseline age. People with higher baseline TSH values had proportionally smaller increases in TSH, with each additional 1.0 mU/liter of baseline TSH associated with a 0.13 mU/liter decrease (age and gender adjusted) in </w:instrText>
      </w:r>
      <w:r w:rsidR="00344DCD">
        <w:rPr>
          <w:rFonts w:ascii="Segoe UI Symbol" w:hAnsi="Segoe UI Symbol" w:cs="Segoe UI Symbol"/>
        </w:rPr>
        <w:instrText>⌬</w:instrText>
      </w:r>
      <w:r w:rsidR="00344DCD">
        <w:instrText xml:space="preserve">TSH (95% CI 0.09, 0.16). The </w:instrText>
      </w:r>
      <w:r w:rsidR="00344DCD">
        <w:rPr>
          <w:rFonts w:ascii="Segoe UI Symbol" w:hAnsi="Segoe UI Symbol" w:cs="Segoe UI Symbol"/>
        </w:rPr>
        <w:instrText>⌬</w:instrText>
      </w:r>
      <w:r w:rsidR="00344DCD">
        <w:instrText xml:space="preserve">TSH did not differ significantly by CAPZB genotype.\nConclusions: Aging is associated with increased serum TSH concentrations, with no change in free T4 concentrations. The largest TSH increase is in people with the lowest TSH at baseline. This suggests that the TSH increase arises from age-related alteration in the TSH set point or reduced TSH bioactivity rather than occult thyroid disease. (J Clin Endocrinol Metab 97: 1554 –1562, 2012)","container-title":"The Journal of Clinical Endocrinology &amp; Metabolism","DOI":"10.1210/jc.2011-3020","ISSN":"0021-972X, 1945-7197","issue":"5","journalAbbreviation":"The Journal of Clinical Endocrinology &amp; Metabolism","language":"en","page":"1554-1562","source":"DOI.org (Crossref)","title":"Age-Related Changes in Thyroid Function: A Longitudinal Study of a Community-Based Cohort","title-short":"Age-Related Changes in Thyroid Function","volume":"97","author":[{"family":"Bremner","given":"Alexandra P."},{"family":"Feddema","given":"Peter"},{"family":"Leedman","given":"Peter J."},{"family":"Brown","given":"Suzanne J."},{"family":"Beilby","given":"John P."},{"family":"Lim","given":"Ee Mun"},{"family":"Wilson","given":"Scott G."},{"family":"O'Leary","given":"Peter C."},{"family":"Walsh","given":"John P."}],"issued":{"date-parts":[["2012",5]]}},"label":"page"},{"id":1399,"uris":["http://zotero.org/users/7110448/items/8EMFWZYN"],"itemData":{"id":1399,"type":"article-journal","container-title":"The Lancet Diabetes &amp; Endocrinology","DOI":"10.1016/S2213-8587(18)30028-7","ISSN":"22138587","issue":"9","journalAbbreviation":"The Lancet Diabetes &amp; Endocrinology","language":"en","page":"733-742","source":"DOI.org (Crossref)","title":"Clinical aspects of thyroid function during ageing","volume":"6","author":[{"family":"Chaker","given":"Layal"},{"family":"Cappola","given":"Anne R"},{"family":"Mooijaart","given":"Simon P"},{"family":"Peeters","given":"Robin P"}],"issued":{"date-parts":[["2018",9]]}},"label":"page"}],"schema":"https://github.com/citation-style-language/schema/raw/master/csl-citation.json"} </w:instrText>
      </w:r>
      <w:r w:rsidR="001968AD">
        <w:fldChar w:fldCharType="separate"/>
      </w:r>
      <w:r w:rsidR="004357A4">
        <w:rPr>
          <w:noProof/>
        </w:rPr>
        <w:t>(12,31)</w:t>
      </w:r>
      <w:r w:rsidR="001968AD">
        <w:fldChar w:fldCharType="end"/>
      </w:r>
      <w:r w:rsidR="001968AD">
        <w:t xml:space="preserve">. </w:t>
      </w:r>
    </w:p>
    <w:p w14:paraId="08E1DAA8" w14:textId="6624783E" w:rsidR="00617EC0" w:rsidRDefault="001F75D0" w:rsidP="00937EEE">
      <w:pPr>
        <w:spacing w:line="360" w:lineRule="auto"/>
        <w:jc w:val="both"/>
      </w:pPr>
      <w:r>
        <w:t xml:space="preserve">     </w:t>
      </w:r>
      <w:r w:rsidR="001968AD">
        <w:t xml:space="preserve">Outro estudo, bastante citado na literatura, avaliou </w:t>
      </w:r>
      <w:r w:rsidR="004B454A">
        <w:t>os</w:t>
      </w:r>
      <w:r w:rsidR="001968AD">
        <w:t xml:space="preserve"> judeus Ashkenazi</w:t>
      </w:r>
      <w:r w:rsidR="004357A4">
        <w:t>,</w:t>
      </w:r>
      <w:r w:rsidR="001968AD">
        <w:t xml:space="preserve"> população com reconhecida longevidade excepcional. A análise das curvas de distribuição de frequência de TSH e T4 demonstrou que a elevação do TSH com o avançar da idade também esteve presente entre os indivíduos centenários </w:t>
      </w:r>
      <w:r w:rsidR="001968AD">
        <w:fldChar w:fldCharType="begin"/>
      </w:r>
      <w:r w:rsidR="00344DCD">
        <w:instrText xml:space="preserve"> ADDIN ZOTERO_ITEM CSL_CITATION {"citationID":"cQCrClHI","properties":{"formattedCitation":"(11)","plainCitation":"(11)","noteIndex":0},"citationItems":[{"id":81,"uris":["http://zotero.org/users/7110448/items/2HWBZV3Q"],"itemData":{"id":81,"type":"article-journal","abstract":"Objective: The aim of the study was to determine whether the population shift in TSH distribution to higher concentrations with aging extends to people of exceptional longevity, namely centenarians, and to assess the relationship between concentrations of TSH and free T4 (FT4). Design/Setting/Patients: We analyzed TSH, FT4, and TSH frequency distribution curves in thyroid disease-free Ashkenazi Jews with exceptional longevity (centenarians; median age, 98 yr), in younger Ashkenazi controls (median age, 72 yr), and in a population of thyroid disease-free individuals (median age, 68 yr) from the U.S. National Health and Nutrition Examination Survey 1998 –2002 (NHANES controls).\nResults: Serum TSH was significantly higher in centenarians [1.97 (0.42–7.15) mIU/liter] than in Ashkenazi controls [1.55 (0.46 – 4.55) mIU/liter] and NHANES controls [1.61 (0.39 – 6.29) mIU/liter] (median, 2.5 and 97.5 centiles) (P Ͻ 0.001). The TSH frequency distribution curve of centenarians was relatively similar in shape to controls but shifted significantly to higher TSH, including TSH concentration at peak frequency. The TSH distribution curve of the NHANES control group was superimposable to and not significantly different from the Ashkenazi controls. FT4 was similar in centenarians and Ashkenazi controls, and there was a significant inverse correlation between FT4 and TSH in both groups.\nConclusions: The TSH population shifts to higher concentrations with age appear to be a continuum that extends even to people with exceptional longevity. The inverse correlation between TSH and FT4 in our populations suggests that changes in negative feedback may contribute to exceptional longevity. (J Clin Endocrinol Metab 94: 1251–1254, 2009)","container-title":"The Journal of Clinical Endocrinology &amp; Metabolism","DOI":"10.1210/jc.2008-2325","ISSN":"0021-972X, 1945-7197","issue":"4","journalAbbreviation":"The Journal of Clinical Endocrinology &amp; Metabolism","language":"en","page":"1251-1254","source":"DOI.org (Crossref)","title":"Extreme Longevity Is Associated with Increased Serum Thyrotropin","volume":"94","author":[{"family":"Atzmon","given":"Gil"},{"family":"Barzilai","given":"Nir"},{"family":"Hollowell","given":"Joseph G."},{"family":"Surks","given":"Martin I."},{"family":"Gabriely","given":"Ilan"}],"issued":{"date-parts":[["2009",4]]}}}],"schema":"https://github.com/citation-style-language/schema/raw/master/csl-citation.json"} </w:instrText>
      </w:r>
      <w:r w:rsidR="001968AD">
        <w:fldChar w:fldCharType="separate"/>
      </w:r>
      <w:r w:rsidR="001968AD">
        <w:rPr>
          <w:noProof/>
        </w:rPr>
        <w:t>(11)</w:t>
      </w:r>
      <w:r w:rsidR="001968AD">
        <w:fldChar w:fldCharType="end"/>
      </w:r>
      <w:r w:rsidR="001968AD">
        <w:t>. Além disso, seus descendentes (com meia idade), já demonstravam tendência a níveis séricos mais elevados de TSH e mais baixos de HT</w:t>
      </w:r>
      <w:r w:rsidR="00BF536F">
        <w:t>,</w:t>
      </w:r>
      <w:r w:rsidR="00FB79B6">
        <w:t xml:space="preserve"> </w:t>
      </w:r>
      <w:r w:rsidR="001968AD">
        <w:t xml:space="preserve">quando comparados aos seus </w:t>
      </w:r>
      <w:r w:rsidR="004D762E">
        <w:t>cônjuges</w:t>
      </w:r>
      <w:r w:rsidR="001968AD">
        <w:t xml:space="preserve"> </w:t>
      </w:r>
      <w:r w:rsidR="001968AD">
        <w:fldChar w:fldCharType="begin"/>
      </w:r>
      <w:r w:rsidR="00344DCD">
        <w:instrText xml:space="preserve"> ADDIN ZOTERO_ITEM CSL_CITATION {"citationID":"cLjnpuN1","properties":{"unsorted":true,"formattedCitation":"(14,15)","plainCitation":"(14,15)","noteIndex":0},"citationItems":[{"id":637,"uris":["http://zotero.org/users/7110448/items/83N5YFHX"],"itemData":{"id":637,"type":"article-journal","abstract":"Context: Exceptional longevity is associated with raised serum TSH., Objective: The aim of this study was to examine whether offspring of people with exceptional longevity have elevated serum TSH and whether specific single nucleotide polymorphisms (SNPs) in the TSH-B gene and TSH receptor (TSHR) gene are associated with this phenotype., Design/Setting/Patients: We measured serum TSH and free T4 in Ashkenazi Jewish centenarians (n = 232; median age, 97 yr), their offspring (n = 366; median age, 69 yr), and age-matched controls without familial longevity (n = 163; median age, 70 yr). We determined TSH heritability, its distribution, and association with SNPs in the TSH-B and TSHR genes., Results: Offspring had higher median serum TSH [1.68 mIU/liter (97.5% confidence interval, 0.65 to 4.79 mIU/liter)], compared to controls [1.50 mIU/liter (97.5% confidence interval, 0.63 to 3.93 mIU/liter); P = 0.02], with estimated heritability of 0.33 (P = 0.004). Allele frequency of two SNPs in the promoter/enhancer region of TSHR gene, associated with increased serum TSH, was higher in centenarians and their offspring compared to controls (rs10149689 G allele frequency, 0.57 and 0.53 vs. 0.48; P = 0.001 and P = 0.08; odds ratio, 1.56 and 1.22, respectively; and rs12050077 A allele frequency, 0.57 and 0.53 vs. 0.46; P = 0.0001 and P = 0.01; odds ratio, 1.68 and 1.32, respectively). Linkage disequilibrium between the two SNPs was high (r2 = 0.95), suggesting interaction between them. Furthermore, GA haplotype frequency was significantly higher among centenarians and offspring compared to controls (0.57 and 0.53 vs. 0.46; P = 0.0001 and P = 0.01, respectively)., Conclusions: A heritable phenotype characterized by raised serum TSH is associated with human longevity. Carriers of rs12050077 and rs10149689 SNPs in the TSHR have higher serum TSH, possibly contributing to decreased thyroid function and longevity., Offspring of centenarians have elevated serum TSH levels and demonstrate two single nucleotide TSH receptor gene polymorphisms that are associated with higher serum TSH.","container-title":"The Journal of Clinical Endocrinology and Metabolism","DOI":"10.1210/jc.2009-0808","ISSN":"0021-972X","issue":"12","journalAbbreviation":"J Clin Endocrinol Metab","note":"PMID: 19837933\nPMCID: PMC2795660","page":"4768-4775","source":"PubMed Central","title":"Genetic Predisposition to Elevated Serum Thyrotropin Is Associated with Exceptional Longevity","volume":"94","author":[{"family":"Atzmon","given":"Gil"},{"family":"Barzilai","given":"Nir"},{"family":"Surks","given":"Martin I."},{"family":"Gabriely","given":"Ilan"}],"issued":{"date-parts":[["2009",12]]}},"label":"page"},{"id":1310,"uris":["http://zotero.org/users/7110448/items/9XI9UHRJ"],"itemData":{"id":1310,"type":"article-journal","abstract":"CONTEXT: A relation between low thyroid activity and prolonged life span in humans has been observed. Several studies have demonstrated hereditary and genetic influences on thyroid function.\nOBJECTIVE: The objective of the study was to test whether low thyroid activity associated with extreme longevity constitutes a heritable phenotype, which could contribute to the familial longevity observed in the Leiden Longevity Study.\nDESIGN: This was a cross-sectional study.\nSETTING: The study was conducted at a university hospital in the city of Leiden, The Netherlands.\nPARTICIPANTS: Eight hundred fifty-nine nonagenarian siblings (median age 92.9 yr) from 421 long-lived families participated in the study. Families were recruited from the entire Dutch population if at least two long-lived siblings were alive and fulfilled the age criterion of age of 89 yr or older for males and 91 yr or older for females. There were no selection criteria on health or demographic characteristics.\nINTERVENTION: Blood samples were taken for determination of serum parameters of thyroid function.\nMAIN OUTCOME MEASURE: We calculated the family mortality history score of the parents of the nonagenarian siblings and related this to thyroid function parameters in the nonagenarian siblings.\nRESULTS: We found that a lower family mortality history score (less mortality) of the parents of nonagenarian siblings was associated with higher serum TSH levels (P = 0.005) and lower free T(4) levels (P = 0.002) as well as lower free T(3) levels (P = 0.034) in the nonagenarian siblings.\nCONCLUSIONS: Our findings support the previous observation that low thyroid activity in humans constitutes a heritable phenotype that contributes to exceptional familial longevity observed in the Leiden Longevity Study.","container-title":"The Journal of Clinical Endocrinology and Metabolism","DOI":"10.1210/jc.2010-0875","ISSN":"1945-7197","issue":"11","journalAbbreviation":"J Clin Endocrinol Metab","language":"eng","note":"PMID: 20739380","page":"4979-4984","source":"PubMed","title":"Familial longevity is associated with decreased thyroid function","volume":"95","author":[{"family":"Rozing","given":"M. P."},{"family":"Houwing-Duistermaat","given":"J. J."},{"family":"Slagboom","given":"P. E."},{"family":"Beekman","given":"M."},{"family":"Frölich","given":"M."},{"family":"Craen","given":"A. J. M.","non-dropping-particle":"de"},{"family":"Westendorp","given":"R. G. J."},{"family":"Heemst","given":"D.","non-dropping-particle":"van"}],"issued":{"date-parts":[["2010",11]]}},"label":"page"}],"schema":"https://github.com/citation-style-language/schema/raw/master/csl-citation.json"} </w:instrText>
      </w:r>
      <w:r w:rsidR="001968AD">
        <w:fldChar w:fldCharType="separate"/>
      </w:r>
      <w:r w:rsidR="001968AD">
        <w:rPr>
          <w:noProof/>
        </w:rPr>
        <w:t>(14,15)</w:t>
      </w:r>
      <w:r w:rsidR="001968AD">
        <w:fldChar w:fldCharType="end"/>
      </w:r>
      <w:r w:rsidR="001968AD">
        <w:t>.</w:t>
      </w:r>
      <w:r w:rsidR="00B4476C">
        <w:t xml:space="preserve"> Dois </w:t>
      </w:r>
      <w:r w:rsidR="00991A3E">
        <w:t>polimorfismos</w:t>
      </w:r>
      <w:r w:rsidR="00B4476C">
        <w:t xml:space="preserve"> no gene do receptor do TSH (rs10149689 e rs12050077)</w:t>
      </w:r>
      <w:r w:rsidR="004B454A">
        <w:t>, em especial,</w:t>
      </w:r>
      <w:r w:rsidR="00B4476C">
        <w:t xml:space="preserve"> estão correlacionados </w:t>
      </w:r>
      <w:r w:rsidR="00401746">
        <w:t>a</w:t>
      </w:r>
      <w:r w:rsidR="00B4476C">
        <w:t xml:space="preserve"> níve</w:t>
      </w:r>
      <w:r w:rsidR="00401746">
        <w:t>is</w:t>
      </w:r>
      <w:r w:rsidR="00B4476C">
        <w:t xml:space="preserve"> de TSH mais elevado</w:t>
      </w:r>
      <w:r w:rsidR="00401746">
        <w:t>s</w:t>
      </w:r>
      <w:r w:rsidR="00B4476C">
        <w:t xml:space="preserve"> nos centenários judeus Ashkenazi e seus descendentes </w:t>
      </w:r>
      <w:r w:rsidR="00B4476C">
        <w:fldChar w:fldCharType="begin"/>
      </w:r>
      <w:r w:rsidR="00344DCD">
        <w:instrText xml:space="preserve"> ADDIN ZOTERO_ITEM CSL_CITATION {"citationID":"yOF9WuQW","properties":{"unsorted":true,"formattedCitation":"(14,33)","plainCitation":"(14,33)","noteIndex":0},"citationItems":[{"id":637,"uris":["http://zotero.org/users/7110448/items/83N5YFHX"],"itemData":{"id":637,"type":"article-journal","abstract":"Context: Exceptional longevity is associated with raised serum TSH., Objective: The aim of this study was to examine whether offspring of people with exceptional longevity have elevated serum TSH and whether specific single nucleotide polymorphisms (SNPs) in the TSH-B gene and TSH receptor (TSHR) gene are associated with this phenotype., Design/Setting/Patients: We measured serum TSH and free T4 in Ashkenazi Jewish centenarians (n = 232; median age, 97 yr), their offspring (n = 366; median age, 69 yr), and age-matched controls without familial longevity (n = 163; median age, 70 yr). We determined TSH heritability, its distribution, and association with SNPs in the TSH-B and TSHR genes., Results: Offspring had higher median serum TSH [1.68 mIU/liter (97.5% confidence interval, 0.65 to 4.79 mIU/liter)], compared to controls [1.50 mIU/liter (97.5% confidence interval, 0.63 to 3.93 mIU/liter); P = 0.02], with estimated heritability of 0.33 (P = 0.004). Allele frequency of two SNPs in the promoter/enhancer region of TSHR gene, associated with increased serum TSH, was higher in centenarians and their offspring compared to controls (rs10149689 G allele frequency, 0.57 and 0.53 vs. 0.48; P = 0.001 and P = 0.08; odds ratio, 1.56 and 1.22, respectively; and rs12050077 A allele frequency, 0.57 and 0.53 vs. 0.46; P = 0.0001 and P = 0.01; odds ratio, 1.68 and 1.32, respectively). Linkage disequilibrium between the two SNPs was high (r2 = 0.95), suggesting interaction between them. Furthermore, GA haplotype frequency was significantly higher among centenarians and offspring compared to controls (0.57 and 0.53 vs. 0.46; P = 0.0001 and P = 0.01, respectively)., Conclusions: A heritable phenotype characterized by raised serum TSH is associated with human longevity. Carriers of rs12050077 and rs10149689 SNPs in the TSHR have higher serum TSH, possibly contributing to decreased thyroid function and longevity., Offspring of centenarians have elevated serum TSH levels and demonstrate two single nucleotide TSH receptor gene polymorphisms that are associated with higher serum TSH.","container-title":"The Journal of Clinical Endocrinology and Metabolism","DOI":"10.1210/jc.2009-0808","ISSN":"0021-972X","issue":"12","journalAbbreviation":"J Clin Endocrinol Metab","note":"PMID: 19837933\nPMCID: PMC2795660","page":"4768-4775","source":"PubMed Central","title":"Genetic Predisposition to Elevated Serum Thyrotropin Is Associated with Exceptional Longevity","volume":"94","author":[{"family":"Atzmon","given":"Gil"},{"family":"Barzilai","given":"Nir"},{"family":"Surks","given":"Martin I."},{"family":"Gabriely","given":"Ilan"}],"issued":{"date-parts":[["2009",12]]}},"label":"page"},{"id":1717,"uris":["http://zotero.org/users/7110448/items/K65TF76S"],"itemData":{"id":1717,"type":"article-journal","abstract":"Hypothyroidism is characterized by increased thyrotropin (TSH) levels and reduced free thyroid hormone fractions while, subclinical hypothyroidism (sHT) by elevated serum TSH in the face of normal thyroid hormones. The high frequency of hypothyroidism among the general population in Western Countries made levothyroxine (LT4) one of the 10 most prescribed drugs. However, circulating TSH has been demonstrated to increase with aging, regardless the existence of an actual thyroid disease. Thus, when confronting an increase in circulating TSH levels in the elderly, especially in the oldest old, it is important to carry an appropriate diagnostic path, comprehensive of clinical picture as well as laboratory and imaging techniques. In the current review, we summarize the recommendations for a correct diagnostic workup and therapeutic approach to older people with elevated TSH value, with special attention to the presence of frailty, comorbidities, and poly-therapy. The treatment of choice for hypothyroid patients is hormone replacement with LT4 but, it is important to consider multiple factors before commencing the therapy, from the age dependent TSH increase to the presence of an actual thyroid disease and comorbidities. When treatment is necessary, a tailored therapy should be chosen, considering poly-pharmacy and frailty. A careful follow-up and treatment re-assessment should be always considered to avoid the risk of over-treatment. It is important to stress the need of educating the patient for a correct administration of LT4, particularly when poly-therapy is in place, and the importance of a tailored therapeutic approach and follow-up, to avoid overtreatment.","container-title":"Frontiers in Endocrinology","DOI":"10.3389/fendo.2019.00177","ISSN":"1664-2392","journalAbbreviation":"Front Endocrinol (Lausanne)","note":"PMID: 30967841\nPMCID: PMC6438852","page":"177","source":"PubMed Central","title":"Overt and Subclinical Hypothyroidism in the Elderly: When to Treat?","title-short":"Overt and Subclinical Hypothyroidism in the Elderly","volume":"10","author":[{"family":"Calsolaro","given":"Valeria"},{"family":"Niccolai","given":"Filippo"},{"family":"Pasqualetti","given":"Giuseppe"},{"family":"Calabrese","given":"Alessia Maria"},{"family":"Polini","given":"Antonio"},{"family":"Okoye","given":"Chukwuma"},{"family":"Magno","given":"Silvia"},{"family":"Caraccio","given":"Nadia"},{"family":"Monzani","given":"Fabio"}],"issued":{"date-parts":[["2019",3,22]]}},"label":"page"}],"schema":"https://github.com/citation-style-language/schema/raw/master/csl-citation.json"} </w:instrText>
      </w:r>
      <w:r w:rsidR="00B4476C">
        <w:fldChar w:fldCharType="separate"/>
      </w:r>
      <w:r w:rsidR="004357A4">
        <w:rPr>
          <w:noProof/>
        </w:rPr>
        <w:t>(14,33)</w:t>
      </w:r>
      <w:r w:rsidR="00B4476C">
        <w:fldChar w:fldCharType="end"/>
      </w:r>
      <w:r w:rsidR="00B4476C">
        <w:t xml:space="preserve">. </w:t>
      </w:r>
      <w:r w:rsidR="00BE3CE8">
        <w:t>Na</w:t>
      </w:r>
      <w:r w:rsidR="00DF38B2">
        <w:t xml:space="preserve"> análise de </w:t>
      </w:r>
      <w:r w:rsidR="000C6CB9">
        <w:t xml:space="preserve">dados derivados do </w:t>
      </w:r>
      <w:r w:rsidR="007217C4" w:rsidRPr="007217C4">
        <w:t>estudo de longevidade</w:t>
      </w:r>
      <w:r w:rsidR="007217C4">
        <w:t xml:space="preserve"> </w:t>
      </w:r>
      <w:r w:rsidR="000C6CB9">
        <w:t>de Leiden, a função tireoidiana dos filhos (com meia idade) de irmãos nonagenários e seus respectivos parceiros também foi avaliada, observando-se níveis séricos mais elevados de TSH e mais baixos de T4 e T3 no grupo dos filhos de irmãos nonagenários</w:t>
      </w:r>
      <w:r w:rsidR="000E6B51">
        <w:t xml:space="preserve">, </w:t>
      </w:r>
      <w:r w:rsidR="000C6CB9">
        <w:t>reforçando o possível papel favorável da hipofunção tireoidiana na longevidade</w:t>
      </w:r>
      <w:r w:rsidR="004B454A">
        <w:t xml:space="preserve"> e seu padrão hereditário</w:t>
      </w:r>
      <w:r w:rsidR="000C6CB9">
        <w:t xml:space="preserve"> </w:t>
      </w:r>
      <w:r w:rsidR="004357A4">
        <w:fldChar w:fldCharType="begin"/>
      </w:r>
      <w:r w:rsidR="00344DCD">
        <w:instrText xml:space="preserve"> ADDIN ZOTERO_ITEM CSL_CITATION {"citationID":"0mcR2dhr","properties":{"formattedCitation":"(14,45)","plainCitation":"(14,45)","noteIndex":0},"citationItems":[{"id":637,"uris":["http://zotero.org/users/7110448/items/83N5YFHX"],"itemData":{"id":637,"type":"article-journal","abstract":"Context: Exceptional longevity is associated with raised serum TSH., Objective: The aim of this study was to examine whether offspring of people with exceptional longevity have elevated serum TSH and whether specific single nucleotide polymorphisms (SNPs) in the TSH-B gene and TSH receptor (TSHR) gene are associated with this phenotype., Design/Setting/Patients: We measured serum TSH and free T4 in Ashkenazi Jewish centenarians (n = 232; median age, 97 yr), their offspring (n = 366; median age, 69 yr), and age-matched controls without familial longevity (n = 163; median age, 70 yr). We determined TSH heritability, its distribution, and association with SNPs in the TSH-B and TSHR genes., Results: Offspring had higher median serum TSH [1.68 mIU/liter (97.5% confidence interval, 0.65 to 4.79 mIU/liter)], compared to controls [1.50 mIU/liter (97.5% confidence interval, 0.63 to 3.93 mIU/liter); P = 0.02], with estimated heritability of 0.33 (P = 0.004). Allele frequency of two SNPs in the promoter/enhancer region of TSHR gene, associated with increased serum TSH, was higher in centenarians and their offspring compared to controls (rs10149689 G allele frequency, 0.57 and 0.53 vs. 0.48; P = 0.001 and P = 0.08; odds ratio, 1.56 and 1.22, respectively; and rs12050077 A allele frequency, 0.57 and 0.53 vs. 0.46; P = 0.0001 and P = 0.01; odds ratio, 1.68 and 1.32, respectively). Linkage disequilibrium between the two SNPs was high (r2 = 0.95), suggesting interaction between them. Furthermore, GA haplotype frequency was significantly higher among centenarians and offspring compared to controls (0.57 and 0.53 vs. 0.46; P = 0.0001 and P = 0.01, respectively)., Conclusions: A heritable phenotype characterized by raised serum TSH is associated with human longevity. Carriers of rs12050077 and rs10149689 SNPs in the TSHR have higher serum TSH, possibly contributing to decreased thyroid function and longevity., Offspring of centenarians have elevated serum TSH levels and demonstrate two single nucleotide TSH receptor gene polymorphisms that are associated with higher serum TSH.","container-title":"The Journal of Clinical Endocrinology and Metabolism","DOI":"10.1210/jc.2009-0808","ISSN":"0021-972X","issue":"12","journalAbbreviation":"J Clin Endocrinol Metab","note":"PMID: 19837933\nPMCID: PMC2795660","page":"4768-4775","source":"PubMed Central","title":"Genetic Predisposition to Elevated Serum Thyrotropin Is Associated with Exceptional Longevity","volume":"94","author":[{"family":"Atzmon","given":"Gil"},{"family":"Barzilai","given":"Nir"},{"family":"Surks","given":"Martin I."},{"family":"Gabriely","given":"Ilan"}],"issued":{"date-parts":[["2009",12]]}},"label":"page"},{"id":1141,"uris":["http://zotero.org/users/7110448/items/Y43B6BKH"],"itemData":{"id":1141,"type":"article-journal","abstract":"BACKGROUND: The hypothalamo-pituitary-thyroid axis has been widely implicated in modulating the aging process. Life extension effects associated with low thyroid hormone levels have been reported in multiple animal models. In human populations, an association was observed between low thyroid function and longevity at old age, but the beneficial effects of low thyroid hormone metabolism at middle age remain elusive.\nMETHODS: We have compared serum thyroid hormone function parameters in a group of middle-aged offspring of long-living nonagenarian siblings and a control group of their partners, all participants of the Leiden Longevity Study.\nRESULTS: When compared with their partners, the group of offspring of nonagenarian siblings showed a trend toward higher serum thyrotropin levels (1.65 vs157 mU/L, p = .11) in conjunction with lower free thyroxine levels (15.0 vs 15.2 pmol/L, p = .045) and lower free triiodothyronine levels (4.08 vs 4.14 pmol/L, p = .024).\nCONCLUSIONS: Compared with their partners, the group of offspring of nonagenarian siblings show a lower thyroidal sensitivity to thyrotropin. These findings suggest that the favorable role of low thyroid hormone metabolism on health and longevity in model organism is applicable to humans as well.","container-title":"The Journals of Gerontology. Series A, Biological Sciences and Medical Sciences","DOI":"10.1093/gerona/glp200","ISSN":"1758-535X","issue":"4","journalAbbreviation":"J Gerontol A Biol Sci Med Sci","language":"eng","note":"PMID: 20018826","page":"365-368","source":"PubMed","title":"Low serum free triiodothyronine levels mark familial longevity: the Leiden Longevity Study","title-short":"Low serum free triiodothyronine levels mark familial longevity","volume":"65","author":[{"family":"Rozing","given":"Maarten P."},{"family":"Westendorp","given":"Rudi G. J."},{"family":"Craen","given":"Anton J. M.","non-dropping-particle":"de"},{"family":"Frölich","given":"Marijke"},{"family":"Heijmans","given":"Bastiaan T."},{"family":"Beekman","given":"Marian"},{"family":"Wijsman","given":"Carolien"},{"family":"Mooijaart","given":"Simon P."},{"family":"Blauw","given":"Gerard-Jan"},{"family":"Slagboom","given":"P. Eline"},{"family":"Heemst","given":"Diana","non-dropping-particle":"van"},{"literal":"Leiden Longevity Study (LLS) Group"}],"issued":{"date-parts":[["2010",4]]}},"label":"page"}],"schema":"https://github.com/citation-style-language/schema/raw/master/csl-citation.json"} </w:instrText>
      </w:r>
      <w:r w:rsidR="004357A4">
        <w:fldChar w:fldCharType="separate"/>
      </w:r>
      <w:r w:rsidR="004357A4">
        <w:rPr>
          <w:noProof/>
        </w:rPr>
        <w:t>(14,45)</w:t>
      </w:r>
      <w:r w:rsidR="004357A4">
        <w:fldChar w:fldCharType="end"/>
      </w:r>
      <w:r w:rsidR="004357A4">
        <w:t xml:space="preserve">. </w:t>
      </w:r>
    </w:p>
    <w:p w14:paraId="61ED8341" w14:textId="11F1A540" w:rsidR="00097753" w:rsidRPr="00BC57AE" w:rsidRDefault="00BC57AE" w:rsidP="00BF536F">
      <w:pPr>
        <w:spacing w:line="360" w:lineRule="auto"/>
        <w:jc w:val="both"/>
        <w:rPr>
          <w:b/>
        </w:rPr>
      </w:pPr>
      <w:r w:rsidRPr="00BC57AE">
        <w:rPr>
          <w:b/>
        </w:rPr>
        <w:lastRenderedPageBreak/>
        <w:t xml:space="preserve"> 2.1.4 Longevidade</w:t>
      </w:r>
    </w:p>
    <w:p w14:paraId="0C934326" w14:textId="4EE2E427" w:rsidR="005976A0" w:rsidRDefault="005976A0" w:rsidP="005976A0">
      <w:pPr>
        <w:spacing w:line="360" w:lineRule="auto"/>
        <w:ind w:right="-16"/>
      </w:pPr>
    </w:p>
    <w:p w14:paraId="53AD884A" w14:textId="175EE226" w:rsidR="001F75D0" w:rsidRDefault="001F75D0" w:rsidP="005976A0">
      <w:pPr>
        <w:spacing w:line="360" w:lineRule="auto"/>
        <w:jc w:val="both"/>
      </w:pPr>
      <w:r>
        <w:t xml:space="preserve">     </w:t>
      </w:r>
      <w:r w:rsidR="002F141D">
        <w:t xml:space="preserve">A </w:t>
      </w:r>
      <w:r w:rsidR="005976A0" w:rsidRPr="002F141D">
        <w:t xml:space="preserve">função hipotalâmica foi associada à longevidade a partir de estudos realizados em animais submetidos </w:t>
      </w:r>
      <w:r w:rsidR="00BF536F">
        <w:t>à</w:t>
      </w:r>
      <w:r w:rsidR="005976A0" w:rsidRPr="002F141D">
        <w:t xml:space="preserve"> hipofisectomia ou </w:t>
      </w:r>
      <w:r w:rsidR="00BF536F">
        <w:t xml:space="preserve">à </w:t>
      </w:r>
      <w:r w:rsidR="005976A0" w:rsidRPr="002F141D">
        <w:t xml:space="preserve">restrição calórica </w:t>
      </w:r>
      <w:r w:rsidR="00184A0B">
        <w:fldChar w:fldCharType="begin"/>
      </w:r>
      <w:r w:rsidR="004C3BF7">
        <w:instrText xml:space="preserve"> ADDIN ZOTERO_ITEM CSL_CITATION {"citationID":"tdMsh9ae","properties":{"unsorted":true,"formattedCitation":"(46\\uc0\\u8211{}49)","plainCitation":"(46–49)","noteIndex":0},"citationItems":[{"id":1757,"uris":["http://zotero.org/users/7110448/items/NNJCTFHR"],"itemData":{"id":1757,"type":"article-journal","abstract":"Hypophysectomy in young male Wistar rats aged 70 days, followed by cortisone acetate replacement therapy throughout life, retarded the rate of aging of tail tendon collagen fibres, inhibited the development of certain diseases of old age (renal disease, cardiac enlargement, hind limb paralysis, and various endocrine and non-endocrine tumors) and significantly prolonged the duration of life. Almost identical anti-aging effects were obtained by lowering the food intake of intact rats to that of hypophysectomized rats, from age 70 days until death. Hypophysectomy in middle age, at 400 days, even with cortisone acetate replacement therapy, produced a sharp increase in the mortality rate; the surviving rats exhibited significantly reduced aging of collagen fibres and of the kidney as measured by protein excretion. Food restriction begun at 400 days also inhibited renal aging, but had no demonstrable effect on collagen aging during the first 100 days. These studies suggest that procedures such as hypophysectomy and food restriction do not switch off an aging mechanism in youth but probably exert a continuing inhibitory influence on certain aging processes throughout life.","container-title":"Mechanisms of Ageing and Development","DOI":"10.1016/0047-6374(80)90092-5","ISSN":"0047-6374","issue":"2","journalAbbreviation":"Mech Ageing Dev","language":"eng","note":"PMID: 6445026","page":"161-172","source":"PubMed","title":"The effects of hypophysectomy and continuous food restriction, begun at ages 70 and 400 days, on collagen aging, proteinuria, incidence of pathology and longevity in the male rat","volume":"12","author":[{"family":"Everitt","given":"A. V."},{"family":"Seedsman","given":"N. J."},{"family":"Jones","given":"F."}],"issued":{"date-parts":[["1980",2]]}},"label":"page"},{"id":1687,"uris":["http://zotero.org/users/7110448/items/WP8W3J83"],"itemData":{"id":1687,"type":"article-journal","abstract":"Wistar rats were made hypothyroidic by intraperitoneal thyroxine (T4) injection during the first 10 days of neonatal life. Levels of T4, 3,3',5-triiodothyronine (T3), thyroid-stimulating hormone (TSH) and prolactin in the blood of these rats were measured by radioimmunoassay. The T4 levels are about two-thirds of control values up to 20 months of age. T3 level is low only at a young age. TSH level shows no significant difference from control, but is about half that of control after the stimulation of secretion by 6-propyl-2-thiouracil. The level of prolactin is much higher in the T4-treated group than in controls. In male rats, life duration of hypothyroid rats was longer than control by about 4 months. The life extension effect of hypothyroidism was observed also in females, although the difference was smaller than that in males. The concentration of T4 in the blood of male rats is higher than females, and the decrease in T4 level by neonatal T4 treatment is also more marked in males.","container-title":"Mechanisms of Ageing and Development","DOI":"10.1016/0047-6374(83)90104-5","ISSN":"0047-6374","issue":"2","journalAbbreviation":"Mech Ageing Dev","language":"eng","note":"PMID: 6632988","page":"113-120","source":"PubMed","title":"Pituitary-thyroid activity and longevity in neonatally thyroxine-treated rats","volume":"22","author":[{"family":"Ooka","given":"H."},{"family":"Fujita","given":"S."},{"family":"Yoshimoto","given":"E."}],"issued":{"date-parts":[["1983",6]]}},"label":"page"},{"id":1220,"uris":["http://zotero.org/users/7110448/items/4W3DILLL"],"itemData":{"id":1220,"type":"webpage","title":"Retardation of the Ageing Process in Collagen Fibres from the Tail Tendon of the Old Hypophysectomized Rat | Nature","URL":"https://www.nature.com/articles/206307b0","accessed":{"date-parts":[["2021",11,6]]}},"label":"page"},{"id":1234,"uris":["http://zotero.org/users/7110448/items/D7CDEJYE"],"itemData":{"id":1234,"type":"article-journal","abstract":"Dwarf mutations reduce levels of pituitary hormones and increase life span in mice. But because these dwarf mutations confer life-long hormone deficits that alter development and dramatically reduce fecundity, the relevance of these models to normal aging has been questioned. We examined effects of pituitary hormone withdrawal at different ages using hypophysectomy (surgical removal of the pituitary). Hypophysectomy at 1 month of age extended life span significantly (15%), but hypophysectomy at 9 months of age extended life span to the greatest magnitude (21%) of any age we tested. These results demonstrate pituitary hormone withdrawal can extend life span even if these hormones are removed relatively late in life.","container-title":"Mechanisms of Ageing and Development","DOI":"10.1016/j.mad.2006.03.003","ISSN":"0047-6374","issue":"8","journalAbbreviation":"Mech Ageing Dev","language":"eng","note":"PMID: 16643985","page":"658-659","source":"PubMed","title":"Pituitary removal in adult mice increases life span","volume":"127","author":[{"family":"Powers","given":"R. Wilson"},{"family":"Harrison","given":"David E."},{"family":"Flurkey","given":"Kevin"}],"issued":{"date-parts":[["2006",8]]}},"label":"page"}],"schema":"https://github.com/citation-style-language/schema/raw/master/csl-citation.json"} </w:instrText>
      </w:r>
      <w:r w:rsidR="00184A0B">
        <w:fldChar w:fldCharType="separate"/>
      </w:r>
      <w:r w:rsidR="00821A28" w:rsidRPr="00821A28">
        <w:t>(46–49)</w:t>
      </w:r>
      <w:r w:rsidR="00184A0B">
        <w:fldChar w:fldCharType="end"/>
      </w:r>
      <w:r w:rsidR="00184A0B">
        <w:t xml:space="preserve">. A complexa integração do sistema endócrino presente nos mamíferos implica efeitos interligados em diferentes eixos hormonais ao longo da vida </w:t>
      </w:r>
      <w:r w:rsidR="00184A0B">
        <w:fldChar w:fldCharType="begin"/>
      </w:r>
      <w:r w:rsidR="004C3BF7">
        <w:instrText xml:space="preserve"> ADDIN ZOTERO_ITEM CSL_CITATION {"citationID":"GFJhD6kB","properties":{"formattedCitation":"(50)","plainCitation":"(50)","noteIndex":0},"citationItems":[{"id":1217,"uris":["http://zotero.org/users/7110448/items/7D2NAS62"],"itemData":{"id":1217,"type":"article-journal","abstract":"Multiple biological and environmental factors impact the life span of an organism. The endocrine system is a highly integrated physiological system in mammals that regulates metabolism, growth, reproduction, and response to stress, among other functions. As such, this pervasive entity has a major influence on aging and longevity. The growth hormone, insulin-like growth factor-1 and insulin pathways have been at the forefront of hormonal control of aging research in the last few years. Other hormones, including those from the thyroid and reproductive system have also been studied in terms of life span regulation. The relevance of these hormones to human longevity remains to be established, however the evidence from other species including yeast, nematodes, and flies suggest that evolutionarily well-conserved mechanisms are at play and the endocrine system is a key determinant.","container-title":"Ageing Research Reviews","DOI":"10.1016/j.arr.2007.02.005","ISSN":"1568-1637","issue":"1","journalAbbreviation":"Ageing Res Rev","language":"eng","note":"PMID: 17360245\nPMCID: PMC1978093","page":"28-45","source":"PubMed","title":"Hormonal regulation of longevity in mammals","volume":"6","author":[{"family":"Brown-Borg","given":"Holly M."}],"issued":{"date-parts":[["2007",5]]}}}],"schema":"https://github.com/citation-style-language/schema/raw/master/csl-citation.json"} </w:instrText>
      </w:r>
      <w:r w:rsidR="00184A0B">
        <w:fldChar w:fldCharType="separate"/>
      </w:r>
      <w:r w:rsidR="00821A28">
        <w:rPr>
          <w:noProof/>
        </w:rPr>
        <w:t>(50)</w:t>
      </w:r>
      <w:r w:rsidR="00184A0B">
        <w:fldChar w:fldCharType="end"/>
      </w:r>
      <w:r w:rsidR="00184A0B">
        <w:t xml:space="preserve">. Alguns fatores diretamente envolvidos no processo de envelhecimento, como os hormônios </w:t>
      </w:r>
      <w:r w:rsidR="00991A3E">
        <w:t>i</w:t>
      </w:r>
      <w:r w:rsidR="00184A0B">
        <w:t xml:space="preserve">nsulina, </w:t>
      </w:r>
      <w:r w:rsidR="00991A3E">
        <w:t>tireoidianos, de crescimento</w:t>
      </w:r>
      <w:r w:rsidR="001D62E5">
        <w:t>,</w:t>
      </w:r>
      <w:r w:rsidR="00991A3E">
        <w:t xml:space="preserve"> </w:t>
      </w:r>
      <w:r w:rsidR="00184A0B">
        <w:t xml:space="preserve">atuam no controle do metabolismo e na capacidade de adaptação do </w:t>
      </w:r>
      <w:r w:rsidR="00184A0B" w:rsidRPr="00387A78">
        <w:t>organismo a mudanças</w:t>
      </w:r>
      <w:r w:rsidR="00184A0B">
        <w:t xml:space="preserve"> </w:t>
      </w:r>
      <w:r w:rsidR="00184A0B">
        <w:fldChar w:fldCharType="begin"/>
      </w:r>
      <w:r w:rsidR="004C3BF7">
        <w:instrText xml:space="preserve"> ADDIN ZOTERO_ITEM CSL_CITATION {"citationID":"8GN4IL73","properties":{"formattedCitation":"(50)","plainCitation":"(50)","noteIndex":0},"citationItems":[{"id":1217,"uris":["http://zotero.org/users/7110448/items/7D2NAS62"],"itemData":{"id":1217,"type":"article-journal","abstract":"Multiple biological and environmental factors impact the life span of an organism. The endocrine system is a highly integrated physiological system in mammals that regulates metabolism, growth, reproduction, and response to stress, among other functions. As such, this pervasive entity has a major influence on aging and longevity. The growth hormone, insulin-like growth factor-1 and insulin pathways have been at the forefront of hormonal control of aging research in the last few years. Other hormones, including those from the thyroid and reproductive system have also been studied in terms of life span regulation. The relevance of these hormones to human longevity remains to be established, however the evidence from other species including yeast, nematodes, and flies suggest that evolutionarily well-conserved mechanisms are at play and the endocrine system is a key determinant.","container-title":"Ageing Research Reviews","DOI":"10.1016/j.arr.2007.02.005","ISSN":"1568-1637","issue":"1","journalAbbreviation":"Ageing Res Rev","language":"eng","note":"PMID: 17360245\nPMCID: PMC1978093","page":"28-45","source":"PubMed","title":"Hormonal regulation of longevity in mammals","volume":"6","author":[{"family":"Brown-Borg","given":"Holly M."}],"issued":{"date-parts":[["2007",5]]}}}],"schema":"https://github.com/citation-style-language/schema/raw/master/csl-citation.json"} </w:instrText>
      </w:r>
      <w:r w:rsidR="00184A0B">
        <w:fldChar w:fldCharType="separate"/>
      </w:r>
      <w:r w:rsidR="00821A28">
        <w:rPr>
          <w:noProof/>
        </w:rPr>
        <w:t>(50)</w:t>
      </w:r>
      <w:r w:rsidR="00184A0B">
        <w:fldChar w:fldCharType="end"/>
      </w:r>
      <w:r w:rsidR="00184A0B">
        <w:t xml:space="preserve">. </w:t>
      </w:r>
    </w:p>
    <w:p w14:paraId="7AD8F1C2" w14:textId="332B9BA7" w:rsidR="00A04730" w:rsidRPr="001F75D0" w:rsidRDefault="001F75D0" w:rsidP="005976A0">
      <w:pPr>
        <w:spacing w:line="360" w:lineRule="auto"/>
        <w:jc w:val="both"/>
        <w:rPr>
          <w:rStyle w:val="y2iqfc"/>
        </w:rPr>
      </w:pPr>
      <w:r>
        <w:t xml:space="preserve">     </w:t>
      </w:r>
      <w:r w:rsidR="00184A0B" w:rsidRPr="00170E70">
        <w:rPr>
          <w:color w:val="000000" w:themeColor="text1"/>
        </w:rPr>
        <w:t xml:space="preserve">A ligação mais evidente dos HT na regulação da longevidade surgiu a partir de estudos </w:t>
      </w:r>
      <w:proofErr w:type="spellStart"/>
      <w:r w:rsidR="00184A0B" w:rsidRPr="00170E70">
        <w:rPr>
          <w:color w:val="000000" w:themeColor="text1"/>
        </w:rPr>
        <w:t>pr</w:t>
      </w:r>
      <w:r w:rsidR="00960CE9">
        <w:rPr>
          <w:color w:val="000000" w:themeColor="text1"/>
        </w:rPr>
        <w:t>é</w:t>
      </w:r>
      <w:proofErr w:type="spellEnd"/>
      <w:r w:rsidR="001D62E5">
        <w:rPr>
          <w:color w:val="000000" w:themeColor="text1"/>
        </w:rPr>
        <w:t>-</w:t>
      </w:r>
      <w:r w:rsidR="00184A0B" w:rsidRPr="00170E70">
        <w:rPr>
          <w:color w:val="000000" w:themeColor="text1"/>
        </w:rPr>
        <w:t xml:space="preserve"> clínicos de </w:t>
      </w:r>
      <w:proofErr w:type="spellStart"/>
      <w:r w:rsidR="00184A0B" w:rsidRPr="00170E70">
        <w:rPr>
          <w:color w:val="000000" w:themeColor="text1"/>
        </w:rPr>
        <w:t>Ooka</w:t>
      </w:r>
      <w:proofErr w:type="spellEnd"/>
      <w:r w:rsidR="00184A0B" w:rsidRPr="00170E70">
        <w:rPr>
          <w:color w:val="000000" w:themeColor="text1"/>
        </w:rPr>
        <w:t xml:space="preserve"> e colaboradores</w:t>
      </w:r>
      <w:r w:rsidR="00184A0B">
        <w:rPr>
          <w:color w:val="000000" w:themeColor="text1"/>
        </w:rPr>
        <w:t xml:space="preserve"> </w:t>
      </w:r>
      <w:r w:rsidR="00184A0B">
        <w:rPr>
          <w:color w:val="000000" w:themeColor="text1"/>
        </w:rPr>
        <w:fldChar w:fldCharType="begin"/>
      </w:r>
      <w:r w:rsidR="004C3BF7">
        <w:rPr>
          <w:color w:val="000000" w:themeColor="text1"/>
        </w:rPr>
        <w:instrText xml:space="preserve"> ADDIN ZOTERO_ITEM CSL_CITATION {"citationID":"qEhoKAGC","properties":{"formattedCitation":"(50)","plainCitation":"(50)","noteIndex":0},"citationItems":[{"id":1217,"uris":["http://zotero.org/users/7110448/items/7D2NAS62"],"itemData":{"id":1217,"type":"article-journal","abstract":"Multiple biological and environmental factors impact the life span of an organism. The endocrine system is a highly integrated physiological system in mammals that regulates metabolism, growth, reproduction, and response to stress, among other functions. As such, this pervasive entity has a major influence on aging and longevity. The growth hormone, insulin-like growth factor-1 and insulin pathways have been at the forefront of hormonal control of aging research in the last few years. Other hormones, including those from the thyroid and reproductive system have also been studied in terms of life span regulation. The relevance of these hormones to human longevity remains to be established, however the evidence from other species including yeast, nematodes, and flies suggest that evolutionarily well-conserved mechanisms are at play and the endocrine system is a key determinant.","container-title":"Ageing Research Reviews","DOI":"10.1016/j.arr.2007.02.005","ISSN":"1568-1637","issue":"1","journalAbbreviation":"Ageing Res Rev","language":"eng","note":"PMID: 17360245\nPMCID: PMC1978093","page":"28-45","source":"PubMed","title":"Hormonal regulation of longevity in mammals","volume":"6","author":[{"family":"Brown-Borg","given":"Holly M."}],"issued":{"date-parts":[["2007",5]]}}}],"schema":"https://github.com/citation-style-language/schema/raw/master/csl-citation.json"} </w:instrText>
      </w:r>
      <w:r w:rsidR="00184A0B">
        <w:rPr>
          <w:color w:val="000000" w:themeColor="text1"/>
        </w:rPr>
        <w:fldChar w:fldCharType="separate"/>
      </w:r>
      <w:r w:rsidR="00821A28">
        <w:rPr>
          <w:noProof/>
          <w:color w:val="000000" w:themeColor="text1"/>
        </w:rPr>
        <w:t>(50)</w:t>
      </w:r>
      <w:r w:rsidR="00184A0B">
        <w:rPr>
          <w:color w:val="000000" w:themeColor="text1"/>
        </w:rPr>
        <w:fldChar w:fldCharType="end"/>
      </w:r>
      <w:r w:rsidR="00184A0B">
        <w:rPr>
          <w:color w:val="000000" w:themeColor="text1"/>
        </w:rPr>
        <w:t xml:space="preserve">. </w:t>
      </w:r>
      <w:r w:rsidR="00991A3E">
        <w:rPr>
          <w:color w:val="000000" w:themeColor="text1"/>
        </w:rPr>
        <w:t>Em um</w:t>
      </w:r>
      <w:r w:rsidR="00184A0B" w:rsidRPr="00170E70">
        <w:rPr>
          <w:color w:val="000000" w:themeColor="text1"/>
        </w:rPr>
        <w:t xml:space="preserve"> deles, o </w:t>
      </w:r>
      <w:r w:rsidR="00184A0B" w:rsidRPr="00170E70">
        <w:rPr>
          <w:rStyle w:val="y2iqfc"/>
          <w:color w:val="000000" w:themeColor="text1"/>
          <w:lang w:val="pt-PT"/>
        </w:rPr>
        <w:t xml:space="preserve">hipotireoidismo foi induzido e o efeito na expectativa de vida do rato </w:t>
      </w:r>
      <w:proofErr w:type="spellStart"/>
      <w:r w:rsidR="00184A0B" w:rsidRPr="00170E70">
        <w:rPr>
          <w:rStyle w:val="y2iqfc"/>
          <w:color w:val="000000" w:themeColor="text1"/>
          <w:lang w:val="pt-PT"/>
        </w:rPr>
        <w:t>Wistar</w:t>
      </w:r>
      <w:proofErr w:type="spellEnd"/>
      <w:r w:rsidR="00184A0B" w:rsidRPr="00170E70">
        <w:rPr>
          <w:rStyle w:val="y2iqfc"/>
          <w:color w:val="000000" w:themeColor="text1"/>
          <w:lang w:val="pt-PT"/>
        </w:rPr>
        <w:t xml:space="preserve"> foi examinado. Os ratos </w:t>
      </w:r>
      <w:proofErr w:type="spellStart"/>
      <w:r w:rsidR="00184A0B" w:rsidRPr="00170E70">
        <w:rPr>
          <w:rStyle w:val="y2iqfc"/>
          <w:color w:val="000000" w:themeColor="text1"/>
          <w:lang w:val="pt-PT"/>
        </w:rPr>
        <w:t>hipotireoideos</w:t>
      </w:r>
      <w:proofErr w:type="spellEnd"/>
      <w:r w:rsidR="00184A0B" w:rsidRPr="00170E70">
        <w:rPr>
          <w:rStyle w:val="y2iqfc"/>
          <w:color w:val="000000" w:themeColor="text1"/>
          <w:lang w:val="pt-PT"/>
        </w:rPr>
        <w:t xml:space="preserve"> viveram </w:t>
      </w:r>
      <w:r w:rsidR="001D62E5">
        <w:rPr>
          <w:rStyle w:val="y2iqfc"/>
          <w:color w:val="000000" w:themeColor="text1"/>
          <w:lang w:val="pt-PT"/>
        </w:rPr>
        <w:t>quatro</w:t>
      </w:r>
      <w:r w:rsidR="001D62E5" w:rsidRPr="00170E70">
        <w:rPr>
          <w:rStyle w:val="y2iqfc"/>
          <w:color w:val="000000" w:themeColor="text1"/>
          <w:lang w:val="pt-PT"/>
        </w:rPr>
        <w:t xml:space="preserve"> </w:t>
      </w:r>
      <w:r w:rsidR="00184A0B" w:rsidRPr="00170E70">
        <w:rPr>
          <w:rStyle w:val="y2iqfc"/>
          <w:color w:val="000000" w:themeColor="text1"/>
          <w:lang w:val="pt-PT"/>
        </w:rPr>
        <w:t>meses a mais do que o grupo controle. Em outro</w:t>
      </w:r>
      <w:r w:rsidR="00AF13D0">
        <w:rPr>
          <w:rStyle w:val="y2iqfc"/>
          <w:color w:val="000000" w:themeColor="text1"/>
          <w:lang w:val="pt-PT"/>
        </w:rPr>
        <w:t xml:space="preserve"> estudo</w:t>
      </w:r>
      <w:r w:rsidR="00184A0B" w:rsidRPr="00170E70">
        <w:rPr>
          <w:rStyle w:val="y2iqfc"/>
          <w:color w:val="000000" w:themeColor="text1"/>
          <w:lang w:val="pt-PT"/>
        </w:rPr>
        <w:t xml:space="preserve">, foi administrado tiroxina aos ratos </w:t>
      </w:r>
      <w:proofErr w:type="spellStart"/>
      <w:r w:rsidR="00184A0B" w:rsidRPr="00170E70">
        <w:rPr>
          <w:rStyle w:val="y2iqfc"/>
          <w:color w:val="000000" w:themeColor="text1"/>
          <w:lang w:val="pt-PT"/>
        </w:rPr>
        <w:t>Wistar</w:t>
      </w:r>
      <w:proofErr w:type="spellEnd"/>
      <w:r w:rsidR="00184A0B" w:rsidRPr="00170E70">
        <w:rPr>
          <w:rStyle w:val="y2iqfc"/>
          <w:color w:val="000000" w:themeColor="text1"/>
          <w:lang w:val="pt-PT"/>
        </w:rPr>
        <w:t xml:space="preserve"> jovens ou de meia idade</w:t>
      </w:r>
      <w:r w:rsidR="001D62E5">
        <w:rPr>
          <w:rStyle w:val="y2iqfc"/>
          <w:color w:val="000000" w:themeColor="text1"/>
          <w:lang w:val="pt-PT"/>
        </w:rPr>
        <w:t>,</w:t>
      </w:r>
      <w:r w:rsidR="00184A0B" w:rsidRPr="00170E70">
        <w:rPr>
          <w:rStyle w:val="y2iqfc"/>
          <w:color w:val="000000" w:themeColor="text1"/>
          <w:lang w:val="pt-PT"/>
        </w:rPr>
        <w:t xml:space="preserve"> induzindo hipertireoidismo. A expectativa de vida foi menor nes</w:t>
      </w:r>
      <w:r w:rsidR="001D62E5">
        <w:rPr>
          <w:rStyle w:val="y2iqfc"/>
          <w:color w:val="000000" w:themeColor="text1"/>
          <w:lang w:val="pt-PT"/>
        </w:rPr>
        <w:t>s</w:t>
      </w:r>
      <w:r w:rsidR="00184A0B" w:rsidRPr="00170E70">
        <w:rPr>
          <w:rStyle w:val="y2iqfc"/>
          <w:color w:val="000000" w:themeColor="text1"/>
          <w:lang w:val="pt-PT"/>
        </w:rPr>
        <w:t>es ratos em relação ao grupo controle</w:t>
      </w:r>
      <w:r w:rsidR="00184A0B">
        <w:rPr>
          <w:rStyle w:val="y2iqfc"/>
          <w:color w:val="000000" w:themeColor="text1"/>
          <w:lang w:val="pt-PT"/>
        </w:rPr>
        <w:t xml:space="preserve"> </w:t>
      </w:r>
      <w:r w:rsidR="00184A0B">
        <w:rPr>
          <w:rStyle w:val="y2iqfc"/>
          <w:color w:val="000000" w:themeColor="text1"/>
          <w:lang w:val="pt-PT"/>
        </w:rPr>
        <w:fldChar w:fldCharType="begin"/>
      </w:r>
      <w:r w:rsidR="004C3BF7">
        <w:rPr>
          <w:rStyle w:val="y2iqfc"/>
          <w:color w:val="000000" w:themeColor="text1"/>
          <w:lang w:val="pt-PT"/>
        </w:rPr>
        <w:instrText xml:space="preserve"> ADDIN ZOTERO_ITEM CSL_CITATION {"citationID":"dSHS8APL","properties":{"formattedCitation":"(51)","plainCitation":"(51)","noteIndex":0},"citationItems":[{"id":1225,"uris":["http://zotero.org/users/7110448/items/IUI3ATW7"],"itemData":{"id":1225,"type":"article-journal","abstract":"The life durations of hypo- and hyperthyroid Wistar rats were measured under clean conventional conditions. The amount of exogenous T4 (thyroxine), which is sufficient to elevate T4 levels in the blood, decreased with age. The rats which were made hypothyroid by the neonatal T4 treatment had a longer lifespan than control. The lifespans of hyperthyroid rats, to which T4 solutions were given as drinking water during either the first or the second half of the life period, were shorter than control. The life-shortening effect of T4 was not detected when T4 was administered to already aged animals. These results indicate that the effect of T4 administration is not due to the direct promotion of the diseases which cause the death, but to the acceleration of aging during the young or middle-aged period.","container-title":"Mechanisms of Ageing and Development","DOI":"10.1016/0047-6374(86)90052-7","ISSN":"0047-6374","issue":"3","journalAbbreviation":"Mech Ageing Dev","language":"eng","note":"PMID: 3713266","page":"275-282","source":"PubMed","title":"Effects of chronic hyperthyroidism on the lifespan of the rat","volume":"33","author":[{"family":"Ooka","given":"H."},{"family":"Shinkai","given":"T."}],"issued":{"date-parts":[["1986",2]]}}}],"schema":"https://github.com/citation-style-language/schema/raw/master/csl-citation.json"} </w:instrText>
      </w:r>
      <w:r w:rsidR="00184A0B">
        <w:rPr>
          <w:rStyle w:val="y2iqfc"/>
          <w:color w:val="000000" w:themeColor="text1"/>
          <w:lang w:val="pt-PT"/>
        </w:rPr>
        <w:fldChar w:fldCharType="separate"/>
      </w:r>
      <w:r w:rsidR="00821A28">
        <w:rPr>
          <w:rStyle w:val="y2iqfc"/>
          <w:noProof/>
          <w:color w:val="000000" w:themeColor="text1"/>
          <w:lang w:val="pt-PT"/>
        </w:rPr>
        <w:t>(51)</w:t>
      </w:r>
      <w:r w:rsidR="00184A0B">
        <w:rPr>
          <w:rStyle w:val="y2iqfc"/>
          <w:color w:val="000000" w:themeColor="text1"/>
          <w:lang w:val="pt-PT"/>
        </w:rPr>
        <w:fldChar w:fldCharType="end"/>
      </w:r>
      <w:r w:rsidR="00184A0B">
        <w:rPr>
          <w:rStyle w:val="y2iqfc"/>
          <w:color w:val="000000" w:themeColor="text1"/>
          <w:lang w:val="pt-PT"/>
        </w:rPr>
        <w:t xml:space="preserve">. </w:t>
      </w:r>
    </w:p>
    <w:p w14:paraId="4E78AED5" w14:textId="77777777" w:rsidR="005476FC" w:rsidRDefault="001F75D0" w:rsidP="005976A0">
      <w:pPr>
        <w:spacing w:line="360" w:lineRule="auto"/>
        <w:jc w:val="both"/>
        <w:rPr>
          <w:color w:val="000000" w:themeColor="text1"/>
        </w:rPr>
      </w:pPr>
      <w:r>
        <w:rPr>
          <w:color w:val="000000" w:themeColor="text1"/>
        </w:rPr>
        <w:t xml:space="preserve">     </w:t>
      </w:r>
      <w:r w:rsidR="00A04730" w:rsidRPr="00170E70">
        <w:rPr>
          <w:color w:val="000000" w:themeColor="text1"/>
        </w:rPr>
        <w:t>Os modelos de camundongos anões e com hipopituitarismo, Ames e Snell, devido a mutações recessivas espontâneas em genes envolvidos  na sinalização do GH, Prolactina e TSH, foram associados ao envelhecimento lento</w:t>
      </w:r>
      <w:r w:rsidR="00A04730">
        <w:rPr>
          <w:color w:val="000000" w:themeColor="text1"/>
        </w:rPr>
        <w:t xml:space="preserve"> </w:t>
      </w:r>
      <w:r w:rsidR="00A04730">
        <w:rPr>
          <w:color w:val="000000" w:themeColor="text1"/>
        </w:rPr>
        <w:fldChar w:fldCharType="begin"/>
      </w:r>
      <w:r w:rsidR="00344DCD">
        <w:rPr>
          <w:color w:val="000000" w:themeColor="text1"/>
        </w:rPr>
        <w:instrText xml:space="preserve"> ADDIN ZOTERO_ITEM CSL_CITATION {"citationID":"i5iibiUe","properties":{"unsorted":true,"formattedCitation":"(52,3)","plainCitation":"(52,3)","noteIndex":0},"citationItems":[{"id":1375,"uris":["http://zotero.org/users/7110448/items/BSA6N84U"],"itemData":{"id":1375,"type":"article-journal","abstract":"In two types of mutant dwarf mice, congenital deficiencies in pituitary function are associated with remarkably increased life expectancy. In this review, we will describe the key phenotypic characteristics of these animals, the evidence that they exhibit delayed aging, and the mechanisms that are suspected to account for their prolonged longevity.","container-title":"Experimental Gerontology","DOI":"10.1016/S0531-5565(00)00205-9","ISSN":"0531-5565","issue":"1","journalAbbreviation":"Experimental Gerontology","language":"en","page":"21-28","source":"ScienceDirect","title":"Prolonged longevity of hypopituitary dwarf mice","volume":"36","author":[{"family":"Bartke","given":"A"},{"family":"Brown-Borg","given":"H"},{"family":"Mattison","given":"J"},{"family":"Kinney","given":"B"},{"family":"Hauck","given":"S"},{"family":"Wright","given":"C"}],"issued":{"date-parts":[["2001",1,1]]}},"label":"page"},{"id":1203,"uris":["http://zotero.org/users/7110448/items/KQITKT3P"],"itemData":{"id":1203,"type":"article-journal","abstract":"Studies in humans and in animal models show negative correlations between thyroid hormone (TH) levels and longevity. TH signaling is implicated in maintaining and integrating metabolic homeostasis at multiple levels, notably centrally in the hypothalamus but also in peripheral tissues. The question is thus raised of how TH signaling is modulated during aging in different tissues. Classically, TH actions on mitochondria and heat production are obvious candidates to link negative effects of TH to aging. Mitochondrial effects of excess TH include reactive oxygen species and DNA damage, 2 factors often considered as aging accelerators. Inversely, caloric restriction, which can retard aging from nematodes to primates, causes a rapid reduction of circulating TH, reducing metabolism in birds and mammals. However, many other factors could link TH to aging, and it is these potentially subtler and less explored areas that are highlighted here. For example, effects of TH on membrane composition, inflammatory responses, stem cell renewal and synchronization of physiological responses to light could each contribute to TH regulation of maintenance of homeostasis during aging. We propose the hypothesis that constraints on TH signaling at certain life stages, notably during maturity, are advantageous for optimal aging.","container-title":"Endocrine Reviews","DOI":"10.1210/er.2012-1056","ISSN":"1945-7189","issue":"4","journalAbbreviation":"Endocr Rev","language":"eng","note":"PMID: 23696256","page":"556-589","source":"PubMed","title":"Thyroid hormone signaling and homeostasis during aging","volume":"34","author":[{"family":"Bowers","given":"J."},{"family":"Terrien","given":"J."},{"family":"Clerget-Froidevaux","given":"M. S."},{"family":"Gothié","given":"J. D."},{"family":"Rozing","given":"M. P."},{"family":"Westendorp","given":"R. G. J."},{"family":"Heemst","given":"D.","non-dropping-particle":"van"},{"family":"Demeneix","given":"B. A."}],"issued":{"date-parts":[["2013",8]]}},"label":"page"}],"schema":"https://github.com/citation-style-language/schema/raw/master/csl-citation.json"} </w:instrText>
      </w:r>
      <w:r w:rsidR="00A04730">
        <w:rPr>
          <w:color w:val="000000" w:themeColor="text1"/>
        </w:rPr>
        <w:fldChar w:fldCharType="separate"/>
      </w:r>
      <w:r w:rsidR="00821A28">
        <w:rPr>
          <w:noProof/>
          <w:color w:val="000000" w:themeColor="text1"/>
        </w:rPr>
        <w:t>(52,3)</w:t>
      </w:r>
      <w:r w:rsidR="00A04730">
        <w:rPr>
          <w:color w:val="000000" w:themeColor="text1"/>
        </w:rPr>
        <w:fldChar w:fldCharType="end"/>
      </w:r>
      <w:r w:rsidR="00A04730">
        <w:rPr>
          <w:color w:val="000000" w:themeColor="text1"/>
        </w:rPr>
        <w:t xml:space="preserve">. </w:t>
      </w:r>
      <w:r w:rsidR="00A04730" w:rsidRPr="00170E70">
        <w:rPr>
          <w:color w:val="000000" w:themeColor="text1"/>
        </w:rPr>
        <w:t>O incremento no tempo de vida pode chegar a 70% em função do sexo,  dieta e condições  do confinamento</w:t>
      </w:r>
      <w:r w:rsidR="00A04730">
        <w:rPr>
          <w:color w:val="000000" w:themeColor="text1"/>
        </w:rPr>
        <w:t xml:space="preserve"> </w:t>
      </w:r>
      <w:r w:rsidR="00A04730">
        <w:rPr>
          <w:color w:val="000000" w:themeColor="text1"/>
        </w:rPr>
        <w:fldChar w:fldCharType="begin"/>
      </w:r>
      <w:r w:rsidR="004C3BF7">
        <w:rPr>
          <w:color w:val="000000" w:themeColor="text1"/>
        </w:rPr>
        <w:instrText xml:space="preserve"> ADDIN ZOTERO_ITEM CSL_CITATION {"citationID":"egVGukiP","properties":{"formattedCitation":"(3)","plainCitation":"(3)","noteIndex":0},"citationItems":[{"id":1203,"uris":["http://zotero.org/users/7110448/items/KQITKT3P"],"itemData":{"id":1203,"type":"article-journal","abstract":"Studies in humans and in animal models show negative correlations between thyroid hormone (TH) levels and longevity. TH signaling is implicated in maintaining and integrating metabolic homeostasis at multiple levels, notably centrally in the hypothalamus but also in peripheral tissues. The question is thus raised of how TH signaling is modulated during aging in different tissues. Classically, TH actions on mitochondria and heat production are obvious candidates to link negative effects of TH to aging. Mitochondrial effects of excess TH include reactive oxygen species and DNA damage, 2 factors often considered as aging accelerators. Inversely, caloric restriction, which can retard aging from nematodes to primates, causes a rapid reduction of circulating TH, reducing metabolism in birds and mammals. However, many other factors could link TH to aging, and it is these potentially subtler and less explored areas that are highlighted here. For example, effects of TH on membrane composition, inflammatory responses, stem cell renewal and synchronization of physiological responses to light could each contribute to TH regulation of maintenance of homeostasis during aging. We propose the hypothesis that constraints on TH signaling at certain life stages, notably during maturity, are advantageous for optimal aging.","container-title":"Endocrine Reviews","DOI":"10.1210/er.2012-1056","ISSN":"1945-7189","issue":"4","journalAbbreviation":"Endocr Rev","language":"eng","note":"PMID: 23696256","page":"556-589","source":"PubMed","title":"Thyroid hormone signaling and homeostasis during aging","volume":"34","author":[{"family":"Bowers","given":"J."},{"family":"Terrien","given":"J."},{"family":"Clerget-Froidevaux","given":"M. S."},{"family":"Gothié","given":"J. D."},{"family":"Rozing","given":"M. P."},{"family":"Westendorp","given":"R. G. J."},{"family":"Heemst","given":"D.","non-dropping-particle":"van"},{"family":"Demeneix","given":"B. A."}],"issued":{"date-parts":[["2013",8]]}}}],"schema":"https://github.com/citation-style-language/schema/raw/master/csl-citation.json"} </w:instrText>
      </w:r>
      <w:r w:rsidR="00A04730">
        <w:rPr>
          <w:color w:val="000000" w:themeColor="text1"/>
        </w:rPr>
        <w:fldChar w:fldCharType="separate"/>
      </w:r>
      <w:r w:rsidR="00A04730">
        <w:rPr>
          <w:noProof/>
          <w:color w:val="000000" w:themeColor="text1"/>
        </w:rPr>
        <w:t>(3)</w:t>
      </w:r>
      <w:r w:rsidR="00A04730">
        <w:rPr>
          <w:color w:val="000000" w:themeColor="text1"/>
        </w:rPr>
        <w:fldChar w:fldCharType="end"/>
      </w:r>
      <w:r w:rsidR="00A04730">
        <w:rPr>
          <w:color w:val="000000" w:themeColor="text1"/>
        </w:rPr>
        <w:t xml:space="preserve">. </w:t>
      </w:r>
      <w:r w:rsidR="00A04730" w:rsidRPr="00170E70">
        <w:rPr>
          <w:color w:val="000000" w:themeColor="text1"/>
        </w:rPr>
        <w:t>Um estudo avaliou o impacto</w:t>
      </w:r>
    </w:p>
    <w:p w14:paraId="775E6971" w14:textId="2AFF26AB" w:rsidR="00A04730" w:rsidRDefault="00A04730" w:rsidP="005976A0">
      <w:pPr>
        <w:spacing w:line="360" w:lineRule="auto"/>
        <w:jc w:val="both"/>
        <w:rPr>
          <w:color w:val="000000" w:themeColor="text1"/>
        </w:rPr>
      </w:pPr>
      <w:r w:rsidRPr="00170E70">
        <w:rPr>
          <w:color w:val="000000" w:themeColor="text1"/>
        </w:rPr>
        <w:t xml:space="preserve">da administração do hormônio de crescimento e tiroxina na longevidade em camundongos Snell. A curto prazo (11 semanas) a administração de tiroxina não impactou na longevidade. Porém, quando administrada cronicamente, a tiroxina foi associada </w:t>
      </w:r>
      <w:r w:rsidR="001D62E5">
        <w:rPr>
          <w:color w:val="000000" w:themeColor="text1"/>
        </w:rPr>
        <w:t>à</w:t>
      </w:r>
      <w:r w:rsidR="001D62E5" w:rsidRPr="00170E70">
        <w:rPr>
          <w:color w:val="000000" w:themeColor="text1"/>
        </w:rPr>
        <w:t xml:space="preserve"> </w:t>
      </w:r>
      <w:r w:rsidRPr="00170E70">
        <w:rPr>
          <w:color w:val="000000" w:themeColor="text1"/>
        </w:rPr>
        <w:t>redução da expectativa de vida</w:t>
      </w:r>
      <w:r w:rsidR="001D62E5">
        <w:rPr>
          <w:color w:val="000000" w:themeColor="text1"/>
        </w:rPr>
        <w:t>,</w:t>
      </w:r>
      <w:r w:rsidRPr="00170E70">
        <w:rPr>
          <w:color w:val="000000" w:themeColor="text1"/>
        </w:rPr>
        <w:t xml:space="preserve"> quando comparada ao grupo controle, mas ainda maior do que </w:t>
      </w:r>
      <w:r w:rsidR="001D62E5">
        <w:rPr>
          <w:color w:val="000000" w:themeColor="text1"/>
        </w:rPr>
        <w:t>em relação a</w:t>
      </w:r>
      <w:r w:rsidRPr="00170E70">
        <w:rPr>
          <w:color w:val="000000" w:themeColor="text1"/>
        </w:rPr>
        <w:t>os camundongos do tipo selvagem</w:t>
      </w:r>
      <w:r>
        <w:rPr>
          <w:color w:val="000000" w:themeColor="text1"/>
        </w:rPr>
        <w:t xml:space="preserve"> </w:t>
      </w:r>
      <w:r>
        <w:rPr>
          <w:color w:val="000000" w:themeColor="text1"/>
        </w:rPr>
        <w:fldChar w:fldCharType="begin"/>
      </w:r>
      <w:r w:rsidR="00344DCD">
        <w:rPr>
          <w:color w:val="000000" w:themeColor="text1"/>
        </w:rPr>
        <w:instrText xml:space="preserve"> ADDIN ZOTERO_ITEM CSL_CITATION {"citationID":"bwBmXKzi","properties":{"formattedCitation":"(53)","plainCitation":"(53)","noteIndex":0},"citationItems":[{"id":1742,"uris":["http://zotero.org/users/7110448/items/RQM28E65"],"itemData":{"id":1742,"type":"article-journal","abstract":"Snell dwarf mice have multiple hormonal deficits, but the way in which these deficits postpone aging are still uncertain. In this study, Snell dwarf mice received 11 weeks of growth hormone and thyroxine injections that increased their weight by approximately 45%, although they remained much smaller than controls. The hormone treatment also restored fertility to male dwarf mice. Despite these effects on growth and maturation, the hormone treatments did not diminish life span or lower the resistance of dwarf mice to cataracts and kidney disease. Administration of thyroxine in food throughout adult life did diminish longevity of Snell dwarf mice, although these mice remain longer lived than control animals. These results show that a 45% increase in body size does not impair longevity or disease resistance for dwarf mice of either sex, and that the exceptional longevity of Snell dwarf mice does not, at least for males, depend on prepubertal immaturity.","container-title":"The journals of gerontology. Series A, Biological sciences and medical sciences","ISSN":"1079-5006","issue":"12","journalAbbreviation":"J Gerontol A Biol Sci Med Sci","note":"PMID: 15699523\nPMCID: PMC2924623","page":"1244-1250","source":"PubMed Central","title":"Hormone-Treated Snell Dwarf Mice Regain Fertility But Remain Long Lived and Disease Resistant","volume":"59","author":[{"family":"Vergara","given":"Maggie"},{"family":"Smith-Wheelock","given":"Michael"},{"family":"Harper","given":"James M."},{"family":"Sigler","given":"Robert"},{"family":"Miller","given":"Richard A."}],"issued":{"date-parts":[["2004",12]]}}}],"schema":"https://github.com/citation-style-language/schema/raw/master/csl-citation.json"} </w:instrText>
      </w:r>
      <w:r>
        <w:rPr>
          <w:color w:val="000000" w:themeColor="text1"/>
        </w:rPr>
        <w:fldChar w:fldCharType="separate"/>
      </w:r>
      <w:r w:rsidR="00821A28">
        <w:rPr>
          <w:noProof/>
          <w:color w:val="000000" w:themeColor="text1"/>
        </w:rPr>
        <w:t>(53)</w:t>
      </w:r>
      <w:r>
        <w:rPr>
          <w:color w:val="000000" w:themeColor="text1"/>
        </w:rPr>
        <w:fldChar w:fldCharType="end"/>
      </w:r>
      <w:r>
        <w:rPr>
          <w:color w:val="000000" w:themeColor="text1"/>
        </w:rPr>
        <w:t xml:space="preserve">. </w:t>
      </w:r>
    </w:p>
    <w:p w14:paraId="227BA493" w14:textId="197B2F29" w:rsidR="0085604A" w:rsidRDefault="001F75D0" w:rsidP="005976A0">
      <w:pPr>
        <w:spacing w:line="360" w:lineRule="auto"/>
        <w:jc w:val="both"/>
      </w:pPr>
      <w:r>
        <w:t xml:space="preserve">     </w:t>
      </w:r>
      <w:r w:rsidR="00A04730">
        <w:t xml:space="preserve">Do ponto de vista biológico, é coerente a associação entre redução de HT e longevidade. A ação dos HT está direta e centralmente envolvida na homeostase metabólica, via hipotálamo e, também, nos tecidos periféricos </w:t>
      </w:r>
      <w:r w:rsidR="00A04730">
        <w:fldChar w:fldCharType="begin"/>
      </w:r>
      <w:r w:rsidR="004C3BF7">
        <w:instrText xml:space="preserve"> ADDIN ZOTERO_ITEM CSL_CITATION {"citationID":"PbiHdHgw","properties":{"formattedCitation":"(3)","plainCitation":"(3)","noteIndex":0},"citationItems":[{"id":1203,"uris":["http://zotero.org/users/7110448/items/KQITKT3P"],"itemData":{"id":1203,"type":"article-journal","abstract":"Studies in humans and in animal models show negative correlations between thyroid hormone (TH) levels and longevity. TH signaling is implicated in maintaining and integrating metabolic homeostasis at multiple levels, notably centrally in the hypothalamus but also in peripheral tissues. The question is thus raised of how TH signaling is modulated during aging in different tissues. Classically, TH actions on mitochondria and heat production are obvious candidates to link negative effects of TH to aging. Mitochondrial effects of excess TH include reactive oxygen species and DNA damage, 2 factors often considered as aging accelerators. Inversely, caloric restriction, which can retard aging from nematodes to primates, causes a rapid reduction of circulating TH, reducing metabolism in birds and mammals. However, many other factors could link TH to aging, and it is these potentially subtler and less explored areas that are highlighted here. For example, effects of TH on membrane composition, inflammatory responses, stem cell renewal and synchronization of physiological responses to light could each contribute to TH regulation of maintenance of homeostasis during aging. We propose the hypothesis that constraints on TH signaling at certain life stages, notably during maturity, are advantageous for optimal aging.","container-title":"Endocrine Reviews","DOI":"10.1210/er.2012-1056","ISSN":"1945-7189","issue":"4","journalAbbreviation":"Endocr Rev","language":"eng","note":"PMID: 23696256","page":"556-589","source":"PubMed","title":"Thyroid hormone signaling and homeostasis during aging","volume":"34","author":[{"family":"Bowers","given":"J."},{"family":"Terrien","given":"J."},{"family":"Clerget-Froidevaux","given":"M. S."},{"family":"Gothié","given":"J. D."},{"family":"Rozing","given":"M. P."},{"family":"Westendorp","given":"R. G. J."},{"family":"Heemst","given":"D.","non-dropping-particle":"van"},{"family":"Demeneix","given":"B. A."}],"issued":{"date-parts":[["2013",8]]}}}],"schema":"https://github.com/citation-style-language/schema/raw/master/csl-citation.json"} </w:instrText>
      </w:r>
      <w:r w:rsidR="00A04730">
        <w:fldChar w:fldCharType="separate"/>
      </w:r>
      <w:r w:rsidR="00A04730">
        <w:rPr>
          <w:noProof/>
        </w:rPr>
        <w:t>(3)</w:t>
      </w:r>
      <w:r w:rsidR="00A04730">
        <w:fldChar w:fldCharType="end"/>
      </w:r>
      <w:r w:rsidR="00A04730">
        <w:t xml:space="preserve">. O T3 regula a taxa metabólica basal e aumenta a oxidação celular, estimulando enzimas envolvidas na função mitocondrial, termogênese e metabolismo de carboidratos e ácidos graxos </w:t>
      </w:r>
      <w:r w:rsidR="00A04730">
        <w:fldChar w:fldCharType="begin"/>
      </w:r>
      <w:r w:rsidR="004C3BF7">
        <w:instrText xml:space="preserve"> ADDIN ZOTERO_ITEM CSL_CITATION {"citationID":"N2k5AjcY","properties":{"unsorted":true,"formattedCitation":"(50,45)","plainCitation":"(50,45)","noteIndex":0},"citationItems":[{"id":1217,"uris":["http://zotero.org/users/7110448/items/7D2NAS62"],"itemData":{"id":1217,"type":"article-journal","abstract":"Multiple biological and environmental factors impact the life span of an organism. The endocrine system is a highly integrated physiological system in mammals that regulates metabolism, growth, reproduction, and response to stress, among other functions. As such, this pervasive entity has a major influence on aging and longevity. The growth hormone, insulin-like growth factor-1 and insulin pathways have been at the forefront of hormonal control of aging research in the last few years. Other hormones, including those from the thyroid and reproductive system have also been studied in terms of life span regulation. The relevance of these hormones to human longevity remains to be established, however the evidence from other species including yeast, nematodes, and flies suggest that evolutionarily well-conserved mechanisms are at play and the endocrine system is a key determinant.","container-title":"Ageing Research Reviews","DOI":"10.1016/j.arr.2007.02.005","ISSN":"1568-1637","issue":"1","journalAbbreviation":"Ageing Res Rev","language":"eng","note":"PMID: 17360245\nPMCID: PMC1978093","page":"28-45","source":"PubMed","title":"Hormonal regulation of longevity in mammals","volume":"6","author":[{"family":"Brown-Borg","given":"Holly M."}],"issued":{"date-parts":[["2007",5]]}},"label":"page"},{"id":1141,"uris":["http://zotero.org/users/7110448/items/Y43B6BKH"],"itemData":{"id":1141,"type":"article-journal","abstract":"BACKGROUND: The hypothalamo-pituitary-thyroid axis has been widely implicated in modulating the aging process. Life extension effects associated with low thyroid hormone levels have been reported in multiple animal models. In human populations, an association was observed between low thyroid function and longevity at old age, but the beneficial effects of low thyroid hormone metabolism at middle age remain elusive.\nMETHODS: We have compared serum thyroid hormone function parameters in a group of middle-aged offspring of long-living nonagenarian siblings and a control group of their partners, all participants of the Leiden Longevity Study.\nRESULTS: When compared with their partners, the group of offspring of nonagenarian siblings showed a trend toward higher serum thyrotropin levels (1.65 vs157 mU/L, p = .11) in conjunction with lower free thyroxine levels (15.0 vs 15.2 pmol/L, p = .045) and lower free triiodothyronine levels (4.08 vs 4.14 pmol/L, p = .024).\nCONCLUSIONS: Compared with their partners, the group of offspring of nonagenarian siblings show a lower thyroidal sensitivity to thyrotropin. These findings suggest that the favorable role of low thyroid hormone metabolism on health and longevity in model organism is applicable to humans as well.","container-title":"The Journals of Gerontology. Series A, Biological Sciences and Medical Sciences","DOI":"10.1093/gerona/glp200","ISSN":"1758-535X","issue":"4","journalAbbreviation":"J Gerontol A Biol Sci Med Sci","language":"eng","note":"PMID: 20018826","page":"365-368","source":"PubMed","title":"Low serum free triiodothyronine levels mark familial longevity: the Leiden Longevity Study","title-short":"Low serum free triiodothyronine levels mark familial longevity","volume":"65","author":[{"family":"Rozing","given":"Maarten P."},{"family":"Westendorp","given":"Rudi G. J."},{"family":"Craen","given":"Anton J. M.","non-dropping-particle":"de"},{"family":"Frölich","given":"Marijke"},{"family":"Heijmans","given":"Bastiaan T."},{"family":"Beekman","given":"Marian"},{"family":"Wijsman","given":"Carolien"},{"family":"Mooijaart","given":"Simon P."},{"family":"Blauw","given":"Gerard-Jan"},{"family":"Slagboom","given":"P. Eline"},{"family":"Heemst","given":"Diana","non-dropping-particle":"van"},{"literal":"Leiden Longevity Study (LLS) Group"}],"issued":{"date-parts":[["2010",4]]}},"label":"page"}],"schema":"https://github.com/citation-style-language/schema/raw/master/csl-citation.json"} </w:instrText>
      </w:r>
      <w:r w:rsidR="00A04730">
        <w:fldChar w:fldCharType="separate"/>
      </w:r>
      <w:r w:rsidR="00821A28">
        <w:rPr>
          <w:noProof/>
        </w:rPr>
        <w:t>(50,45)</w:t>
      </w:r>
      <w:r w:rsidR="00A04730">
        <w:fldChar w:fldCharType="end"/>
      </w:r>
      <w:r w:rsidR="00A04730">
        <w:t xml:space="preserve">. </w:t>
      </w:r>
      <w:r w:rsidR="00121275">
        <w:t xml:space="preserve">Estudos pré-clínicos mostram uma relação direta entre T3 e produção de espécies reativas de oxigênio (ROS) e danos genômicos </w:t>
      </w:r>
      <w:r w:rsidR="00121275">
        <w:fldChar w:fldCharType="begin"/>
      </w:r>
      <w:r w:rsidR="004C3BF7">
        <w:instrText xml:space="preserve"> ADDIN ZOTERO_ITEM CSL_CITATION {"citationID":"MFFkuxrY","properties":{"unsorted":true,"formattedCitation":"(54,55,45)","plainCitation":"(54,55,45)","noteIndex":0},"citationItems":[{"id":1807,"uris":["http://zotero.org/users/7110448/items/G5UIYE5R"],"itemData":{"id":1807,"type":"article-journal","abstract":"This study was designed to determine if peroxidation of biomembrane lipid and the protective system can be modified by the change in oxidative metabolism induced by thyroid dysfunction. The free radical scavengers (i.e. cuprozinc cytosolic and mangano mitochondrial superoxide dismutases, glutathione peroxidase, and catalase), mitochondrial oxidative marker enzymes (cytochrome c oxidase and fumarase), and lipid peroxide were measured in liver, heart, soleus (slow oxidative), and extensor digitorum longus (fast glycolytic) muscles. Rats were rendered hyper- or hypothyroid for 4 weeks and then killed. Superoxide dismutases were detected by specific RIAs: catalase by polarography, and lipid peroxide by fluorimetry. Hypothyroid rats failed to grow, while hyperthyroid rats had hypertrophied hearts but no growth failure. An increase in lipid peroxide was observed in the soleus and heart muscles of hyperthyroid rats. This was accompanied by an increase in mitochondrial superoxide dismutase and oxidative markers. No such change was observed in either fast glycolytic muscle or liver. Glutathione peroxidase decreased in all tissues of hyperthyroid rats, and there was a parallel decrease in catalase in most tissues. On the other hand, hypothyroidism induced a reduction in oxidative markers and mitochondrial superoxide dismutase in heart and skeletal muscles, but only a marginal change in lipid peroxidation. The cytosolic superoxide dismutase did not change in relation to either oxidative metabolism or lipid peroxidation. These results suggest that the enhanced oxidative metabolism and decreased glutathione peroxidase in hyperthyroidism result in an increase in lipid peroxidation and, in slow oxidative and heart muscle, possible organ damage. No adverse reaction mediated by active oxygen species was found in hypothyroid rat tissues.","container-title":"Endocrinology","DOI":"10.1210/endo-121-6-2112","ISSN":"0013-7227","issue":"6","journalAbbreviation":"Endocrinology","language":"eng","note":"PMID: 2824181","page":"2112-2118","source":"PubMed","title":"Lipid peroxidation and free radical scavengers in thyroid dysfunction in the rat: a possible mechanism of injury to heart and skeletal muscle in hyperthyroidism","title-short":"Lipid peroxidation and free radical scavengers in thyroid dysfunction in the rat","volume":"121","author":[{"family":"Asayama","given":"K."},{"family":"Dobashi","given":"K."},{"family":"Hayashibe","given":"H."},{"family":"Megata","given":"Y."},{"family":"Kato","given":"K."}],"issued":{"date-parts":[["1987",12]]}},"label":"page"},{"id":1227,"uris":["http://zotero.org/users/7110448/items/IGTRYGU9"],"itemData":{"id":1227,"type":"article-journal","abstract":"Mitochondria seem to be involved in oxygen radical damage and aging. However, the possible relationships between oxygen consumption and oxygen radical production by functional mitochondria, and oxidative DNA damage, have not been studied previously. In order to analyze these relationships, male Wistar rats of 12 weeks of age were rendered hyper- and hypothyroid by chronic T(3) and 6-n-propyl-2-thiouracil treatments, respectively. Hypothyroidism decreased heart mitochondrial H(2)O(2) production in States 4 (to 51% of controls; P&lt;0.05) and 3 (to 21% of controls; P&lt;0.05). In agreement with this, 8-oxo-7,8-dihydro-2'-deoxyguanosine (8-oxodG) decreased in the heart genomic DNA of hypothyroid animals to 40% of controls (P&lt;0.001). Studies with respiratory inhibitors showed that the decrease in oxygen radical generation observed in hypothyroidism occurred at Complex III (mainly) and at Complex I; that decrease was due to the presence of a lower free radical leak in the respiratory chain (P&lt;0.05). Hyperthyroidism did not significantly change heart mitochondrial H(2)O(2) production since the increase in State 4 oxygen consumption in comparison with control and hypothyroid animals (P&lt;0.05) was compensated by a decrease in the free radical leak in relation to control animals (P&lt;0.05). In agreement with this, heart 8-oxodG was not changed in hyperthyroid animals. The lack of increase in H(2)O(2) production per unit of mitochondrial protein will protect mitochondria themselves against self-inflicted damage during hyperthyroidism.","container-title":"Molecular and Cellular Endocrinology","DOI":"10.1016/s0303-7207(00)00302-6","ISSN":"0303-7207","issue":"1-2","journalAbbreviation":"Mol Cell Endocrinol","language":"eng","note":"PMID: 11064159","page":"127-134","source":"PubMed","title":"Effect of thyroid hormones on mitochondrial oxygen free radical production and DNA oxidative damage in the rat heart","volume":"168","author":[{"family":"López-Torres","given":"M."},{"family":"Romero","given":"M."},{"family":"Barja","given":"G."}],"issued":{"date-parts":[["2000",10,25]]}},"label":"page"},{"id":1141,"uris":["http://zotero.org/users/7110448/items/Y43B6BKH"],"itemData":{"id":1141,"type":"article-journal","abstract":"BACKGROUND: The hypothalamo-pituitary-thyroid axis has been widely implicated in modulating the aging process. Life extension effects associated with low thyroid hormone levels have been reported in multiple animal models. In human populations, an association was observed between low thyroid function and longevity at old age, but the beneficial effects of low thyroid hormone metabolism at middle age remain elusive.\nMETHODS: We have compared serum thyroid hormone function parameters in a group of middle-aged offspring of long-living nonagenarian siblings and a control group of their partners, all participants of the Leiden Longevity Study.\nRESULTS: When compared with their partners, the group of offspring of nonagenarian siblings showed a trend toward higher serum thyrotropin levels (1.65 vs157 mU/L, p = .11) in conjunction with lower free thyroxine levels (15.0 vs 15.2 pmol/L, p = .045) and lower free triiodothyronine levels (4.08 vs 4.14 pmol/L, p = .024).\nCONCLUSIONS: Compared with their partners, the group of offspring of nonagenarian siblings show a lower thyroidal sensitivity to thyrotropin. These findings suggest that the favorable role of low thyroid hormone metabolism on health and longevity in model organism is applicable to humans as well.","container-title":"The Journals of Gerontology. Series A, Biological Sciences and Medical Sciences","DOI":"10.1093/gerona/glp200","ISSN":"1758-535X","issue":"4","journalAbbreviation":"J Gerontol A Biol Sci Med Sci","language":"eng","note":"PMID: 20018826","page":"365-368","source":"PubMed","title":"Low serum free triiodothyronine levels mark familial longevity: the Leiden Longevity Study","title-short":"Low serum free triiodothyronine levels mark familial longevity","volume":"65","author":[{"family":"Rozing","given":"Maarten P."},{"family":"Westendorp","given":"Rudi G. J."},{"family":"Craen","given":"Anton J. M.","non-dropping-particle":"de"},{"family":"Frölich","given":"Marijke"},{"family":"Heijmans","given":"Bastiaan T."},{"family":"Beekman","given":"Marian"},{"family":"Wijsman","given":"Carolien"},{"family":"Mooijaart","given":"Simon P."},{"family":"Blauw","given":"Gerard-Jan"},{"family":"Slagboom","given":"P. Eline"},{"family":"Heemst","given":"Diana","non-dropping-particle":"van"},{"literal":"Leiden Longevity Study (LLS) Group"}],"issued":{"date-parts":[["2010",4]]}},"label":"page"}],"schema":"https://github.com/citation-style-language/schema/raw/master/csl-citation.json"} </w:instrText>
      </w:r>
      <w:r w:rsidR="00121275">
        <w:fldChar w:fldCharType="separate"/>
      </w:r>
      <w:r w:rsidR="00821A28">
        <w:rPr>
          <w:noProof/>
        </w:rPr>
        <w:t>(54,55,45)</w:t>
      </w:r>
      <w:r w:rsidR="00121275">
        <w:fldChar w:fldCharType="end"/>
      </w:r>
      <w:r w:rsidR="00121275">
        <w:t xml:space="preserve">. </w:t>
      </w:r>
      <w:r w:rsidR="005A719B">
        <w:t>O transporte ineficiente de elétrons</w:t>
      </w:r>
      <w:r w:rsidR="001D62E5">
        <w:t xml:space="preserve">, por meio </w:t>
      </w:r>
      <w:r w:rsidR="005A719B">
        <w:t>da cadeia respiratória decorrente de menor disponibilidade de T3</w:t>
      </w:r>
      <w:r w:rsidR="001D62E5">
        <w:t>,</w:t>
      </w:r>
      <w:r w:rsidR="005A719B">
        <w:t xml:space="preserve"> pode diminuir a produção de ROS e mitigar o envelhecimento </w:t>
      </w:r>
      <w:r w:rsidR="005A719B">
        <w:fldChar w:fldCharType="begin"/>
      </w:r>
      <w:r w:rsidR="004C3BF7">
        <w:instrText xml:space="preserve"> ADDIN ZOTERO_ITEM CSL_CITATION {"citationID":"T2dLE1SR","properties":{"formattedCitation":"(45)","plainCitation":"(45)","noteIndex":0},"citationItems":[{"id":1141,"uris":["http://zotero.org/users/7110448/items/Y43B6BKH"],"itemData":{"id":1141,"type":"article-journal","abstract":"BACKGROUND: The hypothalamo-pituitary-thyroid axis has been widely implicated in modulating the aging process. Life extension effects associated with low thyroid hormone levels have been reported in multiple animal models. In human populations, an association was observed between low thyroid function and longevity at old age, but the beneficial effects of low thyroid hormone metabolism at middle age remain elusive.\nMETHODS: We have compared serum thyroid hormone function parameters in a group of middle-aged offspring of long-living nonagenarian siblings and a control group of their partners, all participants of the Leiden Longevity Study.\nRESULTS: When compared with their partners, the group of offspring of nonagenarian siblings showed a trend toward higher serum thyrotropin levels (1.65 vs157 mU/L, p = .11) in conjunction with lower free thyroxine levels (15.0 vs 15.2 pmol/L, p = .045) and lower free triiodothyronine levels (4.08 vs 4.14 pmol/L, p = .024).\nCONCLUSIONS: Compared with their partners, the group of offspring of nonagenarian siblings show a lower thyroidal sensitivity to thyrotropin. These findings suggest that the favorable role of low thyroid hormone metabolism on health and longevity in model organism is applicable to humans as well.","container-title":"The Journals of Gerontology. Series A, Biological Sciences and Medical Sciences","DOI":"10.1093/gerona/glp200","ISSN":"1758-535X","issue":"4","journalAbbreviation":"J Gerontol A Biol Sci Med Sci","language":"eng","note":"PMID: 20018826","page":"365-368","source":"PubMed","title":"Low serum free triiodothyronine levels mark familial longevity: the Leiden Longevity Study","title-short":"Low serum free triiodothyronine levels mark familial longevity","volume":"65","author":[{"family":"Rozing","given":"Maarten P."},{"family":"Westendorp","given":"Rudi G. J."},{"family":"Craen","given":"Anton J. M.","non-dropping-particle":"de"},{"family":"Frölich","given":"Marijke"},{"family":"Heijmans","given":"Bastiaan T."},{"family":"Beekman","given":"Marian"},{"family":"Wijsman","given":"Carolien"},{"family":"Mooijaart","given":"Simon P."},{"family":"Blauw","given":"Gerard-Jan"},{"family":"Slagboom","given":"P. Eline"},{"family":"Heemst","given":"Diana","non-dropping-particle":"van"},{"literal":"Leiden Longevity Study (LLS) Group"}],"issued":{"date-parts":[["2010",4]]}}}],"schema":"https://github.com/citation-style-language/schema/raw/master/csl-citation.json"} </w:instrText>
      </w:r>
      <w:r w:rsidR="005A719B">
        <w:fldChar w:fldCharType="separate"/>
      </w:r>
      <w:r w:rsidR="00821A28">
        <w:rPr>
          <w:noProof/>
        </w:rPr>
        <w:t>(45)</w:t>
      </w:r>
      <w:r w:rsidR="005A719B">
        <w:fldChar w:fldCharType="end"/>
      </w:r>
      <w:r w:rsidR="005A719B">
        <w:t xml:space="preserve">. </w:t>
      </w:r>
    </w:p>
    <w:p w14:paraId="78BAE712" w14:textId="25CD04D9" w:rsidR="001F75D0" w:rsidRPr="00E44DCC" w:rsidRDefault="001F75D0" w:rsidP="005976A0">
      <w:pPr>
        <w:spacing w:line="360" w:lineRule="auto"/>
        <w:jc w:val="both"/>
      </w:pPr>
      <w:r>
        <w:rPr>
          <w:color w:val="333333"/>
        </w:rPr>
        <w:t xml:space="preserve">     </w:t>
      </w:r>
      <w:r w:rsidR="001D62E5">
        <w:t>Os</w:t>
      </w:r>
      <w:r w:rsidR="0085604A" w:rsidRPr="00E44DCC">
        <w:t xml:space="preserve"> resultados obtidos com estudos em animais, ensaios clínicos populacionais e longitudinais</w:t>
      </w:r>
      <w:r w:rsidR="00616F56" w:rsidRPr="00E44DCC">
        <w:t xml:space="preserve"> sugerem </w:t>
      </w:r>
      <w:r w:rsidR="0085604A" w:rsidRPr="00E44DCC">
        <w:t xml:space="preserve">associação entre redução da função tireoidiana </w:t>
      </w:r>
      <w:r w:rsidR="001B37B6" w:rsidRPr="00E44DCC">
        <w:t xml:space="preserve">e </w:t>
      </w:r>
      <w:r w:rsidR="0085604A" w:rsidRPr="00E44DCC">
        <w:t>maior longevidade</w:t>
      </w:r>
      <w:r w:rsidR="00616F56" w:rsidRPr="00E44DCC">
        <w:t xml:space="preserve"> </w:t>
      </w:r>
      <w:r w:rsidR="00616F56" w:rsidRPr="00E44DCC">
        <w:lastRenderedPageBreak/>
        <w:fldChar w:fldCharType="begin"/>
      </w:r>
      <w:r w:rsidR="00344DCD" w:rsidRPr="00E44DCC">
        <w:instrText xml:space="preserve"> ADDIN ZOTERO_ITEM CSL_CITATION {"citationID":"7VB6YZrC","properties":{"unsorted":true,"formattedCitation":"(11,15,13)","plainCitation":"(11,15,13)","noteIndex":0},"citationItems":[{"id":81,"uris":["http://zotero.org/users/7110448/items/2HWBZV3Q"],"itemData":{"id":81,"type":"article-journal","abstract":"Objective: The aim of the study was to determine whether the population shift in TSH distribution to higher concentrations with aging extends to people of exceptional longevity, namely centenarians, and to assess the relationship between concentrations of TSH and free T4 (FT4). Design/Setting/Patients: We analyzed TSH, FT4, and TSH frequency distribution curves in thyroid disease-free Ashkenazi Jews with exceptional longevity (centenarians; median age, 98 yr), in younger Ashkenazi controls (median age, 72 yr), and in a population of thyroid disease-free individuals (median age, 68 yr) from the U.S. National Health and Nutrition Examination Survey 1998 –2002 (NHANES controls).\nResults: Serum TSH was significantly higher in centenarians [1.97 (0.42–7.15) mIU/liter] than in Ashkenazi controls [1.55 (0.46 – 4.55) mIU/liter] and NHANES controls [1.61 (0.39 – 6.29) mIU/liter] (median, 2.5 and 97.5 centiles) (P Ͻ 0.001). The TSH frequency distribution curve of centenarians was relatively similar in shape to controls but shifted significantly to higher TSH, including TSH concentration at peak frequency. The TSH distribution curve of the NHANES control group was superimposable to and not significantly different from the Ashkenazi controls. FT4 was similar in centenarians and Ashkenazi controls, and there was a significant inverse correlation between FT4 and TSH in both groups.\nConclusions: The TSH population shifts to higher concentrations with age appear to be a continuum that extends even to people with exceptional longevity. The inverse correlation between TSH and FT4 in our populations suggests that changes in negative feedback may contribute to exceptional longevity. (J Clin Endocrinol Metab 94: 1251–1254, 2009)","container-title":"The Journal of Clinical Endocrinology &amp; Metabolism","DOI":"10.1210/jc.2008-2325","ISSN":"0021-972X, 1945-7197","issue":"4","journalAbbreviation":"The Journal of Clinical Endocrinology &amp; Metabolism","language":"en","page":"1251-1254","source":"DOI.org (Crossref)","title":"Extreme Longevity Is Associated with Increased Serum Thyrotropin","volume":"94","author":[{"family":"Atzmon","given":"Gil"},{"family":"Barzilai","given":"Nir"},{"family":"Hollowell","given":"Joseph G."},{"family":"Surks","given":"Martin I."},{"family":"Gabriely","given":"Ilan"}],"issued":{"date-parts":[["2009",4]]}},"label":"page"},{"id":1310,"uris":["http://zotero.org/users/7110448/items/9XI9UHRJ"],"itemData":{"id":1310,"type":"article-journal","abstract":"CONTEXT: A relation between low thyroid activity and prolonged life span in humans has been observed. Several studies have demonstrated hereditary and genetic influences on thyroid function.\nOBJECTIVE: The objective of the study was to test whether low thyroid activity associated with extreme longevity constitutes a heritable phenotype, which could contribute to the familial longevity observed in the Leiden Longevity Study.\nDESIGN: This was a cross-sectional study.\nSETTING: The study was conducted at a university hospital in the city of Leiden, The Netherlands.\nPARTICIPANTS: Eight hundred fifty-nine nonagenarian siblings (median age 92.9 yr) from 421 long-lived families participated in the study. Families were recruited from the entire Dutch population if at least two long-lived siblings were alive and fulfilled the age criterion of age of 89 yr or older for males and 91 yr or older for females. There were no selection criteria on health or demographic characteristics.\nINTERVENTION: Blood samples were taken for determination of serum parameters of thyroid function.\nMAIN OUTCOME MEASURE: We calculated the family mortality history score of the parents of the nonagenarian siblings and related this to thyroid function parameters in the nonagenarian siblings.\nRESULTS: We found that a lower family mortality history score (less mortality) of the parents of nonagenarian siblings was associated with higher serum TSH levels (P = 0.005) and lower free T(4) levels (P = 0.002) as well as lower free T(3) levels (P = 0.034) in the nonagenarian siblings.\nCONCLUSIONS: Our findings support the previous observation that low thyroid activity in humans constitutes a heritable phenotype that contributes to exceptional familial longevity observed in the Leiden Longevity Study.","container-title":"The Journal of Clinical Endocrinology and Metabolism","DOI":"10.1210/jc.2010-0875","ISSN":"1945-7197","issue":"11","journalAbbreviation":"J Clin Endocrinol Metab","language":"eng","note":"PMID: 20739380","page":"4979-4984","source":"PubMed","title":"Familial longevity is associated with decreased thyroid function","volume":"95","author":[{"family":"Rozing","given":"M. P."},{"family":"Houwing-Duistermaat","given":"J. J."},{"family":"Slagboom","given":"P. E."},{"family":"Beekman","given":"M."},{"family":"Frölich","given":"M."},{"family":"Craen","given":"A. J. M.","non-dropping-particle":"de"},{"family":"Westendorp","given":"R. G. J."},{"family":"Heemst","given":"D.","non-dropping-particle":"van"}],"issued":{"date-parts":[["2010",11]]}},"label":"page"},{"id":629,"uris":["http://zotero.org/users/7110448/items/KVGB5TYJ"],"itemData":{"id":629,"type":"article-journal","abstract":"Longevity is associated with changes in circulating levels of thyroid hormone (TH) and/or TSH in animals and humans, but underlying mechanisms remain elusive.We explored in 38 offspring of nonagenarian participants from the Leiden Longevity Study, who are enriched for longevity and in their partners, ultradian and circadian rhythmicity of TSH, temporal relationship, and feedback and forward interplay between TSH and TH.We collected blood samples every 10 minutes for 24 hours for TSH and TH profiles. We used a deconvolution analysis to estimate basal (nonpulsatile), pulsatile, and other secretion parameters to characterize ultradian rhythmicity and locally weighted polynomial regression of TSH to assess circadian rhythmicity. A cross-correlation analysis was used to investigate the temporal relationship between TSH and TH and cross-approximate entropy to assess feedback and forward interplay between TSH and TH.Compared with partners, offspring displayed higher mean (95% confidence interval [CI]) basal TSH secretion (34.3 [95% CI 27.2–43.1] mU/L per 24 hours vs 18.5 [95% CI 14.4–23.7] mU/L per 24 hours, P = .001) but no differences in ultradian or circadian properties of TSH. The temporal relationship between TSH and free T3 at zero delay was higher in offspring (0.48 ± 0.2) compared with partners (0.26 ± 0.4) (P = .05), but the feedback and forward interplay between TSH and TH did not differ.Familial longevity is associated with increased basal TSH secretion and a strong temporal relationship between TSH and free T3 but not with differences in ultradian or circadian TSH rhythmicity or feedback and forward interplay between TSH and TH.","container-title":"The Journal of Clinical Endocrinology &amp; Metabolism","DOI":"10.1210/jc.2015-2624","ISSN":"0021-972X","issue":"10","journalAbbreviation":"The Journal of Clinical Endocrinology &amp; Metabolism","page":"3806-3813","source":"Silverchair","title":"Familial Longevity Is Associated With Higher TSH Secretion and Strong TSH-fT3 Relationship","volume":"100","author":[{"family":"Jansen","given":"Steffy W."},{"family":"Roelfsema","given":"Ferdinand"},{"family":"Spoel","given":"Evie","non-dropping-particle":"van der"},{"family":"Akintola","given":"Abimbola A."},{"family":"Postmus","given":"Iris"},{"family":"Ballieux","given":"Bart E."},{"family":"Slagboom","given":"P. Eline"},{"family":"Cobbaert","given":"Christa M."},{"family":"Grond","given":"Jeroen","non-dropping-particle":"van der"},{"family":"Westendorp","given":"Rudi G."},{"family":"Pijl","given":"Hanno"},{"family":"Heemst","given":"Diana","non-dropping-particle":"van"}],"issued":{"date-parts":[["2015",10,1]]}},"label":"page"}],"schema":"https://github.com/citation-style-language/schema/raw/master/csl-citation.json"} </w:instrText>
      </w:r>
      <w:r w:rsidR="00616F56" w:rsidRPr="00E44DCC">
        <w:fldChar w:fldCharType="separate"/>
      </w:r>
      <w:r w:rsidR="00616F56" w:rsidRPr="00E44DCC">
        <w:rPr>
          <w:noProof/>
        </w:rPr>
        <w:t>(11,15,13)</w:t>
      </w:r>
      <w:r w:rsidR="00616F56" w:rsidRPr="00E44DCC">
        <w:fldChar w:fldCharType="end"/>
      </w:r>
      <w:r w:rsidR="00616F56" w:rsidRPr="00E44DCC">
        <w:t xml:space="preserve">. </w:t>
      </w:r>
      <w:r w:rsidR="001B37B6" w:rsidRPr="00E44DCC">
        <w:t>I</w:t>
      </w:r>
      <w:r w:rsidR="00616F56" w:rsidRPr="00E44DCC">
        <w:t>dosos longevos foram associados a níveis ma</w:t>
      </w:r>
      <w:r w:rsidR="001B37B6" w:rsidRPr="00E44DCC">
        <w:t>is</w:t>
      </w:r>
      <w:r w:rsidR="00616F56" w:rsidRPr="00E44DCC">
        <w:t xml:space="preserve"> elevados de TSH</w:t>
      </w:r>
      <w:r w:rsidR="001D62E5">
        <w:t>,</w:t>
      </w:r>
      <w:r w:rsidR="00616F56" w:rsidRPr="00E44DCC">
        <w:t xml:space="preserve"> </w:t>
      </w:r>
      <w:r w:rsidR="001B37B6" w:rsidRPr="00E44DCC">
        <w:t xml:space="preserve">enquanto </w:t>
      </w:r>
      <w:r w:rsidR="00616F56" w:rsidRPr="00E44DCC">
        <w:t xml:space="preserve">que níveis mais elevados de T4 foram associados </w:t>
      </w:r>
      <w:r w:rsidR="001B37B6" w:rsidRPr="00E44DCC">
        <w:t xml:space="preserve">a maior risco cardiovascular </w:t>
      </w:r>
      <w:r w:rsidR="001B37B6" w:rsidRPr="00E44DCC">
        <w:fldChar w:fldCharType="begin"/>
      </w:r>
      <w:r w:rsidR="004C3BF7" w:rsidRPr="00E44DCC">
        <w:instrText xml:space="preserve"> ADDIN ZOTERO_ITEM CSL_CITATION {"citationID":"2Gdwr9XA","properties":{"formattedCitation":"(45)","plainCitation":"(45)","noteIndex":0},"citationItems":[{"id":1141,"uris":["http://zotero.org/users/7110448/items/Y43B6BKH"],"itemData":{"id":1141,"type":"article-journal","abstract":"BACKGROUND: The hypothalamo-pituitary-thyroid axis has been widely implicated in modulating the aging process. Life extension effects associated with low thyroid hormone levels have been reported in multiple animal models. In human populations, an association was observed between low thyroid function and longevity at old age, but the beneficial effects of low thyroid hormone metabolism at middle age remain elusive.\nMETHODS: We have compared serum thyroid hormone function parameters in a group of middle-aged offspring of long-living nonagenarian siblings and a control group of their partners, all participants of the Leiden Longevity Study.\nRESULTS: When compared with their partners, the group of offspring of nonagenarian siblings showed a trend toward higher serum thyrotropin levels (1.65 vs157 mU/L, p = .11) in conjunction with lower free thyroxine levels (15.0 vs 15.2 pmol/L, p = .045) and lower free triiodothyronine levels (4.08 vs 4.14 pmol/L, p = .024).\nCONCLUSIONS: Compared with their partners, the group of offspring of nonagenarian siblings show a lower thyroidal sensitivity to thyrotropin. These findings suggest that the favorable role of low thyroid hormone metabolism on health and longevity in model organism is applicable to humans as well.","container-title":"The Journals of Gerontology. Series A, Biological Sciences and Medical Sciences","DOI":"10.1093/gerona/glp200","ISSN":"1758-535X","issue":"4","journalAbbreviation":"J Gerontol A Biol Sci Med Sci","language":"eng","note":"PMID: 20018826","page":"365-368","source":"PubMed","title":"Low serum free triiodothyronine levels mark familial longevity: the Leiden Longevity Study","title-short":"Low serum free triiodothyronine levels mark familial longevity","volume":"65","author":[{"family":"Rozing","given":"Maarten P."},{"family":"Westendorp","given":"Rudi G. J."},{"family":"Craen","given":"Anton J. M.","non-dropping-particle":"de"},{"family":"Frölich","given":"Marijke"},{"family":"Heijmans","given":"Bastiaan T."},{"family":"Beekman","given":"Marian"},{"family":"Wijsman","given":"Carolien"},{"family":"Mooijaart","given":"Simon P."},{"family":"Blauw","given":"Gerard-Jan"},{"family":"Slagboom","given":"P. Eline"},{"family":"Heemst","given":"Diana","non-dropping-particle":"van"},{"literal":"Leiden Longevity Study (LLS) Group"}],"issued":{"date-parts":[["2010",4]]}}}],"schema":"https://github.com/citation-style-language/schema/raw/master/csl-citation.json"} </w:instrText>
      </w:r>
      <w:r w:rsidR="001B37B6" w:rsidRPr="00E44DCC">
        <w:fldChar w:fldCharType="separate"/>
      </w:r>
      <w:r w:rsidR="00821A28" w:rsidRPr="00E44DCC">
        <w:rPr>
          <w:noProof/>
        </w:rPr>
        <w:t>(45)</w:t>
      </w:r>
      <w:r w:rsidR="001B37B6" w:rsidRPr="00E44DCC">
        <w:fldChar w:fldCharType="end"/>
      </w:r>
      <w:r w:rsidR="001B37B6" w:rsidRPr="00E44DCC">
        <w:t>.</w:t>
      </w:r>
    </w:p>
    <w:p w14:paraId="129F77BA" w14:textId="77777777" w:rsidR="001F75D0" w:rsidRPr="005D5C70" w:rsidRDefault="001F75D0" w:rsidP="005976A0">
      <w:pPr>
        <w:spacing w:line="360" w:lineRule="auto"/>
        <w:jc w:val="both"/>
        <w:rPr>
          <w:color w:val="333333"/>
        </w:rPr>
      </w:pPr>
    </w:p>
    <w:p w14:paraId="3A430BFE" w14:textId="30F89482" w:rsidR="001F75D0" w:rsidRPr="00BC57AE" w:rsidRDefault="00BC57AE" w:rsidP="005976A0">
      <w:pPr>
        <w:spacing w:line="360" w:lineRule="auto"/>
        <w:jc w:val="both"/>
        <w:rPr>
          <w:b/>
        </w:rPr>
      </w:pPr>
      <w:r w:rsidRPr="00BC57AE">
        <w:rPr>
          <w:b/>
        </w:rPr>
        <w:t>2.1.5</w:t>
      </w:r>
      <w:r>
        <w:rPr>
          <w:b/>
        </w:rPr>
        <w:t xml:space="preserve"> Diagnóstico do Hipotireoidismo Subclínico n</w:t>
      </w:r>
      <w:r w:rsidRPr="00BC57AE">
        <w:rPr>
          <w:b/>
        </w:rPr>
        <w:t>o Idoso</w:t>
      </w:r>
    </w:p>
    <w:p w14:paraId="2A84E1CE" w14:textId="441EDF05" w:rsidR="00485D37" w:rsidRDefault="00485D37" w:rsidP="005976A0">
      <w:pPr>
        <w:spacing w:line="360" w:lineRule="auto"/>
        <w:jc w:val="both"/>
      </w:pPr>
    </w:p>
    <w:p w14:paraId="4391A134" w14:textId="500048E9" w:rsidR="008F5F83" w:rsidRPr="00D346F5" w:rsidRDefault="00485D37" w:rsidP="005976A0">
      <w:pPr>
        <w:spacing w:line="360" w:lineRule="auto"/>
        <w:jc w:val="both"/>
      </w:pPr>
      <w:r>
        <w:t xml:space="preserve">     </w:t>
      </w:r>
      <w:r w:rsidR="0024156F">
        <w:t>Ao longo da vida, espera</w:t>
      </w:r>
      <w:r w:rsidR="001D62E5">
        <w:t>m</w:t>
      </w:r>
      <w:r w:rsidR="0024156F">
        <w:t xml:space="preserve">-se variações </w:t>
      </w:r>
      <w:r w:rsidR="00A439CE">
        <w:t xml:space="preserve">individuais </w:t>
      </w:r>
      <w:r w:rsidR="0024156F">
        <w:t>dos níveis séricos circulantes de T4, porém</w:t>
      </w:r>
      <w:r w:rsidR="001D62E5">
        <w:t>,</w:t>
      </w:r>
      <w:r w:rsidR="0024156F">
        <w:t xml:space="preserve"> isso ocorre, normalmente, dentro de uma faixa mais estreita do que aquela utilizada como referência populacional </w:t>
      </w:r>
      <w:r w:rsidR="005D5C70">
        <w:fldChar w:fldCharType="begin"/>
      </w:r>
      <w:r w:rsidR="00344DCD">
        <w:instrText xml:space="preserve"> ADDIN ZOTERO_ITEM CSL_CITATION {"citationID":"NAg5QgqI","properties":{"unsorted":true,"formattedCitation":"(56,6)","plainCitation":"(56,6)","noteIndex":0},"citationItems":[{"id":1865,"uris":["http://zotero.org/users/7110448/items/TZMHT49Q"],"itemData":{"id":1865,"type":"article-journal","abstract":"Subclinical thyroid diseases--subclinical hyperthyroidism and subclinical hypothyroidism--are common clinical entities that encompass mild degrees of thyroid dysfunction. The clinical significance of mild thyroid overactivity and underactivity is uncertain, which has led to controversy over the appropriateness of diagnostic testing and possible treatment. In this Seminar, we discuss the definition, epidemiology, differential diagnoses, risks of progression to overt thyroid disease, potential effects on various health outcomes, and management of subclinical hyperthyroidism and subclinical hypothyroidism. Treatment recommendations are based on the degree to which thyroid-stimulating hormone concentrations have deviated from normal and underlying comorbidities. Large-scale randomised trials are urgently needed to inform how to best care for individuals with subclinical thyroid disease.","container-title":"Lancet (London, England)","DOI":"10.1016/S0140-6736(11)60276-6","ISSN":"1474-547X","issue":"9821","journalAbbreviation":"Lancet","language":"eng","note":"PMID: 22273398","page":"1142-1154","source":"PubMed","title":"Subclinical thyroid disease","volume":"379","author":[{"family":"Cooper","given":"David S."},{"family":"Biondi","given":"Bernadette"}],"issued":{"date-parts":[["2012",3,24]]}},"label":"page"},{"id":1403,"uris":["http://zotero.org/users/7110448/items/EVXG9M4V"],"itemData":{"id":1403,"type":"article-journal","container-title":"JAMA","DOI":"10.1001/jama.2019.9052","ISSN":"0098-7484","issue":"2","journalAbbreviation":"JAMA","language":"en","page":"153","source":"DOI.org (Crossref)","title":"Subclinical Hypothyroidism: A Review","title-short":"Subclinical Hypothyroidism","volume":"322","author":[{"family":"Biondi","given":"Bernadette"},{"family":"Cappola","given":"Anne R."},{"family":"Cooper","given":"David S."}],"issued":{"date-parts":[["2019",7,9]]}},"label":"page"}],"schema":"https://github.com/citation-style-language/schema/raw/master/csl-citation.json"} </w:instrText>
      </w:r>
      <w:r w:rsidR="005D5C70">
        <w:fldChar w:fldCharType="separate"/>
      </w:r>
      <w:r w:rsidR="005D5C70">
        <w:rPr>
          <w:noProof/>
        </w:rPr>
        <w:t>(56,6)</w:t>
      </w:r>
      <w:r w:rsidR="005D5C70">
        <w:fldChar w:fldCharType="end"/>
      </w:r>
      <w:r w:rsidR="005D5C70">
        <w:t>.</w:t>
      </w:r>
      <w:r w:rsidR="00DA4614">
        <w:t xml:space="preserve"> O eixo</w:t>
      </w:r>
      <w:r w:rsidR="003B129B">
        <w:t xml:space="preserve"> HHT</w:t>
      </w:r>
      <w:r w:rsidR="00DA4614">
        <w:t xml:space="preserve"> é extremamente sensível e responsivo às pequenas variações nas concentrações séricas de T4l </w:t>
      </w:r>
      <w:r w:rsidR="00DA4614">
        <w:fldChar w:fldCharType="begin"/>
      </w:r>
      <w:r w:rsidR="00344DCD">
        <w:instrText xml:space="preserve"> ADDIN ZOTERO_ITEM CSL_CITATION {"citationID":"bHov7aDO","properties":{"unsorted":true,"formattedCitation":"(56,6)","plainCitation":"(56,6)","noteIndex":0},"citationItems":[{"id":1865,"uris":["http://zotero.org/users/7110448/items/TZMHT49Q"],"itemData":{"id":1865,"type":"article-journal","abstract":"Subclinical thyroid diseases--subclinical hyperthyroidism and subclinical hypothyroidism--are common clinical entities that encompass mild degrees of thyroid dysfunction. The clinical significance of mild thyroid overactivity and underactivity is uncertain, which has led to controversy over the appropriateness of diagnostic testing and possible treatment. In this Seminar, we discuss the definition, epidemiology, differential diagnoses, risks of progression to overt thyroid disease, potential effects on various health outcomes, and management of subclinical hyperthyroidism and subclinical hypothyroidism. Treatment recommendations are based on the degree to which thyroid-stimulating hormone concentrations have deviated from normal and underlying comorbidities. Large-scale randomised trials are urgently needed to inform how to best care for individuals with subclinical thyroid disease.","container-title":"Lancet (London, England)","DOI":"10.1016/S0140-6736(11)60276-6","ISSN":"1474-547X","issue":"9821","journalAbbreviation":"Lancet","language":"eng","note":"PMID: 22273398","page":"1142-1154","source":"PubMed","title":"Subclinical thyroid disease","volume":"379","author":[{"family":"Cooper","given":"David S."},{"family":"Biondi","given":"Bernadette"}],"issued":{"date-parts":[["2012",3,24]]}},"label":"page"},{"id":1403,"uris":["http://zotero.org/users/7110448/items/EVXG9M4V"],"itemData":{"id":1403,"type":"article-journal","container-title":"JAMA","DOI":"10.1001/jama.2019.9052","ISSN":"0098-7484","issue":"2","journalAbbreviation":"JAMA","language":"en","page":"153","source":"DOI.org (Crossref)","title":"Subclinical Hypothyroidism: A Review","title-short":"Subclinical Hypothyroidism","volume":"322","author":[{"family":"Biondi","given":"Bernadette"},{"family":"Cappola","given":"Anne R."},{"family":"Cooper","given":"David S."}],"issued":{"date-parts":[["2019",7,9]]}},"label":"page"}],"schema":"https://github.com/citation-style-language/schema/raw/master/csl-citation.json"} </w:instrText>
      </w:r>
      <w:r w:rsidR="00DA4614">
        <w:fldChar w:fldCharType="separate"/>
      </w:r>
      <w:r w:rsidR="00DA4614">
        <w:rPr>
          <w:noProof/>
        </w:rPr>
        <w:t>(56,6)</w:t>
      </w:r>
      <w:r w:rsidR="00DA4614">
        <w:fldChar w:fldCharType="end"/>
      </w:r>
      <w:r w:rsidR="00DA4614">
        <w:t xml:space="preserve">.  Reduções mínimas de T4l, ainda que dentro do intervalo de referência populacional, resultam em maior secreção pituitária de TSH, podendo ultrapassar o limite superior da normalidade </w:t>
      </w:r>
      <w:r w:rsidR="00DA4614">
        <w:fldChar w:fldCharType="begin"/>
      </w:r>
      <w:r w:rsidR="00344DCD">
        <w:instrText xml:space="preserve"> ADDIN ZOTERO_ITEM CSL_CITATION {"citationID":"zqA8uVEW","properties":{"unsorted":true,"formattedCitation":"(6,56)","plainCitation":"(6,56)","noteIndex":0},"citationItems":[{"id":1403,"uris":["http://zotero.org/users/7110448/items/EVXG9M4V"],"itemData":{"id":1403,"type":"article-journal","container-title":"JAMA","DOI":"10.1001/jama.2019.9052","ISSN":"0098-7484","issue":"2","journalAbbreviation":"JAMA","language":"en","page":"153","source":"DOI.org (Crossref)","title":"Subclinical Hypothyroidism: A Review","title-short":"Subclinical Hypothyroidism","volume":"322","author":[{"family":"Biondi","given":"Bernadette"},{"family":"Cappola","given":"Anne R."},{"family":"Cooper","given":"David S."}],"issued":{"date-parts":[["2019",7,9]]}},"label":"page"},{"id":1865,"uris":["http://zotero.org/users/7110448/items/TZMHT49Q"],"itemData":{"id":1865,"type":"article-journal","abstract":"Subclinical thyroid diseases--subclinical hyperthyroidism and subclinical hypothyroidism--are common clinical entities that encompass mild degrees of thyroid dysfunction. The clinical significance of mild thyroid overactivity and underactivity is uncertain, which has led to controversy over the appropriateness of diagnostic testing and possible treatment. In this Seminar, we discuss the definition, epidemiology, differential diagnoses, risks of progression to overt thyroid disease, potential effects on various health outcomes, and management of subclinical hyperthyroidism and subclinical hypothyroidism. Treatment recommendations are based on the degree to which thyroid-stimulating hormone concentrations have deviated from normal and underlying comorbidities. Large-scale randomised trials are urgently needed to inform how to best care for individuals with subclinical thyroid disease.","container-title":"Lancet (London, England)","DOI":"10.1016/S0140-6736(11)60276-6","ISSN":"1474-547X","issue":"9821","journalAbbreviation":"Lancet","language":"eng","note":"PMID: 22273398","page":"1142-1154","source":"PubMed","title":"Subclinical thyroid disease","volume":"379","author":[{"family":"Cooper","given":"David S."},{"family":"Biondi","given":"Bernadette"}],"issued":{"date-parts":[["2012",3,24]]}},"label":"page"}],"schema":"https://github.com/citation-style-language/schema/raw/master/csl-citation.json"} </w:instrText>
      </w:r>
      <w:r w:rsidR="00DA4614">
        <w:fldChar w:fldCharType="separate"/>
      </w:r>
      <w:r w:rsidR="00DA4614">
        <w:rPr>
          <w:noProof/>
        </w:rPr>
        <w:t>(6,56)</w:t>
      </w:r>
      <w:r w:rsidR="00DA4614">
        <w:fldChar w:fldCharType="end"/>
      </w:r>
      <w:r w:rsidR="00DA4614">
        <w:t>. Em resposta a es</w:t>
      </w:r>
      <w:r w:rsidR="001D62E5">
        <w:t>s</w:t>
      </w:r>
      <w:r w:rsidR="00DA4614">
        <w:t>e estímulo do TSH, ocorre maior produção de HT. Es</w:t>
      </w:r>
      <w:r w:rsidR="001D62E5">
        <w:t>s</w:t>
      </w:r>
      <w:r w:rsidR="00DA4614">
        <w:t>e ponto de ajuste do eixo HHT é individual e</w:t>
      </w:r>
      <w:r w:rsidR="007D721F">
        <w:t xml:space="preserve"> está sujeito a determinantes genéticos </w:t>
      </w:r>
      <w:r w:rsidR="00472F4B">
        <w:fldChar w:fldCharType="begin"/>
      </w:r>
      <w:r w:rsidR="00344DCD">
        <w:instrText xml:space="preserve"> ADDIN ZOTERO_ITEM CSL_CITATION {"citationID":"0aKsu0Iv","properties":{"unsorted":true,"formattedCitation":"(7,57,6)","plainCitation":"(7,57,6)","noteIndex":0},"citationItems":[{"id":203,"uris":["http://zotero.org/users/7110448/items/64999WNK"],"itemData":{"id":203,"type":"article-journal","abstract":"High individuality causes laboratory reference ranges to be insensitive to changes in test results that are significant for the individual. We undertook a longitudinal study of variation in thyroid function tests in 16 healthy men with monthly sampling for 12 months using standard procedures. We measured serum T(4), T(3), free T(4) index, and TSH. All individuals had different variations of thyroid function tests (P &lt; 0.001 for all variables) around individual mean values (set points) (P &lt; 0.001 for all variables). The width of the individual 95% confidence intervals were approximately half that of the group for all variables. Accordingly, the index of individuality was low: T(4) = 0.58; T(3) = 0.54; free T(4) index = 0.59; TSH = 0.49. One test result described the individual set point with a precision of +/- 25% for T(4), T(3), free T(4) index, and +/- 50% for TSH. The differences required to be 95% confident of significant changes in repeated testing were (average, range): T(4) = 28, 11-62 nmol/liter; T(3) = 0.55, 0.3--0.9 nmol/liter; free T4 index = 33, 15-61 nmol/liter; TSH = 0.75, 0.2-1.6 mU/liter. Our data indicate that each individual had a unique thyroid function. The individual reference ranges for test results were narrow, compared with group reference ranges used to develop laboratory reference ranges. Accordingly, a test result within laboratory reference limits is not necessarily normal for an individual. Because serum TSH responds with logarithmically amplified variation to minor changes in serum T(4) and T(3), abnormal serum TSH may indicate that serum T(4) and T(3) are not normal for an individual. A condition with abnormal serum TSH but with serum T(4) and T(3) within laboratory reference ranges is labeled subclinical thyroid disease. Our data indicate that the distinction between subclinical and overt thyroid disease (abnormal serum TSH and abnormal T(4) and/or T(3)) is somewhat arbitrary. For the same degree of thyroid function abnormality, the diagnosis depends to a considerable extent on the position of the patient's normal set point for T(4) and T(3) within the laboratory reference range.","container-title":"The Journal of Clinical Endocrinology and Metabolism","DOI":"10.1210/jcem.87.3.8165","ISSN":"0021-972X","issue":"3","journalAbbreviation":"J Clin Endocrinol Metab","language":"eng","note":"PMID: 11889165","page":"1068-1072","source":"PubMed","title":"Narrow individual variations in serum T(4) and T(3) in normal subjects: a clue to the understanding of subclinical thyroid disease","title-short":"Narrow individual variations in serum T(4) and T(3) in normal subjects","volume":"87","author":[{"family":"Andersen","given":"Stig"},{"family":"Pedersen","given":"Klaus Michael"},{"family":"Bruun","given":"Niels Henrik"},{"family":"Laurberg","given":"Peter"}],"issued":{"date-parts":[["2002",3]]}},"label":"page"},{"id":90,"uris":["http://zotero.org/users/7110448/items/Z3ZC8W9B"],"itemData":{"id":90,"type":"article-journal","container-title":"Best Practice &amp; Research Clinical Endocrinology &amp; Metabolism","DOI":"10.1016/j.beem.2017.04.002","ISSN":"1521690X","issue":"2","journalAbbreviation":"Best Practice &amp; Research Clinical Endocrinology &amp; Metabolism","language":"en","page":"129-142","source":"DOI.org (Crossref)","title":"Genetics of thyroid function","volume":"31","author":[{"family":"Medici","given":"Marco"},{"family":"Visser","given":"Theo J."},{"family":"Peeters","given":"Robin P."}],"issued":{"date-parts":[["2017",3]]}},"label":"page"},{"id":1403,"uris":["http://zotero.org/users/7110448/items/EVXG9M4V"],"itemData":{"id":1403,"type":"article-journal","container-title":"JAMA","DOI":"10.1001/jama.2019.9052","ISSN":"0098-7484","issue":"2","journalAbbreviation":"JAMA","language":"en","page":"153","source":"DOI.org (Crossref)","title":"Subclinical Hypothyroidism: A Review","title-short":"Subclinical Hypothyroidism","volume":"322","author":[{"family":"Biondi","given":"Bernadette"},{"family":"Cappola","given":"Anne R."},{"family":"Cooper","given":"David S."}],"issued":{"date-parts":[["2019",7,9]]}},"label":"page"}],"schema":"https://github.com/citation-style-language/schema/raw/master/csl-citation.json"} </w:instrText>
      </w:r>
      <w:r w:rsidR="00472F4B">
        <w:fldChar w:fldCharType="separate"/>
      </w:r>
      <w:r w:rsidR="00472F4B" w:rsidRPr="00D346F5">
        <w:rPr>
          <w:noProof/>
        </w:rPr>
        <w:t>(7,57,6)</w:t>
      </w:r>
      <w:r w:rsidR="00472F4B">
        <w:fldChar w:fldCharType="end"/>
      </w:r>
      <w:r w:rsidR="00472F4B" w:rsidRPr="00D346F5">
        <w:t>.</w:t>
      </w:r>
    </w:p>
    <w:p w14:paraId="4FCFB8DD" w14:textId="35F9E0F2" w:rsidR="007D721F" w:rsidRDefault="00485D37" w:rsidP="005976A0">
      <w:pPr>
        <w:spacing w:line="360" w:lineRule="auto"/>
        <w:jc w:val="both"/>
      </w:pPr>
      <w:r>
        <w:t xml:space="preserve">     </w:t>
      </w:r>
      <w:r w:rsidR="008F5F83" w:rsidRPr="008F5F83">
        <w:t xml:space="preserve">O </w:t>
      </w:r>
      <w:r w:rsidR="00A526EC">
        <w:t>hipotireoidismo subclínico</w:t>
      </w:r>
      <w:r w:rsidR="008F5F83" w:rsidRPr="008F5F83">
        <w:t xml:space="preserve"> </w:t>
      </w:r>
      <w:r w:rsidR="00D269DD">
        <w:t xml:space="preserve">(HSC) </w:t>
      </w:r>
      <w:r w:rsidR="008F5F83" w:rsidRPr="008F5F83">
        <w:t xml:space="preserve">é definido pela </w:t>
      </w:r>
      <w:r w:rsidR="008F5F83">
        <w:t>elevação do TSH</w:t>
      </w:r>
      <w:r w:rsidR="001D62E5">
        <w:t>,</w:t>
      </w:r>
      <w:r w:rsidR="008F5F83">
        <w:t xml:space="preserve"> associada à níveis séricos normais de T4l e T3l </w:t>
      </w:r>
      <w:r w:rsidR="008F5F83">
        <w:fldChar w:fldCharType="begin"/>
      </w:r>
      <w:r w:rsidR="00344DCD">
        <w:instrText xml:space="preserve"> ADDIN ZOTERO_ITEM CSL_CITATION {"citationID":"54EG90Uk","properties":{"unsorted":true,"formattedCitation":"(58,6)","plainCitation":"(58,6)","noteIndex":0},"citationItems":[{"id":1707,"uris":["http://zotero.org/users/7110448/items/JPIF36DB"],"itemData":{"id":1707,"type":"article-journal","container-title":"The New England Journal of Medicine","DOI":"10.1056/NEJMcp1611144","ISSN":"1533-4406","issue":"26","journalAbbreviation":"N Engl J Med","language":"eng","note":"PMID: 28657873","page":"2556-2565","source":"PubMed","title":"Subclinical Hypothyroidism","volume":"376","author":[{"family":"Peeters","given":"Robin P."}],"issued":{"date-parts":[["2017",6,29]]}},"label":"page"},{"id":1403,"uris":["http://zotero.org/users/7110448/items/EVXG9M4V"],"itemData":{"id":1403,"type":"article-journal","container-title":"JAMA","DOI":"10.1001/jama.2019.9052","ISSN":"0098-7484","issue":"2","journalAbbreviation":"JAMA","language":"en","page":"153","source":"DOI.org (Crossref)","title":"Subclinical Hypothyroidism: A Review","title-short":"Subclinical Hypothyroidism","volume":"322","author":[{"family":"Biondi","given":"Bernadette"},{"family":"Cappola","given":"Anne R."},{"family":"Cooper","given":"David S."}],"issued":{"date-parts":[["2019",7,9]]}},"label":"page"}],"schema":"https://github.com/citation-style-language/schema/raw/master/csl-citation.json"} </w:instrText>
      </w:r>
      <w:r w:rsidR="008F5F83">
        <w:fldChar w:fldCharType="separate"/>
      </w:r>
      <w:r w:rsidR="008F5F83">
        <w:rPr>
          <w:noProof/>
        </w:rPr>
        <w:t>(58,6)</w:t>
      </w:r>
      <w:r w:rsidR="008F5F83">
        <w:fldChar w:fldCharType="end"/>
      </w:r>
      <w:r w:rsidR="00F968D2">
        <w:t>. É classificado como leve ou grau 1, quando o</w:t>
      </w:r>
      <w:r w:rsidR="00171DB0">
        <w:t>s</w:t>
      </w:r>
      <w:r w:rsidR="00F968D2">
        <w:t xml:space="preserve"> níve</w:t>
      </w:r>
      <w:r w:rsidR="00171DB0">
        <w:t xml:space="preserve">is </w:t>
      </w:r>
      <w:r w:rsidR="00F968D2">
        <w:t>de TSH est</w:t>
      </w:r>
      <w:r w:rsidR="00171DB0">
        <w:t>ão</w:t>
      </w:r>
      <w:r w:rsidR="00F968D2">
        <w:t xml:space="preserve"> entre 4,5 e 9,9 um/L, e mais grave ou grau 2, quando os níveis de TSH são maiores que 10 um/L</w:t>
      </w:r>
      <w:r w:rsidR="007B34C3">
        <w:t xml:space="preserve"> </w:t>
      </w:r>
      <w:r w:rsidR="00AB763E">
        <w:fldChar w:fldCharType="begin"/>
      </w:r>
      <w:r w:rsidR="00344DCD">
        <w:instrText xml:space="preserve"> ADDIN ZOTERO_ITEM CSL_CITATION {"citationID":"ByAbkwmD","properties":{"formattedCitation":"(6)","plainCitation":"(6)","noteIndex":0},"citationItems":[{"id":1403,"uris":["http://zotero.org/users/7110448/items/EVXG9M4V"],"itemData":{"id":1403,"type":"article-journal","container-title":"JAMA","DOI":"10.1001/jama.2019.9052","ISSN":"0098-7484","issue":"2","journalAbbreviation":"JAMA","language":"en","page":"153","source":"DOI.org (Crossref)","title":"Subclinical Hypothyroidism: A Review","title-short":"Subclinical Hypothyroidism","volume":"322","author":[{"family":"Biondi","given":"Bernadette"},{"family":"Cappola","given":"Anne R."},{"family":"Cooper","given":"David S."}],"issued":{"date-parts":[["2019",7,9]]}}}],"schema":"https://github.com/citation-style-language/schema/raw/master/csl-citation.json"} </w:instrText>
      </w:r>
      <w:r w:rsidR="00AB763E">
        <w:fldChar w:fldCharType="separate"/>
      </w:r>
      <w:r w:rsidR="00AB763E">
        <w:rPr>
          <w:noProof/>
        </w:rPr>
        <w:t>(6)</w:t>
      </w:r>
      <w:r w:rsidR="00AB763E">
        <w:fldChar w:fldCharType="end"/>
      </w:r>
      <w:r w:rsidR="00AB763E">
        <w:t xml:space="preserve">. </w:t>
      </w:r>
      <w:r w:rsidR="00352268">
        <w:t xml:space="preserve">O risco de progressão para hipotireoidismo manifesto é de 2 a 6% por ano, sendo maior entre mulheres, pessoas com níveis de TSH mais elevados e </w:t>
      </w:r>
      <w:r w:rsidR="0074335D">
        <w:t>positividade para</w:t>
      </w:r>
      <w:r w:rsidR="007368F6">
        <w:t xml:space="preserve"> </w:t>
      </w:r>
      <w:proofErr w:type="spellStart"/>
      <w:r w:rsidR="00991A3E">
        <w:t>antiperoxidase</w:t>
      </w:r>
      <w:proofErr w:type="spellEnd"/>
      <w:r w:rsidR="007368F6">
        <w:t xml:space="preserve"> tireoidiana</w:t>
      </w:r>
      <w:r w:rsidR="00991A3E">
        <w:t xml:space="preserve"> </w:t>
      </w:r>
      <w:r w:rsidR="007D721F">
        <w:t xml:space="preserve"> </w:t>
      </w:r>
      <w:r w:rsidR="007D721F">
        <w:fldChar w:fldCharType="begin"/>
      </w:r>
      <w:r w:rsidR="004C3BF7">
        <w:instrText xml:space="preserve"> ADDIN ZOTERO_ITEM CSL_CITATION {"citationID":"BX6u2Lp6","properties":{"formattedCitation":"(58)","plainCitation":"(58)","noteIndex":0},"citationItems":[{"id":1707,"uris":["http://zotero.org/users/7110448/items/JPIF36DB"],"itemData":{"id":1707,"type":"article-journal","container-title":"The New England Journal of Medicine","DOI":"10.1056/NEJMcp1611144","ISSN":"1533-4406","issue":"26","journalAbbreviation":"N Engl J Med","language":"eng","note":"PMID: 28657873","page":"2556-2565","source":"PubMed","title":"Subclinical Hypothyroidism","volume":"376","author":[{"family":"Peeters","given":"Robin P."}],"issued":{"date-parts":[["2017",6,29]]}}}],"schema":"https://github.com/citation-style-language/schema/raw/master/csl-citation.json"} </w:instrText>
      </w:r>
      <w:r w:rsidR="007D721F">
        <w:fldChar w:fldCharType="separate"/>
      </w:r>
      <w:r w:rsidR="007D721F">
        <w:rPr>
          <w:noProof/>
        </w:rPr>
        <w:t>(58)</w:t>
      </w:r>
      <w:r w:rsidR="007D721F">
        <w:fldChar w:fldCharType="end"/>
      </w:r>
      <w:r w:rsidR="007D721F">
        <w:t xml:space="preserve">. </w:t>
      </w:r>
      <w:r w:rsidR="00AB763E">
        <w:t xml:space="preserve">A prevalência de </w:t>
      </w:r>
      <w:r w:rsidR="00A526EC">
        <w:t>hipotireoidismo subclínico</w:t>
      </w:r>
      <w:r w:rsidR="00AB763E">
        <w:t xml:space="preserve"> na população geral é de 3 a 8% e maior entre os idosos </w:t>
      </w:r>
      <w:r w:rsidR="00AB763E">
        <w:fldChar w:fldCharType="begin"/>
      </w:r>
      <w:r w:rsidR="00344DCD">
        <w:instrText xml:space="preserve"> ADDIN ZOTERO_ITEM CSL_CITATION {"citationID":"lD3oQNjN","properties":{"formattedCitation":"(40)","plainCitation":"(40)","noteIndex":0},"citationItems":[{"id":74,"uris":["http://zotero.org/users/7110448/items/YLMZUE6Z"],"itemData":{"id":74,"type":"article-journal","abstract":"The global population is aging with millions of people today living into their 90 s. Thyroid disease, particularly hypothyroidism, is widespread among all age groups, and it is expected to steadily increase as the population gets older. Clinical diagnosis of hypothyroidism is challenging, as the TSH reference range needs to be evaluated according to age, while evaluation of TSH levels must also take into account body weight and other variants such as polypharmacy, comorbidities, and general health condition. Since thyroid hormone has a potent regulatory effect on cholesterol metabolism, the possibility of thyroid dysfunction should be considered in cases of unexplained dyslipidemia. Once hypothyroidism has been conﬁrmed, treatment requires caution, frequent cardiovascular monitoring, and individualized (precision) medicine. Treatment of subclinical hypothyroidism (SCH) in the elderly should be undertaken with care, guided by age and the degree of SCH: a TSH higher than 10 mU/l seems a reasonable threshold, though it should be regularly re-evaluated, while the LT4 dose needs to be tailored, taking into account the patient’s health condition and the potential presence of dyslipidemia as well as other metabolic derangements.","container-title":"Endocrine","DOI":"10.1007/s12020-019-02067-9","ISSN":"1355-008X, 1559-0100","issue":"1","journalAbbreviation":"Endocrine","language":"en","page":"63-69","source":"DOI.org (Crossref)","title":"Diagnosis and treatment of hypothyroidism in the elderly","volume":"66","author":[{"family":"Duntas","given":"Leonidas H."},{"family":"Yen","given":"Paul Michael"}],"issued":{"date-parts":[["2019",10]]}}}],"schema":"https://github.com/citation-style-language/schema/raw/master/csl-citation.json"} </w:instrText>
      </w:r>
      <w:r w:rsidR="00AB763E">
        <w:fldChar w:fldCharType="separate"/>
      </w:r>
      <w:r w:rsidR="00AB763E" w:rsidRPr="00352268">
        <w:rPr>
          <w:noProof/>
        </w:rPr>
        <w:t>(40)</w:t>
      </w:r>
      <w:r w:rsidR="00AB763E">
        <w:fldChar w:fldCharType="end"/>
      </w:r>
      <w:r w:rsidR="00AB763E">
        <w:t xml:space="preserve">. </w:t>
      </w:r>
    </w:p>
    <w:p w14:paraId="164E01FF" w14:textId="7BAF6D1B" w:rsidR="00D346F5" w:rsidRPr="00EE10C7" w:rsidRDefault="00485D37" w:rsidP="005976A0">
      <w:pPr>
        <w:spacing w:line="360" w:lineRule="auto"/>
        <w:jc w:val="both"/>
      </w:pPr>
      <w:r>
        <w:t xml:space="preserve">     </w:t>
      </w:r>
      <w:r w:rsidR="007D721F">
        <w:t>Os níveis de TSH tendem a elevar com o envelhecimento como uma possível resposta adaptativa ao processo de senescência</w:t>
      </w:r>
      <w:r w:rsidR="007368F6">
        <w:t>, como já citado anteriormente</w:t>
      </w:r>
      <w:r w:rsidR="009A641F">
        <w:t xml:space="preserve"> </w:t>
      </w:r>
      <w:r w:rsidR="009A641F" w:rsidRPr="00EE10C7">
        <w:fldChar w:fldCharType="begin"/>
      </w:r>
      <w:r w:rsidR="00344DCD" w:rsidRPr="00EE10C7">
        <w:instrText xml:space="preserve"> ADDIN ZOTERO_ITEM CSL_CITATION {"citationID":"lsDneNSg","properties":{"unsorted":true,"formattedCitation":"(3,31)","plainCitation":"(3,31)","noteIndex":0},"citationItems":[{"id":1203,"uris":["http://zotero.org/users/7110448/items/KQITKT3P"],"itemData":{"id":1203,"type":"article-journal","abstract":"Studies in humans and in animal models show negative correlations between thyroid hormone (TH) levels and longevity. TH signaling is implicated in maintaining and integrating metabolic homeostasis at multiple levels, notably centrally in the hypothalamus but also in peripheral tissues. The question is thus raised of how TH signaling is modulated during aging in different tissues. Classically, TH actions on mitochondria and heat production are obvious candidates to link negative effects of TH to aging. Mitochondrial effects of excess TH include reactive oxygen species and DNA damage, 2 factors often considered as aging accelerators. Inversely, caloric restriction, which can retard aging from nematodes to primates, causes a rapid reduction of circulating TH, reducing metabolism in birds and mammals. However, many other factors could link TH to aging, and it is these potentially subtler and less explored areas that are highlighted here. For example, effects of TH on membrane composition, inflammatory responses, stem cell renewal and synchronization of physiological responses to light could each contribute to TH regulation of maintenance of homeostasis during aging. We propose the hypothesis that constraints on TH signaling at certain life stages, notably during maturity, are advantageous for optimal aging.","container-title":"Endocrine Reviews","DOI":"10.1210/er.2012-1056","ISSN":"1945-7189","issue":"4","journalAbbreviation":"Endocr Rev","language":"eng","note":"PMID: 23696256","page":"556-589","source":"PubMed","title":"Thyroid hormone signaling and homeostasis during aging","volume":"34","author":[{"family":"Bowers","given":"J."},{"family":"Terrien","given":"J."},{"family":"Clerget-Froidevaux","given":"M. S."},{"family":"Gothié","given":"J. D."},{"family":"Rozing","given":"M. P."},{"family":"Westendorp","given":"R. G. J."},{"family":"Heemst","given":"D.","non-dropping-particle":"van"},{"family":"Demeneix","given":"B. A."}],"issued":{"date-parts":[["2013",8]]}},"label":"page"},{"id":1399,"uris":["http://zotero.org/users/7110448/items/8EMFWZYN"],"itemData":{"id":1399,"type":"article-journal","container-title":"The Lancet Diabetes &amp; Endocrinology","DOI":"10.1016/S2213-8587(18)30028-7","ISSN":"22138587","issue":"9","journalAbbreviation":"The Lancet Diabetes &amp; Endocrinology","language":"en","page":"733-742","source":"DOI.org (Crossref)","title":"Clinical aspects of thyroid function during ageing","volume":"6","author":[{"family":"Chaker","given":"Layal"},{"family":"Cappola","given":"Anne R"},{"family":"Mooijaart","given":"Simon P"},{"family":"Peeters","given":"Robin P"}],"issued":{"date-parts":[["2018",9]]}},"label":"page"}],"schema":"https://github.com/citation-style-language/schema/raw/master/csl-citation.json"} </w:instrText>
      </w:r>
      <w:r w:rsidR="009A641F" w:rsidRPr="00EE10C7">
        <w:fldChar w:fldCharType="separate"/>
      </w:r>
      <w:r w:rsidR="004357A4" w:rsidRPr="00EE10C7">
        <w:rPr>
          <w:noProof/>
        </w:rPr>
        <w:t>(3,31)</w:t>
      </w:r>
      <w:r w:rsidR="009A641F" w:rsidRPr="00EE10C7">
        <w:fldChar w:fldCharType="end"/>
      </w:r>
      <w:r w:rsidR="009A641F" w:rsidRPr="00EE10C7">
        <w:t xml:space="preserve">. </w:t>
      </w:r>
      <w:r w:rsidR="00696F03" w:rsidRPr="00EE10C7">
        <w:t xml:space="preserve">Porém, valores considerados normais são usualmente obtidos a partir de análise da população </w:t>
      </w:r>
      <w:r w:rsidR="00EE10C7">
        <w:t xml:space="preserve">em </w:t>
      </w:r>
      <w:r w:rsidR="00696F03" w:rsidRPr="00EE10C7">
        <w:t xml:space="preserve">geral e não especificamente da avaliação de indivíduos idosos </w:t>
      </w:r>
      <w:r w:rsidR="00FF3735" w:rsidRPr="00E44DCC">
        <w:fldChar w:fldCharType="begin"/>
      </w:r>
      <w:r w:rsidR="00FF3735" w:rsidRPr="00EE10C7">
        <w:instrText xml:space="preserve"> ADDIN ZOTERO_TEMP </w:instrText>
      </w:r>
      <w:r w:rsidR="00FF3735" w:rsidRPr="00E44DCC">
        <w:fldChar w:fldCharType="separate"/>
      </w:r>
      <w:r w:rsidR="00D346F5" w:rsidRPr="00EE10C7">
        <w:rPr>
          <w:noProof/>
        </w:rPr>
        <w:t>(59,40)</w:t>
      </w:r>
      <w:r w:rsidR="00FF3735" w:rsidRPr="00E44DCC">
        <w:rPr>
          <w:noProof/>
        </w:rPr>
        <w:fldChar w:fldCharType="end"/>
      </w:r>
      <w:r w:rsidR="00D346F5" w:rsidRPr="00EE10C7">
        <w:t>. Também é preciso considerar que o uso de múltiplas drogas, presença de comorbidades e alterações nutricionais, que sabidamente impac</w:t>
      </w:r>
      <w:r w:rsidR="00D346F5" w:rsidRPr="00846E3F">
        <w:t>tam na função tireoidiana, tornam o diagnóstico d</w:t>
      </w:r>
      <w:r w:rsidR="003B129B" w:rsidRPr="00846E3F">
        <w:t>e hipotireoidismo subclínico</w:t>
      </w:r>
      <w:r w:rsidR="00D346F5" w:rsidRPr="00A663FF">
        <w:t xml:space="preserve"> no idoso ainda mais desafiador, podendo superestimar sua prevalência </w:t>
      </w:r>
      <w:r w:rsidR="00D346F5" w:rsidRPr="00EE10C7">
        <w:fldChar w:fldCharType="begin"/>
      </w:r>
      <w:r w:rsidR="00344DCD" w:rsidRPr="00EE10C7">
        <w:instrText xml:space="preserve"> ADDIN ZOTERO_ITEM CSL_CITATION {"citationID":"jSIHsJsB","properties":{"formattedCitation":"(40)","plainCitation":"(40)","noteIndex":0},"citationItems":[{"id":74,"uris":["http://zotero.org/users/7110448/items/YLMZUE6Z"],"itemData":{"id":74,"type":"article-journal","abstract":"The global population is aging with millions of people today living into their 90 s. Thyroid disease, particularly hypothyroidism, is widespread among all age groups, and it is expected to steadily increase as the population gets older. Clinical diagnosis of hypothyroidism is challenging, as the TSH reference range needs to be evaluated according to age, while evaluation of TSH levels must also take into account body weight and other variants such as polypharmacy, comorbidities, and general health condition. Since thyroid hormone has a potent regulatory effect on cholesterol metabolism, the possibility of thyroid dysfunction should be considered in cases of unexplained dyslipidemia. Once hypothyroidism has been conﬁrmed, treatment requires caution, frequent cardiovascular monitoring, and individualized (precision) medicine. Treatment of subclinical hypothyroidism (SCH) in the elderly should be undertaken with care, guided by age and the degree of SCH: a TSH higher than 10 mU/l seems a reasonable threshold, though it should be regularly re-evaluated, while the LT4 dose needs to be tailored, taking into account the patient’s health condition and the potential presence of dyslipidemia as well as other metabolic derangements.","container-title":"Endocrine","DOI":"10.1007/s12020-019-02067-9","ISSN":"1355-008X, 1559-0100","issue":"1","journalAbbreviation":"Endocrine","language":"en","page":"63-69","source":"DOI.org (Crossref)","title":"Diagnosis and treatment of hypothyroidism in the elderly","volume":"66","author":[{"family":"Duntas","given":"Leonidas H."},{"family":"Yen","given":"Paul Michael"}],"issued":{"date-parts":[["2019",10]]}}}],"schema":"https://github.com/citation-style-language/schema/raw/master/csl-citation.json"} </w:instrText>
      </w:r>
      <w:r w:rsidR="00D346F5" w:rsidRPr="00EE10C7">
        <w:fldChar w:fldCharType="separate"/>
      </w:r>
      <w:r w:rsidR="00D346F5" w:rsidRPr="00EE10C7">
        <w:rPr>
          <w:noProof/>
        </w:rPr>
        <w:t>(40)</w:t>
      </w:r>
      <w:r w:rsidR="00D346F5" w:rsidRPr="00EE10C7">
        <w:fldChar w:fldCharType="end"/>
      </w:r>
      <w:r w:rsidR="00D346F5" w:rsidRPr="00EE10C7">
        <w:t xml:space="preserve">. </w:t>
      </w:r>
    </w:p>
    <w:p w14:paraId="79819F3A" w14:textId="3A26789D" w:rsidR="00494D76" w:rsidRDefault="00485D37" w:rsidP="00DD4F7C">
      <w:pPr>
        <w:spacing w:line="360" w:lineRule="auto"/>
        <w:jc w:val="both"/>
        <w:rPr>
          <w:color w:val="282323"/>
        </w:rPr>
      </w:pPr>
      <w:r w:rsidRPr="00846E3F">
        <w:t xml:space="preserve">     </w:t>
      </w:r>
      <w:r w:rsidR="00D346F5" w:rsidRPr="00846E3F">
        <w:t>Anormalidades cardiovasculares, dislipidemia, alterações metabólicas e declínio cognitivo</w:t>
      </w:r>
      <w:r w:rsidR="00D346F5">
        <w:t xml:space="preserve"> são </w:t>
      </w:r>
      <w:r w:rsidR="00D346F5" w:rsidRPr="004139B1">
        <w:t>desfechos clínicos associados ao diagnóstico de</w:t>
      </w:r>
      <w:r w:rsidR="00A526EC">
        <w:t xml:space="preserve"> hipotireoidismo subclínico</w:t>
      </w:r>
      <w:r w:rsidR="00D346F5" w:rsidRPr="004139B1">
        <w:t xml:space="preserve"> na população adulta</w:t>
      </w:r>
      <w:r w:rsidR="00DD4F7C">
        <w:t>, mas, numa população idosa, es</w:t>
      </w:r>
      <w:r w:rsidR="00EE10C7">
        <w:t>s</w:t>
      </w:r>
      <w:r w:rsidR="00DD4F7C">
        <w:t>es resultados parecem não ser reproduz</w:t>
      </w:r>
      <w:r w:rsidR="00976D75">
        <w:t>íveis</w:t>
      </w:r>
      <w:r w:rsidR="00D346F5" w:rsidRPr="004139B1">
        <w:t xml:space="preserve"> </w:t>
      </w:r>
      <w:r w:rsidR="00D346F5" w:rsidRPr="004139B1">
        <w:fldChar w:fldCharType="begin"/>
      </w:r>
      <w:r w:rsidR="00344DCD">
        <w:instrText xml:space="preserve"> ADDIN ZOTERO_ITEM CSL_CITATION {"citationID":"FbqdPztJ","properties":{"unsorted":true,"formattedCitation":"(40,59,60)","plainCitation":"(40,59,60)","noteIndex":0},"citationItems":[{"id":74,"uris":["http://zotero.org/users/7110448/items/YLMZUE6Z"],"itemData":{"id":74,"type":"article-journal","abstract":"The global population is aging with millions of people today living into their 90 s. Thyroid disease, particularly hypothyroidism, is widespread among all age groups, and it is expected to steadily increase as the population gets older. Clinical diagnosis of hypothyroidism is challenging, as the TSH reference range needs to be evaluated according to age, while evaluation of TSH levels must also take into account body weight and other variants such as polypharmacy, comorbidities, and general health condition. Since thyroid hormone has a potent regulatory effect on cholesterol metabolism, the possibility of thyroid dysfunction should be considered in cases of unexplained dyslipidemia. Once hypothyroidism has been conﬁrmed, treatment requires caution, frequent cardiovascular monitoring, and individualized (precision) medicine. Treatment of subclinical hypothyroidism (SCH) in the elderly should be undertaken with care, guided by age and the degree of SCH: a TSH higher than 10 mU/l seems a reasonable threshold, though it should be regularly re-evaluated, while the LT4 dose needs to be tailored, taking into account the patient’s health condition and the potential presence of dyslipidemia as well as other metabolic derangements.","container-title":"Endocrine","DOI":"10.1007/s12020-019-02067-9","ISSN":"1355-008X, 1559-0100","issue":"1","journalAbbreviation":"Endocrine","language":"en","page":"63-69","source":"DOI.org (Crossref)","title":"Diagnosis and treatment of hypothyroidism in the elderly","volume":"66","author":[{"family":"Duntas","given":"Leonidas H."},{"family":"Yen","given":"Paul Michael"}],"issued":{"date-parts":[["2019",10]]}},"label":"page"},{"id":1712,"uris":["http://zotero.org/users/7110448/items/DQEH49ZP"],"itemData":{"id":1712,"type":"article-journal","abstract":"OBJECTIVES: To determine the impact of subclinical hypothyroidism (SCH) on the risk of cardiovascular disease (CVD) and all-cause mortality, a comprehensive meta-analysis was performed according to the age or coexisting CVD risk status of the participants.\nMETHODS: Studies regarding the association of SCH with all-cause mortality from PubMed and Embase databases were included. The pooled relative risk (RR) of CVD and all-cause mortality was calculated using the Mantel-Haenszel method. A subgroup analysis of participants with high CVD risk was conducted, including history of coronary, cerebral, or peripheral artery disease; dilated cardiomyopathy; heart failure; atrial fibrillation; venous thromboembolism; diabetes mellitus; or chronic kidney disease.\nRESULTS: In total, 35 eligible articles incorporating 555,530 participants were included. SCH was modestly associated with CVD and all-cause mortality (RR for CVD = 1.33 [confidence interval (CI) 1.14-1.54]; RR for all-cause mortality = 1.20 [CI 1.07-1.34]). However, the association was not observed in participants aged ≥65 years. Subgroup analysis showed that participants with SCH and high CVD risk showed a significantly higher risk of all-cause mortality (RR for CVD = 2.20 [CI 1.28-3.77]; RR for all-cause mortality = 1.66 [CI 1.41-1.94]), whereas those with SCH and low CVD risk did not. Additional subgroup analysis of six studies with a mean participant age of ≥65 years and high CVD risk showed a significant high risk of all-cause mortality in the SCH group (RR = 1.41 [CI 1.08-1.85]; I2 = 0%).\nCONCLUSIONS: SCH is associated with an increased CVD risk and all-cause mortality, particularly in participants with high CVD risk.","container-title":"Thyroid: Official Journal of the American Thyroid Association","DOI":"10.1089/thy.2017.0414","ISSN":"1557-9077","issue":"9","journalAbbreviation":"Thyroid","language":"eng","note":"PMID: 29978767","page":"1101-1110","source":"PubMed","title":"Subclinical Hypothyroidism and the Risk of Cardiovascular Disease and All-Cause Mortality: A Meta-Analysis of Prospective Cohort Studies","title-short":"Subclinical Hypothyroidism and the Risk of Cardiovascular Disease and All-Cause Mortality","volume":"28","author":[{"family":"Moon","given":"Shinje"},{"family":"Kim","given":"Min Joo"},{"family":"Yu","given":"Jae Myung"},{"family":"Yoo","given":"Hyung Joon"},{"family":"Park","given":"Young Joo"}],"issued":{"date-parts":[["2018",9]]}},"label":"page"},{"id":1734,"uris":["http://zotero.org/users/7110448/items/8UY9APLE"],"itemData":{"id":1734,"type":"article-journal","abstract":"The prevalence of subclinical hypothyroidism (SCH) ranges from 5 to 15% of the general population. However, it remains controversial if SCH warrants life-long thyroxine replacement therapy. Patients with a thyroid-stimulating hormone (TSH) level &gt; 10 mIU/L have a higher risk of developing heart failure with reduced ejection fraction as compared to subjects with normal thyroid function. However, abnormally high TSH levels could also be connected with an overall lower metabolic rate and better survival in elderly subjects. The potential mechanisms responsible for diastolic dysfunction of the left ventricle (LV) in SCH are connected with endothelial dysfunction and arterial stiffness, inflammatory state and are driven by TSH apoptosis-derived microparticles. The impact of SCH on LV systolic function is more controversial, and it is connected not only with cardiac remodelling but also with predisposition of patients with SCH to the conditions leading to heart failure. This review presents an overview of processes in the context of potential benefits of thyroxine supplementation therapy.","container-title":"Clinical Research in Cardiology: Official Journal of the German Cardiac Society","DOI":"10.1007/s00392-018-1340-1","ISSN":"1861-0692","issue":"3","journalAbbreviation":"Clin Res Cardiol","language":"eng","note":"PMID: 30091084","page":"225-233","source":"PubMed","title":"Subclinical hypothyroidism and the development of heart failure: an overview of risk and effects on cardiac function","title-short":"Subclinical hypothyroidism and the development of heart failure","volume":"108","author":[{"family":"Bielecka-Dabrowa","given":"Agata"},{"family":"Godoy","given":"Breno"},{"family":"Suzuki","given":"Tsuyoshi"},{"family":"Banach","given":"Maciej"},{"family":"Haehling","given":"Stephan","non-dropping-particle":"von"}],"issued":{"date-parts":[["2019",3]]}},"label":"page"}],"schema":"https://github.com/citation-style-language/schema/raw/master/csl-citation.json"} </w:instrText>
      </w:r>
      <w:r w:rsidR="00D346F5" w:rsidRPr="004139B1">
        <w:fldChar w:fldCharType="separate"/>
      </w:r>
      <w:r w:rsidR="004139B1" w:rsidRPr="004139B1">
        <w:rPr>
          <w:noProof/>
        </w:rPr>
        <w:t>(40,59,60)</w:t>
      </w:r>
      <w:r w:rsidR="00D346F5" w:rsidRPr="004139B1">
        <w:fldChar w:fldCharType="end"/>
      </w:r>
      <w:r w:rsidR="004139B1" w:rsidRPr="004139B1">
        <w:t xml:space="preserve">. </w:t>
      </w:r>
      <w:r w:rsidR="004139B1" w:rsidRPr="004139B1">
        <w:rPr>
          <w:color w:val="282323"/>
        </w:rPr>
        <w:t>Gussekloo e</w:t>
      </w:r>
      <w:r w:rsidR="007368F6">
        <w:rPr>
          <w:color w:val="282323"/>
        </w:rPr>
        <w:t xml:space="preserve"> colaboradores</w:t>
      </w:r>
      <w:r w:rsidR="007217C4">
        <w:rPr>
          <w:color w:val="282323"/>
        </w:rPr>
        <w:t xml:space="preserve"> (22)</w:t>
      </w:r>
      <w:r w:rsidR="004139B1" w:rsidRPr="004139B1">
        <w:rPr>
          <w:color w:val="282323"/>
        </w:rPr>
        <w:t xml:space="preserve">, </w:t>
      </w:r>
      <w:r w:rsidR="00EE10C7">
        <w:rPr>
          <w:color w:val="282323"/>
        </w:rPr>
        <w:t>em</w:t>
      </w:r>
      <w:r w:rsidR="004139B1" w:rsidRPr="004139B1">
        <w:rPr>
          <w:color w:val="282323"/>
        </w:rPr>
        <w:t xml:space="preserve"> estudo prospectivo e observacional, derivado do </w:t>
      </w:r>
      <w:proofErr w:type="spellStart"/>
      <w:r w:rsidR="004139B1" w:rsidRPr="004139B1">
        <w:rPr>
          <w:i/>
          <w:color w:val="282323"/>
        </w:rPr>
        <w:t>Leidein</w:t>
      </w:r>
      <w:proofErr w:type="spellEnd"/>
      <w:r w:rsidR="004139B1" w:rsidRPr="004139B1">
        <w:rPr>
          <w:i/>
          <w:color w:val="282323"/>
        </w:rPr>
        <w:t xml:space="preserve"> 85-Plus Study</w:t>
      </w:r>
      <w:r w:rsidR="004139B1" w:rsidRPr="004139B1">
        <w:rPr>
          <w:color w:val="282323"/>
        </w:rPr>
        <w:t xml:space="preserve">, </w:t>
      </w:r>
      <w:r w:rsidR="006D43B3">
        <w:rPr>
          <w:color w:val="282323"/>
        </w:rPr>
        <w:t xml:space="preserve">avaliou </w:t>
      </w:r>
      <w:r w:rsidR="004139B1" w:rsidRPr="004139B1">
        <w:rPr>
          <w:color w:val="282323"/>
        </w:rPr>
        <w:t>HSC</w:t>
      </w:r>
      <w:r w:rsidR="006D43B3">
        <w:rPr>
          <w:color w:val="282323"/>
        </w:rPr>
        <w:t xml:space="preserve">, </w:t>
      </w:r>
      <w:r w:rsidR="004139B1" w:rsidRPr="004139B1">
        <w:rPr>
          <w:color w:val="282323"/>
        </w:rPr>
        <w:t xml:space="preserve">função cognitiva e sobrevida em adultos </w:t>
      </w:r>
      <w:r w:rsidR="004139B1" w:rsidRPr="00C45D65">
        <w:rPr>
          <w:color w:val="282323"/>
        </w:rPr>
        <w:t xml:space="preserve">octogenários. Um total de 599 indivíduos foram acompanhados por 3,7 anos, com função tireoidiana sendo avaliada em relação </w:t>
      </w:r>
      <w:r w:rsidR="00EE10C7">
        <w:rPr>
          <w:color w:val="282323"/>
        </w:rPr>
        <w:t>a</w:t>
      </w:r>
      <w:r w:rsidR="00EE10C7" w:rsidRPr="00C45D65">
        <w:rPr>
          <w:color w:val="282323"/>
        </w:rPr>
        <w:t xml:space="preserve"> </w:t>
      </w:r>
      <w:r w:rsidR="004139B1" w:rsidRPr="00C45D65">
        <w:rPr>
          <w:color w:val="282323"/>
        </w:rPr>
        <w:t xml:space="preserve">desfechos clínicos como depressão, deficiência nas atividades de vida diária, </w:t>
      </w:r>
      <w:r w:rsidR="004139B1" w:rsidRPr="00C45D65">
        <w:rPr>
          <w:color w:val="282323"/>
        </w:rPr>
        <w:lastRenderedPageBreak/>
        <w:t xml:space="preserve">função cognitiva e mortalidade. Demonstrou-se que a elevação do TSH não </w:t>
      </w:r>
      <w:r w:rsidR="006D43B3" w:rsidRPr="00C45D65">
        <w:rPr>
          <w:color w:val="282323"/>
        </w:rPr>
        <w:t>esteve associada a</w:t>
      </w:r>
      <w:r w:rsidR="004139B1" w:rsidRPr="00C45D65">
        <w:rPr>
          <w:color w:val="282323"/>
        </w:rPr>
        <w:t xml:space="preserve"> efeitos adversos na saúde</w:t>
      </w:r>
      <w:r w:rsidR="00982838" w:rsidRPr="00C45D65">
        <w:rPr>
          <w:color w:val="282323"/>
        </w:rPr>
        <w:t xml:space="preserve"> </w:t>
      </w:r>
      <w:r w:rsidR="00EE10C7">
        <w:rPr>
          <w:color w:val="282323"/>
        </w:rPr>
        <w:t>d</w:t>
      </w:r>
      <w:r w:rsidR="00982838" w:rsidRPr="00C45D65">
        <w:rPr>
          <w:color w:val="282323"/>
        </w:rPr>
        <w:t>a população estudada</w:t>
      </w:r>
      <w:r w:rsidR="006D43B3" w:rsidRPr="00C45D65">
        <w:rPr>
          <w:color w:val="282323"/>
        </w:rPr>
        <w:t xml:space="preserve"> </w:t>
      </w:r>
      <w:r w:rsidR="00193D62" w:rsidRPr="00C45D65">
        <w:rPr>
          <w:color w:val="282323"/>
        </w:rPr>
        <w:fldChar w:fldCharType="begin"/>
      </w:r>
      <w:r w:rsidR="004C3BF7">
        <w:rPr>
          <w:color w:val="282323"/>
        </w:rPr>
        <w:instrText xml:space="preserve"> ADDIN ZOTERO_ITEM CSL_CITATION {"citationID":"0m9lYhgO","properties":{"formattedCitation":"(22)","plainCitation":"(22)","noteIndex":0},"citationItems":[{"id":1138,"uris":["http://zotero.org/users/7110448/items/I7D5W5HQ"],"itemData":{"id":1138,"type":"article-journal","abstract":"CONTEXT: Despite the equivocal outcomes of randomized controlled trials, general clinical opinion favors screening and treatment of elderly individuals with subclinical thyroid disorders.\nOBJECTIVES: To determine whether subclinical thyroid dysfunction should be treated in old age and the long-term impact of thyroid dysfunction on performance and survival in old age.\nDESIGN, SETTING, AND PARTICIPANTS: A prospective, observational, population-based follow-up study within the Leiden 85-Plus Study of 87% of a 2-year birth cohort (1912-1914) in the municipality of Leiden, the Netherlands. A total of 599 participants were followed up from age 85 years through age 89 years (mean [SD] follow-up, 3.7 [1.4] years).\nMAIN OUTCOME MEASURES: Complete thyroid status at baseline; disability in daily life, depressive symptoms, cognitive function, and mortality from age 85 years through 89 years.\nRESULTS: Plasma levels of thyrotropin and free thyroxine were not associated with disability in daily life, depressive symptoms, and cognitive impairment at baseline or during follow-up. Increasing levels of thyrotropin were associated with a lower mortality rate that remained after adjustments were made for baseline disability and health status. The hazard ratio (HR) for mortality per SD increase of 2.71 mIU/L of thyrotropin was 0.77 (95% confidence interval [CI], 0.63-0.94; P = .009). The HR for mortality per SD increase of 0.21 ng/dL (2.67 pmol/L) of free thyroxine increased 1.16-fold (95% CI, 1.04-1.30; P = .009).\nCONCLUSIONS: In the general population of the oldest old, elderly individuals with abnormally high levels of thyrotropin do not experience adverse effects and may have a prolonged life span. However, evidence for not treating elderly individuals can only come from a well-designed, randomized placebo-controlled clinical trial.","container-title":"JAMA","DOI":"10.1001/jama.292.21.2591","ISSN":"1538-3598","issue":"21","journalAbbreviation":"JAMA","language":"eng","note":"PMID: 15572717","page":"2591-2599","source":"PubMed","title":"Thyroid status, disability and cognitive function, and survival in old age","volume":"292","author":[{"family":"Gussekloo","given":"Jacobijn"},{"family":"Exel","given":"Eric","non-dropping-particle":"van"},{"family":"Craen","given":"Anton J. M.","non-dropping-particle":"de"},{"family":"Meinders","given":"Arend E."},{"family":"Frölich","given":"Marijke"},{"family":"Westendorp","given":"Rudi G. J."}],"issued":{"date-parts":[["2004",12,1]]}}}],"schema":"https://github.com/citation-style-language/schema/raw/master/csl-citation.json"} </w:instrText>
      </w:r>
      <w:r w:rsidR="00193D62" w:rsidRPr="00C45D65">
        <w:rPr>
          <w:color w:val="282323"/>
        </w:rPr>
        <w:fldChar w:fldCharType="separate"/>
      </w:r>
      <w:r w:rsidR="00193D62" w:rsidRPr="00C45D65">
        <w:rPr>
          <w:noProof/>
          <w:color w:val="282323"/>
        </w:rPr>
        <w:t>(22)</w:t>
      </w:r>
      <w:r w:rsidR="00193D62" w:rsidRPr="00C45D65">
        <w:rPr>
          <w:color w:val="282323"/>
        </w:rPr>
        <w:fldChar w:fldCharType="end"/>
      </w:r>
      <w:r w:rsidR="00193D62" w:rsidRPr="00C45D65">
        <w:rPr>
          <w:color w:val="282323"/>
        </w:rPr>
        <w:t xml:space="preserve">. </w:t>
      </w:r>
    </w:p>
    <w:p w14:paraId="350C4A9B" w14:textId="7DAB6C02" w:rsidR="009C301D" w:rsidRDefault="00485D37" w:rsidP="00EE10C7">
      <w:pPr>
        <w:spacing w:line="360" w:lineRule="auto"/>
        <w:jc w:val="both"/>
        <w:rPr>
          <w:color w:val="282323"/>
        </w:rPr>
      </w:pPr>
      <w:r>
        <w:rPr>
          <w:color w:val="282323"/>
        </w:rPr>
        <w:t xml:space="preserve">     </w:t>
      </w:r>
      <w:r w:rsidR="00494D76">
        <w:rPr>
          <w:color w:val="282323"/>
        </w:rPr>
        <w:t xml:space="preserve">Apesar do </w:t>
      </w:r>
      <w:r w:rsidR="00A526EC">
        <w:rPr>
          <w:color w:val="282323"/>
        </w:rPr>
        <w:t>hipotireoidismo subclínico</w:t>
      </w:r>
      <w:r w:rsidR="00494D76">
        <w:rPr>
          <w:color w:val="282323"/>
        </w:rPr>
        <w:t xml:space="preserve"> ter sido associado a desfechos negativos cardiovasculares, metabólicos, no </w:t>
      </w:r>
      <w:r w:rsidR="00494D76" w:rsidRPr="00171DB0">
        <w:rPr>
          <w:color w:val="282323"/>
        </w:rPr>
        <w:t xml:space="preserve">humor e </w:t>
      </w:r>
      <w:r w:rsidR="00EE10C7">
        <w:rPr>
          <w:color w:val="282323"/>
        </w:rPr>
        <w:t xml:space="preserve">na </w:t>
      </w:r>
      <w:r w:rsidR="00494D76" w:rsidRPr="00171DB0">
        <w:rPr>
          <w:color w:val="282323"/>
        </w:rPr>
        <w:t>gravidez</w:t>
      </w:r>
      <w:r w:rsidR="000A3514">
        <w:rPr>
          <w:color w:val="282323"/>
        </w:rPr>
        <w:t xml:space="preserve"> em população adulta, </w:t>
      </w:r>
      <w:r w:rsidR="00494D76" w:rsidRPr="00171DB0">
        <w:rPr>
          <w:color w:val="282323"/>
        </w:rPr>
        <w:t xml:space="preserve">o real benefício do tratamento com levotiroxina é controverso </w:t>
      </w:r>
      <w:r w:rsidR="00494D76" w:rsidRPr="00171DB0">
        <w:rPr>
          <w:color w:val="282323"/>
        </w:rPr>
        <w:fldChar w:fldCharType="begin"/>
      </w:r>
      <w:r w:rsidR="00344DCD">
        <w:rPr>
          <w:color w:val="282323"/>
        </w:rPr>
        <w:instrText xml:space="preserve"> ADDIN ZOTERO_ITEM CSL_CITATION {"citationID":"EEKfdJRr","properties":{"formattedCitation":"(61)","plainCitation":"(61)","noteIndex":0},"citationItems":[{"id":1723,"uris":["http://zotero.org/users/7110448/items/H3EWQIAF"],"itemData":{"id":1723,"type":"article-journal","abstract":"A comprehensive systematic review has recommended decreasing the number of individuals who receive treatment for subclinical hypothyroidism; however, data included in the study are extremely limited for young individuals. Extrapolating data from older individuals is perhaps unwise; therefore, the onus should be on the urgent need for further research.","container-title":"Nature reviews. Endocrinology","DOI":"10.1038/s41574-019-0239-x","ISSN":"1759-5029","issue":"9","journalAbbreviation":"Nat Rev Endocrinol","note":"PMID: 31300726\nPMCID: PMC7309559","page":"503-504","source":"PubMed Central","title":"Urgent need for further research in subclinical hypothyroidism","volume":"15","author":[{"family":"Taylor","given":"Peter"},{"family":"Bianco","given":"Antonio C."}],"issued":{"date-parts":[["2019",9]]}}}],"schema":"https://github.com/citation-style-language/schema/raw/master/csl-citation.json"} </w:instrText>
      </w:r>
      <w:r w:rsidR="00494D76" w:rsidRPr="00171DB0">
        <w:rPr>
          <w:color w:val="282323"/>
        </w:rPr>
        <w:fldChar w:fldCharType="separate"/>
      </w:r>
      <w:r w:rsidR="00494D76" w:rsidRPr="00171DB0">
        <w:rPr>
          <w:noProof/>
          <w:color w:val="282323"/>
        </w:rPr>
        <w:t>(61)</w:t>
      </w:r>
      <w:r w:rsidR="00494D76" w:rsidRPr="00171DB0">
        <w:rPr>
          <w:color w:val="282323"/>
        </w:rPr>
        <w:fldChar w:fldCharType="end"/>
      </w:r>
      <w:r w:rsidR="00494D76" w:rsidRPr="00171DB0">
        <w:rPr>
          <w:color w:val="282323"/>
        </w:rPr>
        <w:t>.</w:t>
      </w:r>
      <w:r w:rsidR="000A3514">
        <w:rPr>
          <w:color w:val="282323"/>
        </w:rPr>
        <w:t xml:space="preserve"> </w:t>
      </w:r>
      <w:r w:rsidR="00171DB0" w:rsidRPr="00171DB0">
        <w:rPr>
          <w:color w:val="282323"/>
        </w:rPr>
        <w:t>As evid</w:t>
      </w:r>
      <w:r w:rsidR="007368F6">
        <w:rPr>
          <w:color w:val="282323"/>
        </w:rPr>
        <w:t>ê</w:t>
      </w:r>
      <w:r w:rsidR="00171DB0" w:rsidRPr="00171DB0">
        <w:rPr>
          <w:color w:val="282323"/>
        </w:rPr>
        <w:t>ncias sugerem que o</w:t>
      </w:r>
      <w:r w:rsidR="00494D76" w:rsidRPr="00171DB0">
        <w:rPr>
          <w:color w:val="282323"/>
        </w:rPr>
        <w:t xml:space="preserve"> nível do TSH</w:t>
      </w:r>
      <w:r w:rsidR="00171DB0" w:rsidRPr="00171DB0">
        <w:rPr>
          <w:color w:val="282323"/>
        </w:rPr>
        <w:t xml:space="preserve"> e </w:t>
      </w:r>
      <w:r w:rsidR="00494D76" w:rsidRPr="00171DB0">
        <w:rPr>
          <w:color w:val="282323"/>
        </w:rPr>
        <w:t xml:space="preserve">idade </w:t>
      </w:r>
      <w:r w:rsidR="00171DB0" w:rsidRPr="00171DB0">
        <w:rPr>
          <w:color w:val="282323"/>
        </w:rPr>
        <w:t xml:space="preserve">podem auxiliar na identificação de indivíduos </w:t>
      </w:r>
      <w:r w:rsidR="00921CCB">
        <w:rPr>
          <w:color w:val="282323"/>
        </w:rPr>
        <w:t>que se beneficiariam do</w:t>
      </w:r>
      <w:r w:rsidR="00171DB0" w:rsidRPr="00171DB0">
        <w:rPr>
          <w:color w:val="282323"/>
        </w:rPr>
        <w:t xml:space="preserve"> tratamento </w:t>
      </w:r>
      <w:r w:rsidR="00171DB0" w:rsidRPr="00171DB0">
        <w:rPr>
          <w:color w:val="282323"/>
        </w:rPr>
        <w:fldChar w:fldCharType="begin"/>
      </w:r>
      <w:r w:rsidR="00344DCD">
        <w:rPr>
          <w:color w:val="282323"/>
        </w:rPr>
        <w:instrText xml:space="preserve"> ADDIN ZOTERO_ITEM CSL_CITATION {"citationID":"HVVRjIiU","properties":{"formattedCitation":"(61)","plainCitation":"(61)","noteIndex":0},"citationItems":[{"id":1723,"uris":["http://zotero.org/users/7110448/items/H3EWQIAF"],"itemData":{"id":1723,"type":"article-journal","abstract":"A comprehensive systematic review has recommended decreasing the number of individuals who receive treatment for subclinical hypothyroidism; however, data included in the study are extremely limited for young individuals. Extrapolating data from older individuals is perhaps unwise; therefore, the onus should be on the urgent need for further research.","container-title":"Nature reviews. Endocrinology","DOI":"10.1038/s41574-019-0239-x","ISSN":"1759-5029","issue":"9","journalAbbreviation":"Nat Rev Endocrinol","note":"PMID: 31300726\nPMCID: PMC7309559","page":"503-504","source":"PubMed Central","title":"Urgent need for further research in subclinical hypothyroidism","volume":"15","author":[{"family":"Taylor","given":"Peter"},{"family":"Bianco","given":"Antonio C."}],"issued":{"date-parts":[["2019",9]]}}}],"schema":"https://github.com/citation-style-language/schema/raw/master/csl-citation.json"} </w:instrText>
      </w:r>
      <w:r w:rsidR="00171DB0" w:rsidRPr="00171DB0">
        <w:rPr>
          <w:color w:val="282323"/>
        </w:rPr>
        <w:fldChar w:fldCharType="separate"/>
      </w:r>
      <w:r w:rsidR="00171DB0" w:rsidRPr="00171DB0">
        <w:rPr>
          <w:noProof/>
          <w:color w:val="282323"/>
        </w:rPr>
        <w:t>(61)</w:t>
      </w:r>
      <w:r w:rsidR="00171DB0" w:rsidRPr="00171DB0">
        <w:rPr>
          <w:color w:val="282323"/>
        </w:rPr>
        <w:fldChar w:fldCharType="end"/>
      </w:r>
      <w:r w:rsidR="00AA634C">
        <w:rPr>
          <w:color w:val="282323"/>
        </w:rPr>
        <w:t xml:space="preserve">. O estudo TRUST </w:t>
      </w:r>
      <w:r w:rsidR="00D000EB">
        <w:rPr>
          <w:color w:val="282323"/>
        </w:rPr>
        <w:t>teve como objetivo avaliar benefícios clínicos do tratamento com levotiroxina em idosos com HSC. Foram avaliados 737 indivíduos com idade a partir de 65 anos (média de 74,4 anos)</w:t>
      </w:r>
      <w:r w:rsidR="00EE10C7">
        <w:rPr>
          <w:color w:val="282323"/>
        </w:rPr>
        <w:t>,</w:t>
      </w:r>
      <w:r w:rsidR="00D000EB">
        <w:rPr>
          <w:color w:val="282323"/>
        </w:rPr>
        <w:t xml:space="preserve"> com HSC persistente (TSH entre 4,6 a 19,99 </w:t>
      </w:r>
      <w:proofErr w:type="spellStart"/>
      <w:r w:rsidR="00D000EB">
        <w:rPr>
          <w:color w:val="282323"/>
        </w:rPr>
        <w:t>mUI</w:t>
      </w:r>
      <w:proofErr w:type="spellEnd"/>
      <w:r w:rsidR="00D000EB">
        <w:rPr>
          <w:color w:val="282323"/>
        </w:rPr>
        <w:t>/L</w:t>
      </w:r>
      <w:r w:rsidR="006C694E">
        <w:rPr>
          <w:color w:val="282323"/>
        </w:rPr>
        <w:t xml:space="preserve"> e T4l dentro do valor de referencia).</w:t>
      </w:r>
      <w:r w:rsidR="00921CCB">
        <w:rPr>
          <w:color w:val="282323"/>
        </w:rPr>
        <w:t xml:space="preserve"> </w:t>
      </w:r>
      <w:r w:rsidR="007368F6">
        <w:rPr>
          <w:color w:val="282323"/>
        </w:rPr>
        <w:t xml:space="preserve">Grupo com </w:t>
      </w:r>
      <w:r w:rsidR="006C694E">
        <w:rPr>
          <w:color w:val="282323"/>
        </w:rPr>
        <w:t>368 participantes recebe</w:t>
      </w:r>
      <w:r w:rsidR="007368F6">
        <w:rPr>
          <w:color w:val="282323"/>
        </w:rPr>
        <w:t>u</w:t>
      </w:r>
      <w:r w:rsidR="006C694E">
        <w:rPr>
          <w:color w:val="282323"/>
        </w:rPr>
        <w:t xml:space="preserve"> levotiroxina e </w:t>
      </w:r>
      <w:r w:rsidR="007368F6">
        <w:rPr>
          <w:color w:val="282323"/>
        </w:rPr>
        <w:t>outro</w:t>
      </w:r>
      <w:r w:rsidR="00EE10C7">
        <w:rPr>
          <w:color w:val="282323"/>
        </w:rPr>
        <w:t>,</w:t>
      </w:r>
      <w:r w:rsidR="007368F6">
        <w:rPr>
          <w:color w:val="282323"/>
        </w:rPr>
        <w:t xml:space="preserve"> com </w:t>
      </w:r>
      <w:r w:rsidR="006C694E">
        <w:rPr>
          <w:color w:val="282323"/>
        </w:rPr>
        <w:t>369, placebo. Os desfechos primários foram mudança na pontuação dos sintomas de hipotireoidismo e de cansaço</w:t>
      </w:r>
      <w:r w:rsidR="00EE10C7">
        <w:rPr>
          <w:color w:val="282323"/>
        </w:rPr>
        <w:t>,</w:t>
      </w:r>
      <w:r w:rsidR="006C694E">
        <w:rPr>
          <w:color w:val="282323"/>
        </w:rPr>
        <w:t xml:space="preserve"> a partir </w:t>
      </w:r>
      <w:r w:rsidR="006C694E" w:rsidRPr="005A144C">
        <w:rPr>
          <w:color w:val="282323"/>
        </w:rPr>
        <w:t>de questionário para avaliação d</w:t>
      </w:r>
      <w:r w:rsidR="0072177F">
        <w:rPr>
          <w:color w:val="282323"/>
        </w:rPr>
        <w:t>a</w:t>
      </w:r>
      <w:r w:rsidR="006C694E" w:rsidRPr="005A144C">
        <w:rPr>
          <w:color w:val="282323"/>
        </w:rPr>
        <w:t xml:space="preserve"> qualidade de vida (</w:t>
      </w:r>
      <w:proofErr w:type="spellStart"/>
      <w:r w:rsidR="005A144C" w:rsidRPr="005A144C">
        <w:rPr>
          <w:color w:val="282323"/>
        </w:rPr>
        <w:t>ThyPRO</w:t>
      </w:r>
      <w:proofErr w:type="spellEnd"/>
      <w:r w:rsidR="006C694E" w:rsidRPr="005A144C">
        <w:rPr>
          <w:color w:val="282323"/>
        </w:rPr>
        <w:t>). Os resultados não demo</w:t>
      </w:r>
      <w:r w:rsidR="00EE10C7">
        <w:rPr>
          <w:color w:val="282323"/>
        </w:rPr>
        <w:t>n</w:t>
      </w:r>
      <w:r w:rsidR="006C694E" w:rsidRPr="005A144C">
        <w:rPr>
          <w:color w:val="282323"/>
        </w:rPr>
        <w:t>straram benefícios clínicos em idosos com HSC</w:t>
      </w:r>
      <w:r w:rsidR="00EE10C7">
        <w:rPr>
          <w:color w:val="282323"/>
        </w:rPr>
        <w:t>,</w:t>
      </w:r>
      <w:r w:rsidR="006C694E" w:rsidRPr="005A144C">
        <w:rPr>
          <w:color w:val="282323"/>
        </w:rPr>
        <w:t xml:space="preserve"> </w:t>
      </w:r>
      <w:r w:rsidR="00921CCB" w:rsidRPr="005A144C">
        <w:rPr>
          <w:color w:val="282323"/>
        </w:rPr>
        <w:t xml:space="preserve">após tratamento com levotiroxina </w:t>
      </w:r>
      <w:r w:rsidR="00921CCB" w:rsidRPr="005A144C">
        <w:rPr>
          <w:color w:val="282323"/>
        </w:rPr>
        <w:fldChar w:fldCharType="begin"/>
      </w:r>
      <w:r w:rsidR="00344DCD">
        <w:rPr>
          <w:color w:val="282323"/>
        </w:rPr>
        <w:instrText xml:space="preserve"> ADDIN ZOTERO_ITEM CSL_CITATION {"citationID":"c6DgNfvW","properties":{"formattedCitation":"(62,63)","plainCitation":"(62,63)","noteIndex":0},"citationItems":[{"id":1748,"uris":["http://zotero.org/users/7110448/items/2HYIMPJ3"],"itemData":{"id":1748,"type":"article-journal","abstract":"Background\nSubclinical hypothyroidism (SCH) is a common condition in elderly people, defined as elevated serum thyroid-stimulating hormone (TSH) with normal circulating free thyroxine (fT4). Evidence is lacking about the effect of thyroid hormone treatment. We describe the protocol of a large randomised controlled trial (RCT) of Levothyroxine treatment for SCH.\n\nMethods\nParticipants are community-dwelling subjects aged ≥65 years with SCH, diagnosed by elevated TSH levels (≥4.6 and ≤19.9 mU/L) on a minimum of two measures ≥ three months apart, with fT4 levels within laboratory reference range. The study is a randomised double-blind placebo-controlled parallel group trial, starting with levothyroxine 50 micrograms daily (25 micrograms in subjects &lt;50Kg body weight or known coronary heart disease) with titration of dose in the active treatment group according to TSH level, and a mock titration in the placebo group. The primary outcomes are changes in two domains (hypothyroid symptoms and fatigue / vitality) on the thyroid-related quality of life questionnaire (ThyPRO) at one year. The study has 80% power (at p = 0.025, 2-tailed) to detect a change with levothyroxine treatment of 3.0% on the hypothyroid scale and 4.1% on the fatigue / vitality scale with a total target sample size of 750 patients., Secondary outcomes include general health-related quality of life (EuroQol), fatal and non-fatal cardiovascular events, handgrip strength, executive cognitive function (Letter Digit Coding Test), basic and instrumental activities of daily living, haemoglobin, blood pressure, weight, body mass index and waist circumference. Patients are monitored for specific adverse events of interest including incident atrial fibrillation, heart failure and bone fracture.\n\nDiscussion\nThis large multicentre RCT of levothyroxine treatment of subclinical hypothyroidism is powered to detect clinically relevant change in symptoms / quality of life and is likely to be highly influential in guiding treatment of this common condition.\n\nTrial registration\nClinicaltrials.gov NCT01660126; registered 8th June 2012.\n\nElectronic supplementary material\nThe online version of this article (doi:10.1186/s12902-017-0156-8) contains supplementary material, which is available to authorized users.","container-title":"BMC Endocrine Disorders","DOI":"10.1186/s12902-017-0156-8","ISSN":"1472-6823","journalAbbreviation":"BMC Endocr Disord","note":"PMID: 28158982\nPMCID: PMC5291970","page":"6","source":"PubMed Central","title":"Study protocol; Thyroid hormone Replacement for Untreated older adults with Subclinical hypothyroidism - a randomised placebo controlled Trial (TRUST)","volume":"17","author":[{"family":"Stott","given":"David J."},{"family":"Gussekloo","given":"Jacobijn"},{"family":"Kearney","given":"Patricia M."},{"family":"Rodondi","given":"Nicolas"},{"family":"Westendorp","given":"Rudi G. J."},{"family":"Mooijaart","given":"Simon"},{"family":"Kean","given":"Sharon"},{"family":"Quinn","given":"Terence J."},{"family":"Sattar","given":"Naveed"},{"family":"Hendry","given":"Kirsty"},{"family":"Du Puy","given":"Robert"},{"family":"Den Elzen","given":"Wendy P. J."},{"family":"Poortvliet","given":"Rosalinde K. E."},{"family":"Smit","given":"Jan W. A."},{"family":"Jukema","given":"J. Wouter"},{"family":"Dekkers","given":"Olaf M."},{"family":"Blum","given":"Manuel"},{"family":"Collet","given":"Tinh-Hai"},{"family":"McCarthy","given":"Vera"},{"family":"Hurley","given":"Caroline"},{"family":"Byrne","given":"Stephen"},{"family":"Browne","given":"John"},{"family":"Watt","given":"Torquil"},{"family":"Bauer","given":"Douglas"},{"family":"Ford","given":"Ian"}],"issued":{"date-parts":[["2017",2,3]]}},"label":"page"},{"id":1697,"uris":["http://zotero.org/users/7110448/items/5UB3KLLN"],"itemData":{"id":1697,"type":"article-journal","abstract":"Subclinical hypothyroidism is defined as an elevated serum thyrotropin level and a serum free thyroxine level within the reference range.1 Between 8% and 18% of adults 65 years of age or older have these biochemical features, and the prevalence is higher among women than among men.2 Subclinical hypothyroidism is a possible contributor to many problems in older persons. Thyroid hormones have multiple effects, since they act as an essential regulatory factor in numerous physiological systems, including the vascular tree and the heart,3 the brain (including cognition),4 skeletal muscle, and bone.5 Tiredness is the most important symptom of overt hypothyroidism,6 but . . .","container-title":"New England Journal of Medicine","DOI":"10.1056/NEJMoa1603825","ISSN":"0028-4793","issue":"26","note":"publisher: Massachusetts Medical Society\n_eprint: https://doi.org/10.1056/NEJMoa1603825\nPMID: 28402245","page":"2534-2544","source":"Taylor and Francis+NEJM","title":"Thyroid Hormone Therapy for Older Adults with Subclinical Hypothyroidism","volume":"376","author":[{"family":"Stott","given":"David J."},{"family":"Rodondi","given":"Nicolas"},{"family":"Kearney","given":"Patricia M."},{"family":"Ford","given":"Ian"},{"family":"Westendorp","given":"Rudi G.J."},{"family":"Mooijaart","given":"Simon P."},{"family":"Sattar","given":"Naveed"},{"family":"Aubert","given":"Carole E."},{"family":"Aujesky","given":"Drahomir"},{"family":"Bauer","given":"Douglas C."},{"family":"Baumgartner","given":"Christine"},{"family":"Blum","given":"Manuel R."},{"family":"Browne","given":"John P."},{"family":"Byrne","given":"Stephen"},{"family":"Collet","given":"Tinh-Hai"},{"family":"Dekkers","given":"Olaf M."},{"family":"Elzen","given":"Wendy P.J.","non-dropping-particle":"den"},{"family":"Du Puy","given":"Robert S."},{"family":"Ellis","given":"Graham"},{"family":"Feller","given":"Martin"},{"family":"Floriani","given":"Carmen"},{"family":"Hendry","given":"Kirsty"},{"family":"Hurley","given":"Caroline"},{"family":"Jukema","given":"J. Wouter"},{"family":"Kean","given":"Sharon"},{"family":"Kelly","given":"Maria"},{"family":"Krebs","given":"Danielle"},{"family":"Langhorne","given":"Peter"},{"family":"McCarthy","given":"Gemma"},{"family":"McCarthy","given":"Vera"},{"family":"McConnachie","given":"Alex"},{"family":"McDade","given":"Mairi"},{"family":"Messow","given":"Martina"},{"family":"O’Flynn","given":"Annemarie"},{"family":"O’Riordan","given":"David"},{"family":"Poortvliet","given":"Rosalinde K.E."},{"family":"Quinn","given":"Terence J"},{"family":"Russell","given":"Audrey"},{"family":"Sinnott","given":"Carol"},{"family":"Smit","given":"Jan W.A."},{"family":"Van Dorland","given":"H. Anette"},{"family":"Walsh","given":"Kieran A."},{"family":"Walsh","given":"Elaine K."},{"family":"Watt","given":"Torquil"},{"family":"Wilson","given":"Robbie"},{"family":"Gussekloo","given":"Jacobijn"}],"issued":{"date-parts":[["2017",6,29]]}},"label":"page"}],"schema":"https://github.com/citation-style-language/schema/raw/master/csl-citation.json"} </w:instrText>
      </w:r>
      <w:r w:rsidR="00921CCB" w:rsidRPr="005A144C">
        <w:rPr>
          <w:color w:val="282323"/>
        </w:rPr>
        <w:fldChar w:fldCharType="separate"/>
      </w:r>
      <w:r w:rsidR="00921CCB" w:rsidRPr="005A144C">
        <w:rPr>
          <w:noProof/>
          <w:color w:val="282323"/>
        </w:rPr>
        <w:t>(62,63)</w:t>
      </w:r>
      <w:r w:rsidR="00921CCB" w:rsidRPr="005A144C">
        <w:rPr>
          <w:color w:val="282323"/>
        </w:rPr>
        <w:fldChar w:fldCharType="end"/>
      </w:r>
      <w:r w:rsidR="00921CCB" w:rsidRPr="005A144C">
        <w:rPr>
          <w:color w:val="282323"/>
        </w:rPr>
        <w:t xml:space="preserve">. </w:t>
      </w:r>
      <w:r w:rsidR="006969E3" w:rsidRPr="005A144C">
        <w:rPr>
          <w:color w:val="000000"/>
        </w:rPr>
        <w:t xml:space="preserve">Portanto, é cada vez mais reconhecido que o aumento dos níveis de TSH </w:t>
      </w:r>
      <w:r w:rsidR="00D269DD">
        <w:rPr>
          <w:color w:val="000000"/>
        </w:rPr>
        <w:t xml:space="preserve">faz parte do processo de </w:t>
      </w:r>
      <w:r w:rsidR="006969E3" w:rsidRPr="005A144C">
        <w:rPr>
          <w:color w:val="000000"/>
        </w:rPr>
        <w:t>envelhecimento</w:t>
      </w:r>
      <w:r w:rsidR="00D269DD">
        <w:rPr>
          <w:color w:val="000000"/>
        </w:rPr>
        <w:t xml:space="preserve"> e </w:t>
      </w:r>
      <w:r w:rsidR="00EE10C7">
        <w:rPr>
          <w:color w:val="000000"/>
        </w:rPr>
        <w:t xml:space="preserve">que são necessários </w:t>
      </w:r>
      <w:r w:rsidR="00D269DD">
        <w:rPr>
          <w:color w:val="000000"/>
        </w:rPr>
        <w:t xml:space="preserve">ajustes etários nos seus pontos de </w:t>
      </w:r>
      <w:r w:rsidR="00EE10C7">
        <w:rPr>
          <w:color w:val="000000"/>
        </w:rPr>
        <w:t>referência</w:t>
      </w:r>
      <w:r w:rsidR="00D269DD">
        <w:rPr>
          <w:color w:val="000000"/>
        </w:rPr>
        <w:t xml:space="preserve"> </w:t>
      </w:r>
      <w:r w:rsidR="006969E3" w:rsidRPr="005A144C">
        <w:rPr>
          <w:color w:val="000000"/>
        </w:rPr>
        <w:fldChar w:fldCharType="begin"/>
      </w:r>
      <w:r w:rsidR="00344DCD">
        <w:rPr>
          <w:color w:val="000000"/>
        </w:rPr>
        <w:instrText xml:space="preserve"> ADDIN ZOTERO_ITEM CSL_CITATION {"citationID":"KJHYMv38","properties":{"formattedCitation":"(61)","plainCitation":"(61)","noteIndex":0},"citationItems":[{"id":1723,"uris":["http://zotero.org/users/7110448/items/H3EWQIAF"],"itemData":{"id":1723,"type":"article-journal","abstract":"A comprehensive systematic review has recommended decreasing the number of individuals who receive treatment for subclinical hypothyroidism; however, data included in the study are extremely limited for young individuals. Extrapolating data from older individuals is perhaps unwise; therefore, the onus should be on the urgent need for further research.","container-title":"Nature reviews. Endocrinology","DOI":"10.1038/s41574-019-0239-x","ISSN":"1759-5029","issue":"9","journalAbbreviation":"Nat Rev Endocrinol","note":"PMID: 31300726\nPMCID: PMC7309559","page":"503-504","source":"PubMed Central","title":"Urgent need for further research in subclinical hypothyroidism","volume":"15","author":[{"family":"Taylor","given":"Peter"},{"family":"Bianco","given":"Antonio C."}],"issued":{"date-parts":[["2019",9]]}}}],"schema":"https://github.com/citation-style-language/schema/raw/master/csl-citation.json"} </w:instrText>
      </w:r>
      <w:r w:rsidR="006969E3" w:rsidRPr="005A144C">
        <w:rPr>
          <w:color w:val="000000"/>
        </w:rPr>
        <w:fldChar w:fldCharType="separate"/>
      </w:r>
      <w:r w:rsidR="00624CD1" w:rsidRPr="005A144C">
        <w:rPr>
          <w:noProof/>
          <w:color w:val="000000"/>
        </w:rPr>
        <w:t>(61)</w:t>
      </w:r>
      <w:r w:rsidR="006969E3" w:rsidRPr="005A144C">
        <w:rPr>
          <w:color w:val="000000"/>
        </w:rPr>
        <w:fldChar w:fldCharType="end"/>
      </w:r>
      <w:r w:rsidR="006969E3" w:rsidRPr="005A144C">
        <w:rPr>
          <w:color w:val="000000"/>
        </w:rPr>
        <w:t xml:space="preserve">. </w:t>
      </w:r>
    </w:p>
    <w:p w14:paraId="498FE4FD" w14:textId="3050A77C" w:rsidR="00D74824" w:rsidRDefault="00D74824" w:rsidP="00EE10C7">
      <w:pPr>
        <w:spacing w:line="360" w:lineRule="auto"/>
        <w:jc w:val="both"/>
        <w:rPr>
          <w:color w:val="282323"/>
        </w:rPr>
      </w:pPr>
    </w:p>
    <w:p w14:paraId="799670A6" w14:textId="345B72C0" w:rsidR="00587B98" w:rsidRDefault="00587B98" w:rsidP="00E44DCC">
      <w:pPr>
        <w:numPr>
          <w:ilvl w:val="1"/>
          <w:numId w:val="2"/>
        </w:numPr>
        <w:pBdr>
          <w:top w:val="nil"/>
          <w:left w:val="nil"/>
          <w:bottom w:val="nil"/>
          <w:right w:val="nil"/>
          <w:between w:val="nil"/>
        </w:pBdr>
        <w:spacing w:line="360" w:lineRule="auto"/>
        <w:rPr>
          <w:color w:val="222222"/>
        </w:rPr>
      </w:pPr>
      <w:r>
        <w:rPr>
          <w:color w:val="222222"/>
        </w:rPr>
        <w:t xml:space="preserve"> GENÉTICA E FUNÇÃO TIREOIDIANA</w:t>
      </w:r>
    </w:p>
    <w:p w14:paraId="1B6C7D41" w14:textId="77777777" w:rsidR="00587B98" w:rsidRDefault="00587B98" w:rsidP="00EE10C7">
      <w:pPr>
        <w:pBdr>
          <w:top w:val="nil"/>
          <w:left w:val="nil"/>
          <w:bottom w:val="nil"/>
          <w:right w:val="nil"/>
          <w:between w:val="nil"/>
        </w:pBdr>
        <w:spacing w:line="360" w:lineRule="auto"/>
        <w:ind w:left="360"/>
        <w:rPr>
          <w:color w:val="222222"/>
        </w:rPr>
      </w:pPr>
    </w:p>
    <w:p w14:paraId="0CBD733C" w14:textId="74185F0E" w:rsidR="00EE10C7" w:rsidRDefault="00EE10C7" w:rsidP="00E44DCC">
      <w:pPr>
        <w:pBdr>
          <w:top w:val="nil"/>
          <w:left w:val="nil"/>
          <w:bottom w:val="nil"/>
          <w:right w:val="nil"/>
          <w:between w:val="nil"/>
        </w:pBdr>
        <w:spacing w:line="360" w:lineRule="auto"/>
        <w:ind w:left="360"/>
        <w:rPr>
          <w:color w:val="222222"/>
        </w:rPr>
      </w:pPr>
      <w:r>
        <w:rPr>
          <w:color w:val="222222"/>
        </w:rPr>
        <w:t>Esta seção aborda a temátic</w:t>
      </w:r>
      <w:r w:rsidR="00C72BAE">
        <w:rPr>
          <w:color w:val="222222"/>
        </w:rPr>
        <w:t xml:space="preserve">a genética e função tireoidiana </w:t>
      </w:r>
      <w:r>
        <w:rPr>
          <w:color w:val="222222"/>
        </w:rPr>
        <w:t xml:space="preserve">em </w:t>
      </w:r>
      <w:r w:rsidR="00C72BAE">
        <w:rPr>
          <w:color w:val="222222"/>
        </w:rPr>
        <w:t>sete</w:t>
      </w:r>
      <w:r>
        <w:rPr>
          <w:color w:val="222222"/>
        </w:rPr>
        <w:t xml:space="preserve"> itens, </w:t>
      </w:r>
      <w:r w:rsidR="007217C4">
        <w:rPr>
          <w:color w:val="222222"/>
        </w:rPr>
        <w:t>conforme segue.</w:t>
      </w:r>
    </w:p>
    <w:p w14:paraId="0F47FCE5" w14:textId="77777777" w:rsidR="00EE10C7" w:rsidRDefault="00EE10C7" w:rsidP="00E44DCC">
      <w:pPr>
        <w:spacing w:line="360" w:lineRule="auto"/>
        <w:rPr>
          <w:b/>
          <w:color w:val="222222"/>
        </w:rPr>
      </w:pPr>
    </w:p>
    <w:p w14:paraId="2C0DDE49" w14:textId="334E0A7D" w:rsidR="00587B98" w:rsidRPr="00EE10C7" w:rsidRDefault="00EE10C7" w:rsidP="00E44DCC">
      <w:pPr>
        <w:spacing w:line="360" w:lineRule="auto"/>
        <w:rPr>
          <w:b/>
          <w:color w:val="222222"/>
        </w:rPr>
      </w:pPr>
      <w:r w:rsidRPr="00EE10C7">
        <w:rPr>
          <w:b/>
          <w:color w:val="222222"/>
        </w:rPr>
        <w:t>2.2.1 Polimorfismos de Nucleotídeo Único</w:t>
      </w:r>
    </w:p>
    <w:p w14:paraId="73073320" w14:textId="77777777" w:rsidR="005637B7" w:rsidRDefault="005637B7" w:rsidP="00E44DCC">
      <w:pPr>
        <w:spacing w:line="360" w:lineRule="auto"/>
        <w:rPr>
          <w:color w:val="222222"/>
        </w:rPr>
      </w:pPr>
    </w:p>
    <w:p w14:paraId="3EF43B24" w14:textId="01248620" w:rsidR="00587B98" w:rsidRPr="00890844" w:rsidRDefault="00485D37" w:rsidP="00EE10C7">
      <w:pPr>
        <w:spacing w:line="360" w:lineRule="auto"/>
        <w:jc w:val="both"/>
        <w:rPr>
          <w:color w:val="262626"/>
        </w:rPr>
      </w:pPr>
      <w:r>
        <w:rPr>
          <w:color w:val="262626"/>
        </w:rPr>
        <w:t xml:space="preserve">     </w:t>
      </w:r>
      <w:r w:rsidR="00587B98">
        <w:rPr>
          <w:color w:val="262626"/>
        </w:rPr>
        <w:t xml:space="preserve">Embora os seres humanos compartilhem cerca de 99,9% do seu genoma, as sequências de DNA não são idênticas em diferentes indivíduos </w:t>
      </w:r>
      <w:r w:rsidR="00587B98">
        <w:rPr>
          <w:color w:val="262626"/>
        </w:rPr>
        <w:fldChar w:fldCharType="begin"/>
      </w:r>
      <w:r w:rsidR="004C3BF7">
        <w:rPr>
          <w:color w:val="262626"/>
        </w:rPr>
        <w:instrText xml:space="preserve"> ADDIN ZOTERO_ITEM CSL_CITATION {"citationID":"IjGR2h66","properties":{"formattedCitation":"(64)","plainCitation":"(64)","noteIndex":0},"citationItems":[{"id":1648,"uris":["http://zotero.org/users/7110448/items/TF3B585Z"],"itemData":{"id":1648,"type":"webpage","title":"SNPs in disease gene mapping, medicinal drug development and evolution | Journal of Human Genetics","URL":"https://www.nature.com/articles/jhg2007117","accessed":{"date-parts":[["2021",12,22]]}}}],"schema":"https://github.com/citation-style-language/schema/raw/master/csl-citation.json"} </w:instrText>
      </w:r>
      <w:r w:rsidR="00587B98">
        <w:rPr>
          <w:color w:val="262626"/>
        </w:rPr>
        <w:fldChar w:fldCharType="separate"/>
      </w:r>
      <w:r w:rsidR="00921CCB">
        <w:rPr>
          <w:noProof/>
          <w:color w:val="262626"/>
        </w:rPr>
        <w:t>(64)</w:t>
      </w:r>
      <w:r w:rsidR="00587B98">
        <w:rPr>
          <w:color w:val="262626"/>
        </w:rPr>
        <w:fldChar w:fldCharType="end"/>
      </w:r>
      <w:r w:rsidR="00587B98">
        <w:rPr>
          <w:color w:val="262626"/>
        </w:rPr>
        <w:t>. Estima-se que substituições de nucleotídeos ocorram a cada 1000 pares de bases</w:t>
      </w:r>
      <w:r w:rsidR="005476FC">
        <w:rPr>
          <w:color w:val="262626"/>
        </w:rPr>
        <w:t xml:space="preserve"> </w:t>
      </w:r>
      <w:r w:rsidR="00587B98">
        <w:rPr>
          <w:color w:val="262626"/>
        </w:rPr>
        <w:t xml:space="preserve">no genoma humano, colaborando para </w:t>
      </w:r>
      <w:r w:rsidR="00EE10C7">
        <w:rPr>
          <w:color w:val="262626"/>
        </w:rPr>
        <w:t xml:space="preserve">a </w:t>
      </w:r>
      <w:r w:rsidR="00587B98">
        <w:rPr>
          <w:color w:val="262626"/>
        </w:rPr>
        <w:t xml:space="preserve">variabilidade genética. Quando </w:t>
      </w:r>
      <w:r w:rsidR="00587B98">
        <w:rPr>
          <w:color w:val="262626"/>
          <w:highlight w:val="white"/>
        </w:rPr>
        <w:t>essas variações ocorrem em pelo menos 1 % da população, são chamadas de polimorfismos. Diferente</w:t>
      </w:r>
      <w:r w:rsidR="00621ED6">
        <w:rPr>
          <w:color w:val="262626"/>
          <w:highlight w:val="white"/>
        </w:rPr>
        <w:t>s</w:t>
      </w:r>
      <w:r w:rsidR="00587B98">
        <w:rPr>
          <w:color w:val="262626"/>
          <w:highlight w:val="white"/>
        </w:rPr>
        <w:t xml:space="preserve"> das mutações, variantes raras e com grandes efeitos, os polimorfismos são comuns e t</w:t>
      </w:r>
      <w:r w:rsidR="00EE10C7">
        <w:rPr>
          <w:color w:val="262626"/>
          <w:highlight w:val="white"/>
        </w:rPr>
        <w:t>ê</w:t>
      </w:r>
      <w:r w:rsidR="00587B98">
        <w:rPr>
          <w:color w:val="262626"/>
          <w:highlight w:val="white"/>
        </w:rPr>
        <w:t>m efeitos modestos</w:t>
      </w:r>
      <w:r w:rsidR="00587B98">
        <w:rPr>
          <w:color w:val="262626"/>
        </w:rPr>
        <w:t xml:space="preserve"> </w:t>
      </w:r>
      <w:r w:rsidR="00587B98">
        <w:rPr>
          <w:color w:val="262626"/>
        </w:rPr>
        <w:fldChar w:fldCharType="begin"/>
      </w:r>
      <w:r w:rsidR="00344DCD">
        <w:rPr>
          <w:color w:val="262626"/>
        </w:rPr>
        <w:instrText xml:space="preserve"> ADDIN ZOTERO_ITEM CSL_CITATION {"citationID":"sK0XBe6X","properties":{"formattedCitation":"(9)","plainCitation":"(9)","noteIndex":0},"citationItems":[{"id":93,"uris":["http://zotero.org/users/7110448/items/CK8FU3ZB"],"itemData":{"id":93,"type":"article-journal","abstract":"Abstract\n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P"},{"family":"Medici","given":"Marco"}],"issued":{"date-parts":[["2020",6,1]]}}}],"schema":"https://github.com/citation-style-language/schema/raw/master/csl-citation.json"} </w:instrText>
      </w:r>
      <w:r w:rsidR="00587B98">
        <w:rPr>
          <w:color w:val="262626"/>
        </w:rPr>
        <w:fldChar w:fldCharType="separate"/>
      </w:r>
      <w:r w:rsidR="00587B98">
        <w:rPr>
          <w:noProof/>
          <w:color w:val="262626"/>
        </w:rPr>
        <w:t>(9)</w:t>
      </w:r>
      <w:r w:rsidR="00587B98">
        <w:rPr>
          <w:color w:val="262626"/>
        </w:rPr>
        <w:fldChar w:fldCharType="end"/>
      </w:r>
      <w:r w:rsidR="00587B98">
        <w:rPr>
          <w:color w:val="262626"/>
        </w:rPr>
        <w:t xml:space="preserve">. </w:t>
      </w:r>
      <w:r w:rsidR="00587B98">
        <w:rPr>
          <w:color w:val="262626"/>
          <w:highlight w:val="white"/>
        </w:rPr>
        <w:t xml:space="preserve">Podem causar alguma mudança na </w:t>
      </w:r>
      <w:r w:rsidR="00587B98" w:rsidRPr="00E44DCC">
        <w:rPr>
          <w:color w:val="262626"/>
        </w:rPr>
        <w:t>função do gene ou servir como marcadores genéticos</w:t>
      </w:r>
      <w:r w:rsidR="008167B2" w:rsidRPr="00890844">
        <w:rPr>
          <w:color w:val="262626"/>
        </w:rPr>
        <w:t xml:space="preserve"> </w:t>
      </w:r>
      <w:r w:rsidR="008167B2" w:rsidRPr="00890844">
        <w:rPr>
          <w:color w:val="262626"/>
        </w:rPr>
        <w:fldChar w:fldCharType="begin"/>
      </w:r>
      <w:r w:rsidR="004C3BF7" w:rsidRPr="00890844">
        <w:rPr>
          <w:color w:val="262626"/>
        </w:rPr>
        <w:instrText xml:space="preserve"> ADDIN ZOTERO_ITEM CSL_CITATION {"citationID":"TRBUMNbr","properties":{"formattedCitation":"(65)","plainCitation":"(65)","noteIndex":0},"citationItems":[{"id":878,"uris":["http://zotero.org/users/7110448/items/DPUPW55G"],"itemData":{"id":878,"type":"article-journal","abstract":"Single nucleotide polymorphisms (SNPs) in genes involved in thyroid hormone metabolism may affect thyroid hormone bioactivity. We investigated the occurrence and possible effects of SNPs in the deiodinases (D1-D3), the TSH receptor (TSHR), and the T(3) receptor beta (TR beta) genes. SNPs were identified in public databases or by sequencing of genomic DNA from 15 randomly selected subjects (30 alleles). Genotypes for the identified SNPs were determined in 156 healthy blood donors and related to plasma T(4), free T(4), T(3), rT(3), and TSH levels. Eight SNPs of interest were identified, four of which had not yet been published. Three are located in the 3'-untranslated region: D1a-C/T (allele frequencies, C = 66%, T = 34%), D1b-A/G (A = 89.7%, G = 10.3%), and D3-T/G (T = 85.5%, G = 14.2%). Four are missense SNPs: D2-A/G (Thr92Ala, Thr = 61.2%, Ala = 38.8%), TSHRa-G/C (Asp36His, Asp = 99.4%, His = 0.6%), TSHRb-C/A (Pro52Thr, Pro = 94.2%, Thr = 5.8%), and TSHRc-C/G (Asp727Glu, Asp = 90.7%, Glu = 9.3%). One is a silent SNP: TR beta-T/C (T = 96.8%, C = 3.2%). D1a-T was associated in a dose-dependent manner with a higher plasma rT(3) [CC, 0.29 +/- 0.01; CT, 0.32 +/- 0.01; and TT, 0.34 +/- 0.02 nmol/liter (mean +/- SE); P = 0.017], a higher plasma rT(3)/T(4) (P = 0.01), and a lower T(3)/rT(3) (P = 0.003) ratio. The D1b-G allele was associated with lower plasma rT(3)/T(4) (P = 0.024) and with higher T(3)/rT(3) (P = 0.08) ratios. TSHRc-G was associated with a lower plasma TSH (CC, 1.38 +/- 0.07, vs. GC, 1.06 +/- 0.14 mU/liter; P = 0.04), and with lower plasma TSH/free T(4) (P = 0.06), TSH/T(3) (P = 0.06), and TSH/T(4) (P = 0.08) ratios. No associations with TSH and iodothyronine levels were found for the other SNPs. We have analyzed eight SNPs in five thyroid hormone pathway genes and found significant associations of three SNPs in two genes (D1, TSHR) with plasma TSH or iodothyronine levels in a normal population.","container-title":"The Journal of Clinical Endocrinology and Metabolism","DOI":"10.1210/jc.2002-021592","ISSN":"0021-972X","issue":"6","journalAbbreviation":"J Clin Endocrinol Metab","language":"eng","note":"PMID: 12788902","page":"2880-2888","source":"PubMed","title":"Polymorphisms in thyroid hormone pathway genes are associated with plasma TSH and iodothyronine levels in healthy subjects","volume":"88","author":[{"family":"Peeters","given":"Robin P."},{"family":"Toor","given":"Hans","non-dropping-particle":"van"},{"family":"Klootwijk","given":"Willem"},{"family":"Rijke","given":"Yolanda B.","non-dropping-particle":"de"},{"family":"Kuiper","given":"George G. J. M."},{"family":"Uitterlinden","given":"Andre G."},{"family":"Visser","given":"Theo J."}],"issued":{"date-parts":[["2003",6]]}}}],"schema":"https://github.com/citation-style-language/schema/raw/master/csl-citation.json"} </w:instrText>
      </w:r>
      <w:r w:rsidR="008167B2" w:rsidRPr="00890844">
        <w:rPr>
          <w:color w:val="262626"/>
        </w:rPr>
        <w:fldChar w:fldCharType="separate"/>
      </w:r>
      <w:r w:rsidR="00921CCB" w:rsidRPr="00890844">
        <w:rPr>
          <w:noProof/>
          <w:color w:val="262626"/>
        </w:rPr>
        <w:t>(65)</w:t>
      </w:r>
      <w:r w:rsidR="008167B2" w:rsidRPr="00890844">
        <w:rPr>
          <w:color w:val="262626"/>
        </w:rPr>
        <w:fldChar w:fldCharType="end"/>
      </w:r>
      <w:r w:rsidR="008167B2" w:rsidRPr="00890844">
        <w:rPr>
          <w:color w:val="262626"/>
        </w:rPr>
        <w:t>.</w:t>
      </w:r>
    </w:p>
    <w:p w14:paraId="66E8D277" w14:textId="6C12E849" w:rsidR="00587B98" w:rsidRDefault="00485D37" w:rsidP="00E57ED8">
      <w:pPr>
        <w:spacing w:line="360" w:lineRule="auto"/>
        <w:jc w:val="both"/>
        <w:rPr>
          <w:color w:val="262626"/>
        </w:rPr>
      </w:pPr>
      <w:r w:rsidRPr="00890844">
        <w:t xml:space="preserve">     </w:t>
      </w:r>
      <w:r w:rsidR="00587B98" w:rsidRPr="00890844">
        <w:t>Os polimorfismos de nucleotídeo único</w:t>
      </w:r>
      <w:r w:rsidR="00D42AD3" w:rsidRPr="00890844">
        <w:t xml:space="preserve"> (SNP)</w:t>
      </w:r>
      <w:r w:rsidR="00587B98" w:rsidRPr="00890844">
        <w:t xml:space="preserve"> </w:t>
      </w:r>
      <w:r w:rsidR="008167B2" w:rsidRPr="00E44DCC">
        <w:rPr>
          <w:color w:val="262626"/>
        </w:rPr>
        <w:t>são a forma mais comum de variação genômica</w:t>
      </w:r>
      <w:r w:rsidR="008167B2" w:rsidRPr="00890844">
        <w:rPr>
          <w:color w:val="262626"/>
        </w:rPr>
        <w:t xml:space="preserve"> </w:t>
      </w:r>
      <w:r w:rsidR="008167B2" w:rsidRPr="00890844">
        <w:rPr>
          <w:color w:val="262626"/>
        </w:rPr>
        <w:fldChar w:fldCharType="begin"/>
      </w:r>
      <w:r w:rsidR="00344DCD" w:rsidRPr="00890844">
        <w:rPr>
          <w:color w:val="262626"/>
        </w:rPr>
        <w:instrText xml:space="preserve"> ADDIN ZOTERO_ITEM CSL_CITATION {"citationID":"nM1WMuaS","properties":{"formattedCitation":"(66)","plainCitation":"(66)","noteIndex":0},"citationItems":[{"id":1530,"uris":["http://zotero.org/users/7110448/items/2J8ICVY2"],"itemData":{"id":1530,"type":"article-journal","abstract":"Genomewide association studies — in which hundreds of thousands of single-nucleotide polymorphisms (SNPs) are tested for association with a disease in hundreds or thousands of persons (Figure 1) — have revolutionized the search for genetic influences on complex traits.1,2 Such conditions, in contrast with single-gene disorders, are caused by many genetic and environmental factors working together, each having a relatively small effect and few if any being absolutely required for disease to occur. Although complex conditions have been referred to as the geneticist's nightmare,3 in the past 5 years genomewide association studies have identified SNPs implicating hundreds of robustly . . .","container-title":"New England Journal of Medicine","DOI":"10.1056/NEJMra0905980","ISSN":"0028-4793","issue":"2","note":"publisher: Massachusetts Medical Society\n_eprint: https://doi.org/10.1056/NEJMra0905980\nPMID: 20647212","page":"166-176","source":"Taylor and Francis+NEJM","title":"Genomewide Association Studies and Assessment of the Risk of Disease","volume":"363","author":[{"family":"Manolio","given":"Teri A."}],"issued":{"date-parts":[["2010",7,8]]}}}],"schema":"https://github.com/citation-style-language/schema/raw/master/csl-citation.json"} </w:instrText>
      </w:r>
      <w:r w:rsidR="008167B2" w:rsidRPr="00890844">
        <w:rPr>
          <w:color w:val="262626"/>
        </w:rPr>
        <w:fldChar w:fldCharType="separate"/>
      </w:r>
      <w:r w:rsidR="00921CCB" w:rsidRPr="00890844">
        <w:rPr>
          <w:noProof/>
          <w:color w:val="262626"/>
        </w:rPr>
        <w:t>(66)</w:t>
      </w:r>
      <w:r w:rsidR="008167B2" w:rsidRPr="00890844">
        <w:rPr>
          <w:color w:val="262626"/>
        </w:rPr>
        <w:fldChar w:fldCharType="end"/>
      </w:r>
      <w:r w:rsidR="008167B2" w:rsidRPr="00890844">
        <w:rPr>
          <w:color w:val="262626"/>
        </w:rPr>
        <w:t xml:space="preserve">. </w:t>
      </w:r>
      <w:r w:rsidR="008167B2" w:rsidRPr="00E44DCC">
        <w:rPr>
          <w:color w:val="262626"/>
        </w:rPr>
        <w:t>Resultam de substituições de apenas uma base nitrogenada (</w:t>
      </w:r>
      <w:r w:rsidR="00890844" w:rsidRPr="00890844">
        <w:rPr>
          <w:color w:val="262626"/>
        </w:rPr>
        <w:t>adenina, citosina, timina e guanina</w:t>
      </w:r>
      <w:r w:rsidR="008167B2" w:rsidRPr="00E44DCC">
        <w:rPr>
          <w:color w:val="262626"/>
        </w:rPr>
        <w:t xml:space="preserve">) na </w:t>
      </w:r>
      <w:r w:rsidR="00890844" w:rsidRPr="00890844">
        <w:rPr>
          <w:color w:val="262626"/>
        </w:rPr>
        <w:t>sequência</w:t>
      </w:r>
      <w:r w:rsidR="008167B2" w:rsidRPr="00E44DCC">
        <w:rPr>
          <w:color w:val="262626"/>
        </w:rPr>
        <w:t xml:space="preserve"> de </w:t>
      </w:r>
      <w:r w:rsidR="008167B2" w:rsidRPr="00890844">
        <w:rPr>
          <w:color w:val="262626"/>
        </w:rPr>
        <w:t xml:space="preserve">DNA </w:t>
      </w:r>
      <w:r w:rsidR="008167B2" w:rsidRPr="00890844">
        <w:rPr>
          <w:color w:val="262626"/>
        </w:rPr>
        <w:fldChar w:fldCharType="begin"/>
      </w:r>
      <w:r w:rsidR="00344DCD" w:rsidRPr="00890844">
        <w:rPr>
          <w:color w:val="262626"/>
        </w:rPr>
        <w:instrText xml:space="preserve"> ADDIN ZOTERO_ITEM CSL_CITATION {"citationID":"V11C2Qv8","properties":{"formattedCitation":"(67)","plainCitation":"(67)","noteIndex":0},"citationItems":[{"id":1593,"uris":["http://zotero.org/users/7110448/items/74P8FYGW"],"itemData":{"id":1593,"type":"article-journal","abstract":"Os primeiros estudos de identificação, caracterização e utilização de marcadores moleculares para a caracterização de recursos genéticos e geração de ferramentas para o melhoramento animal datam do final da década de 80. Nos últimos 20 anos as tecnologias para geração de dados moleculares passaram por vários ciclos de renovação. A última onda de inovações tecnológicas representa uma verdadeira revolução e trouxe metodologias para identificar e genotipar marcadores SNP (do inglês Single Nucleotide Polimorphism) de maneira massal. Chips de DNA de alta densidade foram criados para genotipar de dezenas de milhares até centenas de milhares de marcadores SNP em um único ensaio. Além disso, outras tecnologias de média densidade permitem também a genotipagem de dezenas a centenas de marcadores, em números elevados de amostras, com altíssima velocidade e automação. Essas novas tecnologias permitiram a geração de novas aplicações, como as metodologias para avaliação genética e seleção com base no Valor Genômico (Genomic Estimated Breeding Value- GEBV). Os métodos estatísticos para avaliação e seleção genômica estão em pleno desenvolvimento, mas a tecnologia já se tornou uma realidade com o lançamento do primeiro sumário de touros para a raça Holandesa com GEBVs para características de produção e qualidade do leite em janeiro de 2009. Além disso, essas tecnologias também trouxeram novas opções para desenvolvimento de testes diagnósticos para confirmação de paternidade, identificação individual, rastreabilidade, etc. Além dessas inovações, as novas tecnologias de genotipagem de marcadores SNP facilitaram também o desenvolvimento de serviços terceirizados de geração de dados, permitindo que qualquer grupo realize pesquisas avançadas, sempre com as tecnologias mais avançadas, sem a necessidade de investimentos em equipamentos.","container-title":"Revista Brasileira de Zootecnia","DOI":"10.1590/S1516-35982009001300008","ISSN":"1516-3598, 1806-9290","journalAbbreviation":"R. Bras. Zootec.","language":"pt","note":"publisher: Sociedade Brasileira de Zootecnia","page":"64-71","source":"SciELO","title":"Marcadores SNP: conceitos básicos, aplicações no manejo e no melhoramento animal e perspectivas para o futuro","title-short":"Marcadores SNP","volume":"38","author":[{"family":"Caetano","given":"Alexandre Rodrigues"}],"issued":{"date-parts":[["2009",7]]}}}],"schema":"https://github.com/citation-style-language/schema/raw/master/csl-citation.json"} </w:instrText>
      </w:r>
      <w:r w:rsidR="008167B2" w:rsidRPr="00890844">
        <w:rPr>
          <w:color w:val="262626"/>
        </w:rPr>
        <w:fldChar w:fldCharType="separate"/>
      </w:r>
      <w:r w:rsidR="00921CCB" w:rsidRPr="00890844">
        <w:rPr>
          <w:noProof/>
          <w:color w:val="262626"/>
        </w:rPr>
        <w:t>(67)</w:t>
      </w:r>
      <w:r w:rsidR="008167B2" w:rsidRPr="00890844">
        <w:rPr>
          <w:color w:val="262626"/>
        </w:rPr>
        <w:fldChar w:fldCharType="end"/>
      </w:r>
      <w:r w:rsidR="008167B2" w:rsidRPr="00890844">
        <w:rPr>
          <w:color w:val="262626"/>
        </w:rPr>
        <w:t xml:space="preserve">. </w:t>
      </w:r>
      <w:r w:rsidR="008167B2" w:rsidRPr="00E44DCC">
        <w:rPr>
          <w:color w:val="262626"/>
        </w:rPr>
        <w:t xml:space="preserve">Normalmente, são bialélicos, ou seja, </w:t>
      </w:r>
      <w:r w:rsidR="00890844">
        <w:rPr>
          <w:color w:val="262626"/>
        </w:rPr>
        <w:t>têm</w:t>
      </w:r>
      <w:r w:rsidR="00890844" w:rsidRPr="00E44DCC">
        <w:rPr>
          <w:color w:val="262626"/>
        </w:rPr>
        <w:t xml:space="preserve"> </w:t>
      </w:r>
      <w:r w:rsidR="008167B2" w:rsidRPr="00E44DCC">
        <w:rPr>
          <w:color w:val="262626"/>
        </w:rPr>
        <w:t xml:space="preserve">no mínimo duas possibilidades de pares de bases numa mesma localização para </w:t>
      </w:r>
      <w:r w:rsidR="008167B2">
        <w:rPr>
          <w:color w:val="262626"/>
          <w:highlight w:val="white"/>
        </w:rPr>
        <w:t xml:space="preserve">determinada </w:t>
      </w:r>
      <w:r w:rsidR="008167B2">
        <w:rPr>
          <w:color w:val="262626"/>
          <w:highlight w:val="white"/>
        </w:rPr>
        <w:lastRenderedPageBreak/>
        <w:t xml:space="preserve">população. Somente 12% dos </w:t>
      </w:r>
      <w:r w:rsidR="00621ED6">
        <w:rPr>
          <w:color w:val="262626"/>
          <w:highlight w:val="white"/>
        </w:rPr>
        <w:t>polimorfismos</w:t>
      </w:r>
      <w:r w:rsidR="008167B2">
        <w:rPr>
          <w:color w:val="262626"/>
          <w:highlight w:val="white"/>
        </w:rPr>
        <w:t xml:space="preserve"> associados a fenótipos estão localizados em regiões </w:t>
      </w:r>
      <w:r w:rsidR="00F42068">
        <w:rPr>
          <w:color w:val="262626"/>
          <w:highlight w:val="white"/>
        </w:rPr>
        <w:t>gênicas codificadoras</w:t>
      </w:r>
      <w:r w:rsidR="008167B2">
        <w:rPr>
          <w:color w:val="262626"/>
          <w:highlight w:val="white"/>
        </w:rPr>
        <w:t xml:space="preserve"> de proteína</w:t>
      </w:r>
      <w:r w:rsidR="00F42068">
        <w:rPr>
          <w:color w:val="262626"/>
          <w:highlight w:val="white"/>
        </w:rPr>
        <w:t>s</w:t>
      </w:r>
      <w:r w:rsidR="008167B2">
        <w:rPr>
          <w:color w:val="262626"/>
          <w:highlight w:val="white"/>
        </w:rPr>
        <w:t>, enquanto que 40%</w:t>
      </w:r>
      <w:r w:rsidR="00890844">
        <w:rPr>
          <w:color w:val="262626"/>
          <w:highlight w:val="white"/>
        </w:rPr>
        <w:t xml:space="preserve"> estão</w:t>
      </w:r>
      <w:r w:rsidR="008167B2">
        <w:rPr>
          <w:color w:val="262626"/>
          <w:highlight w:val="white"/>
        </w:rPr>
        <w:t xml:space="preserve"> em regiões intergênicas e 40%</w:t>
      </w:r>
      <w:r w:rsidR="00890844">
        <w:rPr>
          <w:color w:val="262626"/>
          <w:highlight w:val="white"/>
        </w:rPr>
        <w:t>,</w:t>
      </w:r>
      <w:r w:rsidR="008167B2">
        <w:rPr>
          <w:color w:val="262626"/>
          <w:highlight w:val="white"/>
        </w:rPr>
        <w:t xml:space="preserve"> em íntrons, apontando para o potencial papel das regiões </w:t>
      </w:r>
      <w:proofErr w:type="spellStart"/>
      <w:r w:rsidR="008167B2">
        <w:rPr>
          <w:color w:val="262626"/>
          <w:highlight w:val="white"/>
        </w:rPr>
        <w:t>intr</w:t>
      </w:r>
      <w:r w:rsidR="00890844">
        <w:rPr>
          <w:color w:val="262626"/>
          <w:highlight w:val="white"/>
        </w:rPr>
        <w:t>ô</w:t>
      </w:r>
      <w:r w:rsidR="008167B2">
        <w:rPr>
          <w:color w:val="262626"/>
          <w:highlight w:val="white"/>
        </w:rPr>
        <w:t>nicas</w:t>
      </w:r>
      <w:proofErr w:type="spellEnd"/>
      <w:r w:rsidR="008167B2">
        <w:rPr>
          <w:color w:val="262626"/>
          <w:highlight w:val="white"/>
        </w:rPr>
        <w:t xml:space="preserve"> e intergênicas na regulação da expressão gênica</w:t>
      </w:r>
      <w:r w:rsidR="008167B2">
        <w:rPr>
          <w:color w:val="262626"/>
        </w:rPr>
        <w:t xml:space="preserve"> </w:t>
      </w:r>
      <w:r w:rsidR="008167B2">
        <w:rPr>
          <w:color w:val="262626"/>
        </w:rPr>
        <w:fldChar w:fldCharType="begin"/>
      </w:r>
      <w:r w:rsidR="00344DCD">
        <w:rPr>
          <w:color w:val="262626"/>
        </w:rPr>
        <w:instrText xml:space="preserve"> ADDIN ZOTERO_ITEM CSL_CITATION {"citationID":"u3Hwz35K","properties":{"formattedCitation":"(66)","plainCitation":"(66)","noteIndex":0},"citationItems":[{"id":1530,"uris":["http://zotero.org/users/7110448/items/2J8ICVY2"],"itemData":{"id":1530,"type":"article-journal","abstract":"Genomewide association studies — in which hundreds of thousands of single-nucleotide polymorphisms (SNPs) are tested for association with a disease in hundreds or thousands of persons (Figure 1) — have revolutionized the search for genetic influences on complex traits.1,2 Such conditions, in contrast with single-gene disorders, are caused by many genetic and environmental factors working together, each having a relatively small effect and few if any being absolutely required for disease to occur. Although complex conditions have been referred to as the geneticist's nightmare,3 in the past 5 years genomewide association studies have identified SNPs implicating hundreds of robustly . . .","container-title":"New England Journal of Medicine","DOI":"10.1056/NEJMra0905980","ISSN":"0028-4793","issue":"2","note":"publisher: Massachusetts Medical Society\n_eprint: https://doi.org/10.1056/NEJMra0905980\nPMID: 20647212","page":"166-176","source":"Taylor and Francis+NEJM","title":"Genomewide Association Studies and Assessment of the Risk of Disease","volume":"363","author":[{"family":"Manolio","given":"Teri A."}],"issued":{"date-parts":[["2010",7,8]]}}}],"schema":"https://github.com/citation-style-language/schema/raw/master/csl-citation.json"} </w:instrText>
      </w:r>
      <w:r w:rsidR="008167B2">
        <w:rPr>
          <w:color w:val="262626"/>
        </w:rPr>
        <w:fldChar w:fldCharType="separate"/>
      </w:r>
      <w:r w:rsidR="00921CCB">
        <w:rPr>
          <w:noProof/>
          <w:color w:val="262626"/>
        </w:rPr>
        <w:t>(66)</w:t>
      </w:r>
      <w:r w:rsidR="008167B2">
        <w:rPr>
          <w:color w:val="262626"/>
        </w:rPr>
        <w:fldChar w:fldCharType="end"/>
      </w:r>
      <w:r w:rsidR="008167B2">
        <w:rPr>
          <w:color w:val="262626"/>
        </w:rPr>
        <w:t xml:space="preserve">. </w:t>
      </w:r>
    </w:p>
    <w:p w14:paraId="2BE83C88" w14:textId="3F55F858" w:rsidR="00E57ED8" w:rsidRDefault="00E57ED8" w:rsidP="00E57ED8">
      <w:pPr>
        <w:spacing w:line="360" w:lineRule="auto"/>
        <w:jc w:val="both"/>
        <w:rPr>
          <w:color w:val="262626"/>
        </w:rPr>
      </w:pPr>
    </w:p>
    <w:p w14:paraId="57CC7212" w14:textId="2C6635CD" w:rsidR="00E57ED8" w:rsidRPr="00890844" w:rsidRDefault="00890844" w:rsidP="00E57ED8">
      <w:pPr>
        <w:spacing w:line="360" w:lineRule="auto"/>
        <w:jc w:val="both"/>
        <w:rPr>
          <w:b/>
          <w:color w:val="262626"/>
          <w:highlight w:val="white"/>
        </w:rPr>
      </w:pPr>
      <w:r w:rsidRPr="00890844">
        <w:rPr>
          <w:b/>
          <w:color w:val="262626"/>
          <w:highlight w:val="white"/>
        </w:rPr>
        <w:t xml:space="preserve">2.2.2 Estudos Genéticos </w:t>
      </w:r>
    </w:p>
    <w:p w14:paraId="3F6D2ADE" w14:textId="77777777" w:rsidR="005637B7" w:rsidRDefault="005637B7" w:rsidP="00E57ED8">
      <w:pPr>
        <w:spacing w:line="360" w:lineRule="auto"/>
        <w:jc w:val="both"/>
        <w:rPr>
          <w:color w:val="262626"/>
          <w:highlight w:val="white"/>
        </w:rPr>
      </w:pPr>
    </w:p>
    <w:p w14:paraId="221570B3" w14:textId="402EF6C0" w:rsidR="00263628" w:rsidRDefault="00485D37" w:rsidP="00E57ED8">
      <w:pPr>
        <w:spacing w:line="360" w:lineRule="auto"/>
        <w:jc w:val="both"/>
        <w:rPr>
          <w:highlight w:val="white"/>
        </w:rPr>
      </w:pPr>
      <w:r>
        <w:rPr>
          <w:highlight w:val="white"/>
        </w:rPr>
        <w:t xml:space="preserve">     </w:t>
      </w:r>
      <w:r w:rsidR="00E57ED8">
        <w:rPr>
          <w:highlight w:val="white"/>
        </w:rPr>
        <w:t>A utilização prática de</w:t>
      </w:r>
      <w:r w:rsidR="000D0759">
        <w:rPr>
          <w:highlight w:val="white"/>
        </w:rPr>
        <w:t xml:space="preserve"> polimorfismos de</w:t>
      </w:r>
      <w:r w:rsidR="000D0759">
        <w:t xml:space="preserve"> nucleotídeo único</w:t>
      </w:r>
      <w:r w:rsidR="00890844">
        <w:t>,</w:t>
      </w:r>
      <w:r w:rsidR="000D0759">
        <w:t xml:space="preserve"> </w:t>
      </w:r>
      <w:r w:rsidR="00E57ED8">
        <w:rPr>
          <w:highlight w:val="white"/>
        </w:rPr>
        <w:t>como marcadores moleculares</w:t>
      </w:r>
      <w:r w:rsidR="00890844">
        <w:rPr>
          <w:highlight w:val="white"/>
        </w:rPr>
        <w:t>,</w:t>
      </w:r>
      <w:r w:rsidR="00E57ED8">
        <w:rPr>
          <w:highlight w:val="white"/>
        </w:rPr>
        <w:t xml:space="preserve"> esteve por muito tempo restrita devido a limitações tecnológicas </w:t>
      </w:r>
      <w:r w:rsidR="00E57ED8">
        <w:rPr>
          <w:highlight w:val="white"/>
        </w:rPr>
        <w:fldChar w:fldCharType="begin"/>
      </w:r>
      <w:r w:rsidR="00344DCD">
        <w:rPr>
          <w:highlight w:val="white"/>
        </w:rPr>
        <w:instrText xml:space="preserve"> ADDIN ZOTERO_ITEM CSL_CITATION {"citationID":"Rv0NvoVG","properties":{"formattedCitation":"(67)","plainCitation":"(67)","noteIndex":0},"citationItems":[{"id":1593,"uris":["http://zotero.org/users/7110448/items/74P8FYGW"],"itemData":{"id":1593,"type":"article-journal","abstract":"Os primeiros estudos de identificação, caracterização e utilização de marcadores moleculares para a caracterização de recursos genéticos e geração de ferramentas para o melhoramento animal datam do final da década de 80. Nos últimos 20 anos as tecnologias para geração de dados moleculares passaram por vários ciclos de renovação. A última onda de inovações tecnológicas representa uma verdadeira revolução e trouxe metodologias para identificar e genotipar marcadores SNP (do inglês Single Nucleotide Polimorphism) de maneira massal. Chips de DNA de alta densidade foram criados para genotipar de dezenas de milhares até centenas de milhares de marcadores SNP em um único ensaio. Além disso, outras tecnologias de média densidade permitem também a genotipagem de dezenas a centenas de marcadores, em números elevados de amostras, com altíssima velocidade e automação. Essas novas tecnologias permitiram a geração de novas aplicações, como as metodologias para avaliação genética e seleção com base no Valor Genômico (Genomic Estimated Breeding Value- GEBV). Os métodos estatísticos para avaliação e seleção genômica estão em pleno desenvolvimento, mas a tecnologia já se tornou uma realidade com o lançamento do primeiro sumário de touros para a raça Holandesa com GEBVs para características de produção e qualidade do leite em janeiro de 2009. Além disso, essas tecnologias também trouxeram novas opções para desenvolvimento de testes diagnósticos para confirmação de paternidade, identificação individual, rastreabilidade, etc. Além dessas inovações, as novas tecnologias de genotipagem de marcadores SNP facilitaram também o desenvolvimento de serviços terceirizados de geração de dados, permitindo que qualquer grupo realize pesquisas avançadas, sempre com as tecnologias mais avançadas, sem a necessidade de investimentos em equipamentos.","container-title":"Revista Brasileira de Zootecnia","DOI":"10.1590/S1516-35982009001300008","ISSN":"1516-3598, 1806-9290","journalAbbreviation":"R. Bras. Zootec.","language":"pt","note":"publisher: Sociedade Brasileira de Zootecnia","page":"64-71","source":"SciELO","title":"Marcadores SNP: conceitos básicos, aplicações no manejo e no melhoramento animal e perspectivas para o futuro","title-short":"Marcadores SNP","volume":"38","author":[{"family":"Caetano","given":"Alexandre Rodrigues"}],"issued":{"date-parts":[["2009",7]]}}}],"schema":"https://github.com/citation-style-language/schema/raw/master/csl-citation.json"} </w:instrText>
      </w:r>
      <w:r w:rsidR="00E57ED8">
        <w:rPr>
          <w:highlight w:val="white"/>
        </w:rPr>
        <w:fldChar w:fldCharType="separate"/>
      </w:r>
      <w:r w:rsidR="00921CCB">
        <w:rPr>
          <w:noProof/>
          <w:highlight w:val="white"/>
        </w:rPr>
        <w:t>(67)</w:t>
      </w:r>
      <w:r w:rsidR="00E57ED8">
        <w:rPr>
          <w:highlight w:val="white"/>
        </w:rPr>
        <w:fldChar w:fldCharType="end"/>
      </w:r>
      <w:r w:rsidR="00E57ED8">
        <w:rPr>
          <w:highlight w:val="white"/>
        </w:rPr>
        <w:t>. O avanço na compreensão do genoma e nos métodos de genotipagem em massa tornaram factível a realização de grandes estudos genéticos de associação em populações, possibilitando descobertas simultâneas de inúmeros genes e</w:t>
      </w:r>
      <w:r w:rsidR="000D0759">
        <w:rPr>
          <w:highlight w:val="white"/>
        </w:rPr>
        <w:t xml:space="preserve"> variantes genéticas</w:t>
      </w:r>
      <w:r w:rsidR="007E0111">
        <w:rPr>
          <w:highlight w:val="white"/>
        </w:rPr>
        <w:t xml:space="preserve"> </w:t>
      </w:r>
      <w:r w:rsidR="00E57ED8">
        <w:rPr>
          <w:highlight w:val="white"/>
        </w:rPr>
        <w:t>associad</w:t>
      </w:r>
      <w:r w:rsidR="000D0759">
        <w:rPr>
          <w:highlight w:val="white"/>
        </w:rPr>
        <w:t>o</w:t>
      </w:r>
      <w:r w:rsidR="00E57ED8">
        <w:rPr>
          <w:highlight w:val="white"/>
        </w:rPr>
        <w:t xml:space="preserve">s a um fenótipo </w:t>
      </w:r>
      <w:r w:rsidR="00EF7FDC">
        <w:rPr>
          <w:highlight w:val="white"/>
        </w:rPr>
        <w:fldChar w:fldCharType="begin"/>
      </w:r>
      <w:r w:rsidR="00344DCD">
        <w:rPr>
          <w:highlight w:val="white"/>
        </w:rPr>
        <w:instrText xml:space="preserve"> ADDIN ZOTERO_ITEM CSL_CITATION {"citationID":"pVx2cU5y","properties":{"formattedCitation":"(68)","plainCitation":"(68)","noteIndex":0},"citationItems":[{"id":152,"uris":["http://zotero.org/users/7110448/items/9HQ9L46L"],"itemData":{"id":152,"type":"article-journal","abstract":"Genome-wide association studies (GWAS) have evolved over the last ten years into a powerful tool for investigating the genetic architecture of human disease. In this work, we review the key concepts underlying GWAS, including the architecture of common diseases, the structure of common human genetic variation, technologies for capturing genetic information, study designs, and the statistical methods used for data analysis. We also look forward to the future beyond GWAS.","container-title":"PLoS Computational Biology","DOI":"10.1371/journal.pcbi.1002822","ISSN":"1553-7358","issue":"12","journalAbbreviation":"PLoS Comput Biol","language":"en","page":"e1002822","source":"DOI.org (Crossref)","title":"Chapter 11: Genome-Wide Association Studies","title-short":"Chapter 11","volume":"8","author":[{"family":"Bush","given":"William S."},{"family":"Moore","given":"Jason H."}],"editor":[{"family":"Lewitter","given":"Fran"},{"family":"Kann","given":"Maricel"}],"issued":{"date-parts":[["2012",12,27]]}}}],"schema":"https://github.com/citation-style-language/schema/raw/master/csl-citation.json"} </w:instrText>
      </w:r>
      <w:r w:rsidR="00EF7FDC">
        <w:rPr>
          <w:highlight w:val="white"/>
        </w:rPr>
        <w:fldChar w:fldCharType="separate"/>
      </w:r>
      <w:r w:rsidR="00921CCB">
        <w:rPr>
          <w:noProof/>
          <w:highlight w:val="white"/>
        </w:rPr>
        <w:t>(68)</w:t>
      </w:r>
      <w:r w:rsidR="00EF7FDC">
        <w:rPr>
          <w:highlight w:val="white"/>
        </w:rPr>
        <w:fldChar w:fldCharType="end"/>
      </w:r>
      <w:r w:rsidR="00EF7FDC">
        <w:rPr>
          <w:highlight w:val="white"/>
        </w:rPr>
        <w:t xml:space="preserve">. </w:t>
      </w:r>
    </w:p>
    <w:p w14:paraId="00C1980D" w14:textId="7C57A74D" w:rsidR="00263628" w:rsidRDefault="004950D5" w:rsidP="00E57ED8">
      <w:pPr>
        <w:spacing w:line="360" w:lineRule="auto"/>
        <w:jc w:val="both"/>
        <w:rPr>
          <w:color w:val="000000"/>
          <w:shd w:val="clear" w:color="auto" w:fill="FFFFFF"/>
        </w:rPr>
      </w:pPr>
      <w:r>
        <w:rPr>
          <w:color w:val="000000"/>
          <w:shd w:val="clear" w:color="auto" w:fill="FFFFFF"/>
        </w:rPr>
        <w:t xml:space="preserve">     </w:t>
      </w:r>
      <w:r w:rsidR="00263628">
        <w:rPr>
          <w:color w:val="000000"/>
          <w:shd w:val="clear" w:color="auto" w:fill="FFFFFF"/>
        </w:rPr>
        <w:t xml:space="preserve">Os estudos genéticos </w:t>
      </w:r>
      <w:r w:rsidR="007E0111">
        <w:rPr>
          <w:color w:val="000000"/>
          <w:shd w:val="clear" w:color="auto" w:fill="FFFFFF"/>
        </w:rPr>
        <w:t xml:space="preserve">focados na função tireoidiana </w:t>
      </w:r>
      <w:r w:rsidR="00263628">
        <w:rPr>
          <w:color w:val="000000"/>
          <w:shd w:val="clear" w:color="auto" w:fill="FFFFFF"/>
        </w:rPr>
        <w:t xml:space="preserve">têm revelado genes envolvidos na arquitetura do eixo </w:t>
      </w:r>
      <w:r w:rsidR="00D42AD3">
        <w:rPr>
          <w:color w:val="000000"/>
          <w:shd w:val="clear" w:color="auto" w:fill="FFFFFF"/>
        </w:rPr>
        <w:t>hipotálamo</w:t>
      </w:r>
      <w:r w:rsidR="00890844">
        <w:rPr>
          <w:color w:val="000000"/>
          <w:shd w:val="clear" w:color="auto" w:fill="FFFFFF"/>
        </w:rPr>
        <w:t>-</w:t>
      </w:r>
      <w:r w:rsidR="00D42AD3">
        <w:rPr>
          <w:color w:val="000000"/>
          <w:shd w:val="clear" w:color="auto" w:fill="FFFFFF"/>
        </w:rPr>
        <w:t>hipófise</w:t>
      </w:r>
      <w:r w:rsidR="00890844">
        <w:rPr>
          <w:color w:val="000000"/>
          <w:shd w:val="clear" w:color="auto" w:fill="FFFFFF"/>
        </w:rPr>
        <w:t>-</w:t>
      </w:r>
      <w:r w:rsidR="00D42AD3">
        <w:rPr>
          <w:color w:val="000000"/>
          <w:shd w:val="clear" w:color="auto" w:fill="FFFFFF"/>
        </w:rPr>
        <w:t>tireoide</w:t>
      </w:r>
      <w:r w:rsidR="00263628">
        <w:rPr>
          <w:color w:val="000000"/>
          <w:shd w:val="clear" w:color="auto" w:fill="FFFFFF"/>
        </w:rPr>
        <w:t xml:space="preserve"> e trazem pistas sobre individualidade no ponto de ajuste dos testes séricos da tireoide. Os primeiros trabalhos sobre determinantes genéticos da função tireoidiana envolviam </w:t>
      </w:r>
      <w:r w:rsidR="00263628" w:rsidRPr="00AB2C18">
        <w:rPr>
          <w:color w:val="000000"/>
          <w:shd w:val="clear" w:color="auto" w:fill="FFFFFF"/>
        </w:rPr>
        <w:t>estudo</w:t>
      </w:r>
      <w:r w:rsidR="00263628">
        <w:rPr>
          <w:color w:val="000000"/>
          <w:shd w:val="clear" w:color="auto" w:fill="FFFFFF"/>
        </w:rPr>
        <w:t>s</w:t>
      </w:r>
      <w:r w:rsidR="00263628" w:rsidRPr="00AB2C18">
        <w:rPr>
          <w:color w:val="000000"/>
          <w:shd w:val="clear" w:color="auto" w:fill="FFFFFF"/>
        </w:rPr>
        <w:t xml:space="preserve"> de gene</w:t>
      </w:r>
      <w:r w:rsidR="00263628">
        <w:rPr>
          <w:color w:val="000000"/>
          <w:shd w:val="clear" w:color="auto" w:fill="FFFFFF"/>
        </w:rPr>
        <w:t>s</w:t>
      </w:r>
      <w:r w:rsidR="00263628" w:rsidRPr="00AB2C18">
        <w:rPr>
          <w:color w:val="000000"/>
          <w:shd w:val="clear" w:color="auto" w:fill="FFFFFF"/>
        </w:rPr>
        <w:t xml:space="preserve"> candidato</w:t>
      </w:r>
      <w:r w:rsidR="00263628">
        <w:rPr>
          <w:color w:val="000000"/>
          <w:shd w:val="clear" w:color="auto" w:fill="FFFFFF"/>
        </w:rPr>
        <w:t>s, que avaliam número</w:t>
      </w:r>
      <w:r w:rsidR="00263628" w:rsidRPr="00AB2C18">
        <w:rPr>
          <w:color w:val="000000"/>
          <w:shd w:val="clear" w:color="auto" w:fill="FFFFFF"/>
        </w:rPr>
        <w:t xml:space="preserve"> </w:t>
      </w:r>
      <w:r w:rsidR="00263628">
        <w:rPr>
          <w:color w:val="000000"/>
          <w:shd w:val="clear" w:color="auto" w:fill="FFFFFF"/>
        </w:rPr>
        <w:t>limitado de variantes em genes específicos</w:t>
      </w:r>
      <w:r w:rsidR="00890844">
        <w:rPr>
          <w:color w:val="000000"/>
          <w:shd w:val="clear" w:color="auto" w:fill="FFFFFF"/>
        </w:rPr>
        <w:t>,</w:t>
      </w:r>
      <w:r w:rsidR="00263628">
        <w:rPr>
          <w:color w:val="000000"/>
          <w:shd w:val="clear" w:color="auto" w:fill="FFFFFF"/>
        </w:rPr>
        <w:t xml:space="preserve"> selecionados de acordo com sua função </w:t>
      </w:r>
      <w:r w:rsidR="00263628">
        <w:rPr>
          <w:color w:val="000000"/>
          <w:shd w:val="clear" w:color="auto" w:fill="FFFFFF"/>
        </w:rPr>
        <w:fldChar w:fldCharType="begin"/>
      </w:r>
      <w:r w:rsidR="00344DCD">
        <w:rPr>
          <w:color w:val="000000"/>
          <w:shd w:val="clear" w:color="auto" w:fill="FFFFFF"/>
        </w:rPr>
        <w:instrText xml:space="preserve"> ADDIN ZOTERO_ITEM CSL_CITATION {"citationID":"q0KgyeTo","properties":{"unsorted":true,"formattedCitation":"(57,9)","plainCitation":"(57,9)","noteIndex":0},"citationItems":[{"id":90,"uris":["http://zotero.org/users/7110448/items/Z3ZC8W9B"],"itemData":{"id":90,"type":"article-journal","container-title":"Best Practice &amp; Research Clinical Endocrinology &amp; Metabolism","DOI":"10.1016/j.beem.2017.04.002","ISSN":"1521690X","issue":"2","journalAbbreviation":"Best Practice &amp; Research Clinical Endocrinology &amp; Metabolism","language":"en","page":"129-142","source":"DOI.org (Crossref)","title":"Genetics of thyroid function","volume":"31","author":[{"family":"Medici","given":"Marco"},{"family":"Visser","given":"Theo J."},{"family":"Peeters","given":"Robin P."}],"issued":{"date-parts":[["2017",3]]}},"label":"page"},{"id":93,"uris":["http://zotero.org/users/7110448/items/CK8FU3ZB"],"itemData":{"id":93,"type":"article-journal","abstract":"Abstract\n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P"},{"family":"Medici","given":"Marco"}],"issued":{"date-parts":[["2020",6,1]]}},"label":"page"}],"schema":"https://github.com/citation-style-language/schema/raw/master/csl-citation.json"} </w:instrText>
      </w:r>
      <w:r w:rsidR="00263628">
        <w:rPr>
          <w:color w:val="000000"/>
          <w:shd w:val="clear" w:color="auto" w:fill="FFFFFF"/>
        </w:rPr>
        <w:fldChar w:fldCharType="separate"/>
      </w:r>
      <w:r w:rsidR="00263628">
        <w:rPr>
          <w:noProof/>
          <w:color w:val="000000"/>
          <w:shd w:val="clear" w:color="auto" w:fill="FFFFFF"/>
        </w:rPr>
        <w:t>(57,9)</w:t>
      </w:r>
      <w:r w:rsidR="00263628">
        <w:rPr>
          <w:color w:val="000000"/>
          <w:shd w:val="clear" w:color="auto" w:fill="FFFFFF"/>
        </w:rPr>
        <w:fldChar w:fldCharType="end"/>
      </w:r>
      <w:r w:rsidR="00263628">
        <w:rPr>
          <w:color w:val="000000"/>
          <w:shd w:val="clear" w:color="auto" w:fill="FFFFFF"/>
        </w:rPr>
        <w:t xml:space="preserve">. </w:t>
      </w:r>
      <w:r w:rsidR="00263628" w:rsidRPr="00AB2C18">
        <w:rPr>
          <w:color w:val="000000"/>
          <w:shd w:val="clear" w:color="auto" w:fill="FFFFFF"/>
        </w:rPr>
        <w:t xml:space="preserve">Os estudos de análise de ligação utilizam </w:t>
      </w:r>
      <w:r w:rsidR="00263628" w:rsidRPr="00583F03">
        <w:rPr>
          <w:color w:val="000000"/>
          <w:shd w:val="clear" w:color="auto" w:fill="FFFFFF"/>
        </w:rPr>
        <w:t>marcadores espalhados pelo genoma e permitem a identificação de genes herdados juntos e associados a determinado fenótipo. Como nes</w:t>
      </w:r>
      <w:r w:rsidR="00890844">
        <w:rPr>
          <w:color w:val="000000"/>
          <w:shd w:val="clear" w:color="auto" w:fill="FFFFFF"/>
        </w:rPr>
        <w:t>s</w:t>
      </w:r>
      <w:r w:rsidR="00263628" w:rsidRPr="00583F03">
        <w:rPr>
          <w:color w:val="000000"/>
          <w:shd w:val="clear" w:color="auto" w:fill="FFFFFF"/>
        </w:rPr>
        <w:t xml:space="preserve">e tipo de estudo todos os genes são estudados, e não apenas aqueles presumivelmente associados a fisiologia da tireoide, amplia-se a descoberta de novas associações de genes com o fenótipo de interesse. Porém, ambos tipos de estudos </w:t>
      </w:r>
      <w:r w:rsidR="00263628">
        <w:rPr>
          <w:color w:val="000000"/>
          <w:shd w:val="clear" w:color="auto" w:fill="FFFFFF"/>
        </w:rPr>
        <w:t>t</w:t>
      </w:r>
      <w:r w:rsidR="00890844">
        <w:rPr>
          <w:color w:val="000000"/>
          <w:shd w:val="clear" w:color="auto" w:fill="FFFFFF"/>
        </w:rPr>
        <w:t>ê</w:t>
      </w:r>
      <w:r w:rsidR="00263628">
        <w:rPr>
          <w:color w:val="000000"/>
          <w:shd w:val="clear" w:color="auto" w:fill="FFFFFF"/>
        </w:rPr>
        <w:t xml:space="preserve">m limitada genotipagem e </w:t>
      </w:r>
      <w:r w:rsidR="00263628" w:rsidRPr="00583F03">
        <w:rPr>
          <w:color w:val="000000"/>
          <w:shd w:val="clear" w:color="auto" w:fill="FFFFFF"/>
        </w:rPr>
        <w:t>contribu</w:t>
      </w:r>
      <w:r w:rsidR="00263628">
        <w:rPr>
          <w:color w:val="000000"/>
          <w:shd w:val="clear" w:color="auto" w:fill="FFFFFF"/>
        </w:rPr>
        <w:t>em</w:t>
      </w:r>
      <w:r w:rsidR="00263628" w:rsidRPr="00583F03">
        <w:rPr>
          <w:color w:val="000000"/>
          <w:shd w:val="clear" w:color="auto" w:fill="FFFFFF"/>
        </w:rPr>
        <w:t xml:space="preserve"> com a revelação de apenas um pequeno número de genes</w:t>
      </w:r>
      <w:r w:rsidR="00263628">
        <w:rPr>
          <w:color w:val="000000"/>
          <w:shd w:val="clear" w:color="auto" w:fill="FFFFFF"/>
        </w:rPr>
        <w:t xml:space="preserve"> e suas variantes </w:t>
      </w:r>
      <w:r w:rsidR="00263628" w:rsidRPr="00583F03">
        <w:rPr>
          <w:color w:val="000000"/>
          <w:shd w:val="clear" w:color="auto" w:fill="FFFFFF"/>
        </w:rPr>
        <w:t xml:space="preserve">associados </w:t>
      </w:r>
      <w:r w:rsidR="00890844">
        <w:rPr>
          <w:color w:val="000000"/>
          <w:shd w:val="clear" w:color="auto" w:fill="FFFFFF"/>
        </w:rPr>
        <w:t>à</w:t>
      </w:r>
      <w:r w:rsidR="00890844" w:rsidRPr="00583F03">
        <w:rPr>
          <w:color w:val="000000"/>
          <w:shd w:val="clear" w:color="auto" w:fill="FFFFFF"/>
        </w:rPr>
        <w:t xml:space="preserve"> </w:t>
      </w:r>
      <w:r w:rsidR="00263628" w:rsidRPr="00583F03">
        <w:rPr>
          <w:color w:val="000000"/>
          <w:shd w:val="clear" w:color="auto" w:fill="FFFFFF"/>
        </w:rPr>
        <w:t>função tireoidiana</w:t>
      </w:r>
      <w:r w:rsidR="00263628">
        <w:rPr>
          <w:color w:val="000000"/>
          <w:shd w:val="clear" w:color="auto" w:fill="FFFFFF"/>
        </w:rPr>
        <w:t xml:space="preserve"> </w:t>
      </w:r>
      <w:r>
        <w:rPr>
          <w:color w:val="000000"/>
          <w:shd w:val="clear" w:color="auto" w:fill="FFFFFF"/>
        </w:rPr>
        <w:fldChar w:fldCharType="begin"/>
      </w:r>
      <w:r w:rsidR="00344DCD">
        <w:rPr>
          <w:color w:val="000000"/>
          <w:shd w:val="clear" w:color="auto" w:fill="FFFFFF"/>
        </w:rPr>
        <w:instrText xml:space="preserve"> ADDIN ZOTERO_ITEM CSL_CITATION {"citationID":"3boZTLuM","properties":{"unsorted":true,"formattedCitation":"(16,69)","plainCitation":"(16,69)","noteIndex":0},"citationItems":[{"id":766,"uris":["http://zotero.org/users/7110448/items/9NFMWNE3"],"itemData":{"id":766,"type":"article-journal","abstract":"Genetics play a prominent role in both determination of thyroid hormone and thyrotropin (TSH) concentrations, and susceptibility to autoimmune thyroid disease. Heritability studies have suggested that up to 67% of circulating thyroid hormone and TSH concentrations are genetically determined, suggesting a genetic basis for narrow intra-individual variation in levels, perhaps a genetic ‘set point’. The search for the genes responsible has revealed several candidates, including the genes for phosphodiesterase 8B, iodothyronine deiodinase 1, F-actin-capping protein subunit beta and the TSH receptor; however, each of these only contributes a small amount to the variability of hormone concentrations, suggesting that further genes and mechanisms of genetic influence are yet to be discovered. Some genes known to influence thyroid function, including iodothyronine deiodinase 2 and the TSH receptor, have been shown to influence a wide range of clinical and developmental phenotypes from bone health to neurological development and longevity; such observations will help us understand the complex action of thyroid hormones on individual tissues. Finally, autoimmune thyroid disease commonly runs in families, and the search for genes which increase susceptibility has identified several good candidates, particularly those involved in immune regulation and thyroid function. However, these genes alone account for only a small percentage of the current prevalence of these disorders. Although the advancement of genetic technology has led to many significant findings in the last decade or two, it is clear that we are only just beginning to understand the role of genetics in thyroid function and disease.","container-title":"The Clinical Biochemist Reviews","ISSN":"0159-8090","issue":"4","journalAbbreviation":"Clin Biochem Rev","note":"PMID: 22147956\nPMCID: PMC3219766","page":"165-175","source":"PubMed Central","title":"Genetics of Thyroid Function and Disease","volume":"32","author":[{"family":"Panicker","given":"Vijay"}],"issued":{"date-parts":[["2011",11]]}},"label":"page"},{"id":91,"uris":["http://zotero.org/users/7110448/items/RS75T8F6"],"itemData":{"id":91,"type":"article-journal","container-title":"Endocrine Reviews","DOI":"10.1210/er.2014-1081","ISSN":"0163-769X, 1945-7189","issue":"2","language":"en","page":"214-244","source":"DOI.org (Crossref)","title":"Genetic Determination of the Hypothalamic-Pituitary-Thyroid Axis: Where Do We Stand?","title-short":"Genetic Determination of the Hypothalamic-Pituitary-Thyroid Axis","volume":"36","author":[{"family":"Medici","given":"Marco"},{"family":"Visser","given":"W. Edward"},{"family":"Visser","given":"Theo J."},{"family":"Peeters","given":"Robin P."}],"issued":{"date-parts":[["2015",4,1]]}},"label":"page"}],"schema":"https://github.com/citation-style-language/schema/raw/master/csl-citation.json"} </w:instrText>
      </w:r>
      <w:r>
        <w:rPr>
          <w:color w:val="000000"/>
          <w:shd w:val="clear" w:color="auto" w:fill="FFFFFF"/>
        </w:rPr>
        <w:fldChar w:fldCharType="separate"/>
      </w:r>
      <w:r>
        <w:rPr>
          <w:noProof/>
          <w:color w:val="000000"/>
          <w:shd w:val="clear" w:color="auto" w:fill="FFFFFF"/>
        </w:rPr>
        <w:t>(16,69)</w:t>
      </w:r>
      <w:r>
        <w:rPr>
          <w:color w:val="000000"/>
          <w:shd w:val="clear" w:color="auto" w:fill="FFFFFF"/>
        </w:rPr>
        <w:fldChar w:fldCharType="end"/>
      </w:r>
      <w:r>
        <w:rPr>
          <w:color w:val="000000"/>
          <w:shd w:val="clear" w:color="auto" w:fill="FFFFFF"/>
        </w:rPr>
        <w:t>.</w:t>
      </w:r>
    </w:p>
    <w:p w14:paraId="476AFC46" w14:textId="3E8DD2E5" w:rsidR="004950D5" w:rsidRDefault="004950D5" w:rsidP="00BA2385">
      <w:pPr>
        <w:spacing w:line="360" w:lineRule="auto"/>
        <w:jc w:val="both"/>
        <w:rPr>
          <w:highlight w:val="white"/>
        </w:rPr>
      </w:pPr>
      <w:r>
        <w:rPr>
          <w:color w:val="000000"/>
          <w:shd w:val="clear" w:color="auto" w:fill="FFFFFF"/>
        </w:rPr>
        <w:t xml:space="preserve">     </w:t>
      </w:r>
      <w:r w:rsidRPr="00583F03">
        <w:rPr>
          <w:color w:val="2A2A2A"/>
        </w:rPr>
        <w:t xml:space="preserve">A descoberta de </w:t>
      </w:r>
      <w:r w:rsidRPr="004C151A">
        <w:rPr>
          <w:color w:val="2A2A2A"/>
        </w:rPr>
        <w:t>maior número de variantes genéticas foi alcançada com a realização de grandes estudos de associação</w:t>
      </w:r>
      <w:r>
        <w:rPr>
          <w:color w:val="2A2A2A"/>
        </w:rPr>
        <w:t xml:space="preserve"> </w:t>
      </w:r>
      <w:r>
        <w:rPr>
          <w:color w:val="2A2A2A"/>
        </w:rPr>
        <w:fldChar w:fldCharType="begin"/>
      </w:r>
      <w:r w:rsidR="00344DCD">
        <w:rPr>
          <w:color w:val="2A2A2A"/>
        </w:rPr>
        <w:instrText xml:space="preserve"> ADDIN ZOTERO_ITEM CSL_CITATION {"citationID":"GQ77LXfK","properties":{"unsorted":true,"formattedCitation":"(70,18,19)","plainCitation":"(70,18,19)","noteIndex":0},"citationItems":[{"id":1569,"uris":["http://zotero.org/users/7110448/items/ELEZ8MTK"],"itemData":{"id":1569,"type":"article-journal","abstract":"Thyroid-stimulating hormone (TSH) is a sensitive indicator of thyroid function. High and low TSH levels reflect hypothyroidism and hyperthyroidism, respectively. Even within the normal range, small differences in TSH levels, on the order of 0.5-1.0 mU/l, are associated with significant differences in blood pressure, BMI, dyslipidemia, risk of atrial fibrillation and atherosclerosis. Most of the variance in TSH levels is thought to be genetically influenced. We conducted a genome-wide association study of TSH levels in 1346 Chinese Han individuals. In the replication study, we genotyped four candidate SNPs with the top association signals in an independent isolated Chinese She cohort (n = 3235). We identified a novel serum TSH susceptibility locus within XKR4 at 8q12.1 (rs2622590, Pcombined = 2.21 × 10(-10)), and we confirmed two previously reported TSH susceptibility loci near FOXE1 at 9q22.33 and near CAPZB at 1p36.13, respectively. The rs2622590_T allele at XKR4 and the rs925489_C allele near FOXE1 were correlated with low TSH levels and were found to be nominally associated to patients with papillary thyroid carcinoma (PTC) (OR = 1.41, P= 0.014 for rs2622590_T, and OR = 1.61, P= 0.030 for rs925489_C). The rs2622590 and rs925489 genotypes were also correlated with the expression levels of FOXE1 and XKR4, respectively, in PTC tissues (P = 2.41 × 10(-4) and P= 0.02). Our findings suggest that the SNPs in XKR4 and near FOXE1 are involved in the regulation of TSH levels.","container-title":"Human Molecular Genetics","DOI":"10.1093/hmg/ddu250","ISSN":"1460-2083","issue":"20","journalAbbreviation":"Hum Mol Genet","language":"eng","note":"PMID: 24852370","page":"5505-5517","source":"PubMed","title":"Genome-wide association study identifies a novel susceptibility gene for serum TSH levels in Chinese populations","volume":"23","author":[{"family":"Zhan","given":"Ming"},{"family":"Chen","given":"Gang"},{"family":"Pan","given":"Chun-Ming"},{"family":"Gu","given":"Zhao-Hui"},{"family":"Zhao","given":"Shuang-Xia"},{"family":"Liu","given":"Wei"},{"family":"Wang","given":"Hai-Ning"},{"family":"Ye","given":"Xiao-Ping"},{"family":"Xie","given":"Hui-Jun"},{"family":"Yu","given":"Sha-Sha"},{"family":"Liang","given":"Jun"},{"family":"Gao","given":"Guan-Qi"},{"family":"Yuan","given":"Guo-Yue"},{"family":"Zhang","given":"Xiao-Mei"},{"family":"Zuo","given":"Chun-Lin"},{"family":"Su","given":"Bin"},{"family":"Huang","given":"Wei"},{"family":"Ning","given":"Guang"},{"family":"Chen","given":"Sai-Juan"},{"family":"Chen","given":"Jia-Lun"},{"family":"Song","given":"Huai-Dong"},{"literal":"China Consortium for Genetics of Autoimmune Thyroid Disease"}],"issued":{"date-parts":[["2014",10,15]]}},"label":"page"},{"id":99,"uris":["http://zotero.org/users/7110448/items/3VVWNZR7"],"itemData":{"id":99,"type":"article-journal","container-title":"Nature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J."},{"family":"Medici","given":"Marco"}],"issued":{"date-parts":[["2018",12]]}},"label":"page"},{"id":98,"uris":["http://zotero.org/users/7110448/items/NWD9PBLZ"],"itemData":{"id":98,"type":"article-journal","container-title":"Nature Communications","DOI":"10.1038/s41467-020-17718-z","ISSN":"2041-1723","issue":"1","journalAbbreviation":"Nat Commun","language":"en","page":"3981","source":"DOI.org (Crossref)","title":"GWAS of thyroid stimulating hormone highlights pleiotropic effects and inverse association with thyroid cancer","volume":"11","author":[{"family":"Zhou","given":"Wei"},{"family":"Brumpton","given":"Ben"},{"family":"Kabil","given":"Omer"},{"family":"Gudmundsson","given":"Julius"},{"family":"Thorleifsson","given":"Gudmar"},{"family":"Weinstock","given":"Josh"},{"family":"Zawistowski","given":"Matthew"},{"family":"Nielsen","given":"Jonas B."},{"family":"Chaker","given":"Layal"},{"family":"Medici","given":"Marco"},{"family":"Teumer","given":"Alexander"},{"family":"Naitza","given":"Silvia"},{"family":"Sanna","given":"Serena"},{"family":"Schultheiss","given":"Ulla T."},{"family":"Cappola","given":"Anne"},{"family":"Karjalainen","given":"Juha"},{"family":"Kurki","given":"Mitja"},{"family":"Oneka","given":"Morgan"},{"family":"Taylor","given":"Peter"},{"family":"Fritsche","given":"Lars G."},{"family":"Graham","given":"Sarah E."},{"family":"Wolford","given":"Brooke N."},{"family":"Overton","given":"William"},{"family":"Rasheed","given":"Humaira"},{"family":"Haug","given":"Eirin B."},{"family":"Gabrielsen","given":"Maiken E."},{"family":"Skogholt","given":"Anne Heidi"},{"family":"Surakka","given":"Ida"},{"family":"Davey Smith","given":"George"},{"family":"Pandit","given":"Anita"},{"family":"Roychowdhury","given":"Tanmoy"},{"family":"Hornsby","given":"Whitney E."},{"family":"Jonasson","given":"Jon G."},{"family":"Senter","given":"Leigha"},{"family":"Liyanarachchi","given":"Sandya"},{"family":"Ringel","given":"Matthew D."},{"family":"Xu","given":"Li"},{"family":"Kiemeney","given":"Lambertus A."},{"family":"He","given":"Huiling"},{"family":"Netea-Maier","given":"Romana T."},{"family":"Mayordomo","given":"Jose I."},{"family":"Plantinga","given":"Theo S."},{"family":"Hrafnkelsson","given":"Jon"},{"family":"Hjartarson","given":"Hannes"},{"family":"Sturgis","given":"Erich M."},{"family":"Palotie","given":"Aarno"},{"family":"Daly","given":"Mark"},{"family":"Citterio","given":"Cintia E."},{"family":"Arvan","given":"Peter"},{"family":"Brummett","given":"Chad M."},{"family":"Boehnke","given":"Michael"},{"family":"Chapelle","given":"Albert","non-dropping-particle":"de la"},{"family":"Stefansson","given":"Kari"},{"family":"Hveem","given":"Kristian"},{"family":"Willer","given":"Cristen J."},{"family":"Åsvold","given":"Bjørn Olav"}],"issued":{"date-parts":[["2020",12]]}},"label":"page"}],"schema":"https://github.com/citation-style-language/schema/raw/master/csl-citation.json"} </w:instrText>
      </w:r>
      <w:r>
        <w:rPr>
          <w:color w:val="2A2A2A"/>
        </w:rPr>
        <w:fldChar w:fldCharType="separate"/>
      </w:r>
      <w:r>
        <w:rPr>
          <w:noProof/>
          <w:color w:val="2A2A2A"/>
        </w:rPr>
        <w:t>(70,18,19)</w:t>
      </w:r>
      <w:r>
        <w:rPr>
          <w:color w:val="2A2A2A"/>
        </w:rPr>
        <w:fldChar w:fldCharType="end"/>
      </w:r>
      <w:r w:rsidRPr="004C151A">
        <w:rPr>
          <w:color w:val="2A2A2A"/>
        </w:rPr>
        <w:t xml:space="preserve">. Os </w:t>
      </w:r>
      <w:r w:rsidR="00D42AD3">
        <w:rPr>
          <w:color w:val="2A2A2A"/>
        </w:rPr>
        <w:t xml:space="preserve">estudos de associação genômica ampla </w:t>
      </w:r>
      <w:r w:rsidR="00043A99">
        <w:rPr>
          <w:color w:val="2A2A2A"/>
        </w:rPr>
        <w:t>-</w:t>
      </w:r>
      <w:r w:rsidR="00D42AD3">
        <w:rPr>
          <w:color w:val="2A2A2A"/>
        </w:rPr>
        <w:t xml:space="preserve"> </w:t>
      </w:r>
      <w:proofErr w:type="spellStart"/>
      <w:r w:rsidR="00D42AD3" w:rsidRPr="00D42AD3">
        <w:rPr>
          <w:i/>
          <w:iCs/>
          <w:color w:val="2A2A2A"/>
        </w:rPr>
        <w:t>Genome</w:t>
      </w:r>
      <w:proofErr w:type="spellEnd"/>
      <w:r w:rsidR="00D42AD3" w:rsidRPr="00D42AD3">
        <w:rPr>
          <w:i/>
          <w:iCs/>
          <w:color w:val="2A2A2A"/>
        </w:rPr>
        <w:t xml:space="preserve"> </w:t>
      </w:r>
      <w:proofErr w:type="spellStart"/>
      <w:r w:rsidR="00D42AD3" w:rsidRPr="00D42AD3">
        <w:rPr>
          <w:i/>
          <w:iCs/>
          <w:color w:val="2A2A2A"/>
        </w:rPr>
        <w:t>Wide</w:t>
      </w:r>
      <w:proofErr w:type="spellEnd"/>
      <w:r w:rsidR="00D42AD3" w:rsidRPr="00D42AD3">
        <w:rPr>
          <w:i/>
          <w:iCs/>
          <w:color w:val="2A2A2A"/>
        </w:rPr>
        <w:t xml:space="preserve"> </w:t>
      </w:r>
      <w:proofErr w:type="spellStart"/>
      <w:r w:rsidR="00D42AD3" w:rsidRPr="00D42AD3">
        <w:rPr>
          <w:i/>
          <w:iCs/>
          <w:color w:val="2A2A2A"/>
        </w:rPr>
        <w:t>Association</w:t>
      </w:r>
      <w:proofErr w:type="spellEnd"/>
      <w:r w:rsidR="00D42AD3" w:rsidRPr="00D42AD3">
        <w:rPr>
          <w:i/>
          <w:iCs/>
          <w:color w:val="2A2A2A"/>
        </w:rPr>
        <w:t xml:space="preserve"> </w:t>
      </w:r>
      <w:proofErr w:type="spellStart"/>
      <w:r w:rsidR="00D42AD3" w:rsidRPr="00D42AD3">
        <w:rPr>
          <w:i/>
          <w:iCs/>
          <w:color w:val="2A2A2A"/>
        </w:rPr>
        <w:t>Studies</w:t>
      </w:r>
      <w:proofErr w:type="spellEnd"/>
      <w:r w:rsidR="00D42AD3" w:rsidRPr="00D42AD3">
        <w:rPr>
          <w:i/>
          <w:iCs/>
          <w:color w:val="2A2A2A"/>
        </w:rPr>
        <w:t xml:space="preserve"> </w:t>
      </w:r>
      <w:r w:rsidR="00D42AD3" w:rsidRPr="00E44DCC">
        <w:rPr>
          <w:iCs/>
          <w:color w:val="2A2A2A"/>
        </w:rPr>
        <w:t>(</w:t>
      </w:r>
      <w:r w:rsidRPr="00E44DCC">
        <w:rPr>
          <w:iCs/>
          <w:color w:val="2A2A2A"/>
        </w:rPr>
        <w:t>GWAS</w:t>
      </w:r>
      <w:r w:rsidR="00D42AD3" w:rsidRPr="00E44DCC">
        <w:rPr>
          <w:iCs/>
          <w:color w:val="2A2A2A"/>
        </w:rPr>
        <w:t>)</w:t>
      </w:r>
      <w:r w:rsidRPr="004C151A">
        <w:rPr>
          <w:color w:val="2A2A2A"/>
        </w:rPr>
        <w:t xml:space="preserve"> </w:t>
      </w:r>
      <w:r w:rsidR="00043A99">
        <w:rPr>
          <w:color w:val="2A2A2A"/>
        </w:rPr>
        <w:t xml:space="preserve">- </w:t>
      </w:r>
      <w:r w:rsidRPr="004C151A">
        <w:rPr>
          <w:color w:val="2A2A2A"/>
        </w:rPr>
        <w:t>permitem investigar a associação entre diversas variantes genéticas e fenótipos de interesse numa determinada população</w:t>
      </w:r>
      <w:r w:rsidR="007E0111">
        <w:rPr>
          <w:color w:val="2A2A2A"/>
        </w:rPr>
        <w:t xml:space="preserve"> </w:t>
      </w:r>
      <w:r w:rsidR="000C277B">
        <w:rPr>
          <w:color w:val="2A2A2A"/>
        </w:rPr>
        <w:fldChar w:fldCharType="begin"/>
      </w:r>
      <w:r w:rsidR="00344DCD">
        <w:rPr>
          <w:color w:val="2A2A2A"/>
        </w:rPr>
        <w:instrText xml:space="preserve"> ADDIN ZOTERO_ITEM CSL_CITATION {"citationID":"GI0miz8z","properties":{"unsorted":true,"formattedCitation":"(71,72)","plainCitation":"(71,72)","noteIndex":0},"citationItems":[{"id":1634,"uris":["http://zotero.org/users/7110448/items/PZBDSCE8"],"itemData":{"id":1634,"type":"article-journal","container-title":"PLoS genetics","DOI":"10.1371/journal.pgen.1002812","journalAbbreviation":"PLoS genetics","page":"e1002812","source":"ResearchGate","title":"Guidelines for Genome-Wide Association Studies","volume":"8","author":[{"family":"Barsh","given":"Gregory"},{"family":"Copenhaver","given":"Gregory"},{"family":"Gibson","given":"Greg"},{"family":"Williams","given":"Scott"}],"issued":{"date-parts":[["2012",7,1]]}},"label":"page"},{"id":1488,"uris":["http://zotero.org/users/7110448/items/KKBMFG86"],"itemData":{"id":1488,"type":"article-journal","abstract":"The GWAS Central resource provides a toolkit for integrative access and visualization of a uniquely extensive collection of genome-wide association study data, while ensuring safe open access to prevent research participant identification. GWAS Central is the world's most comprehensive openly accessible repository of summary-level GWAS association information, providing over 70 million P-values for over 3800 studies investigating over 1400 unique phenotypes. The database content comprises direct submissions received from GWAS authors and consortia, in addition to actively gathered data sets from various public sources. GWAS data are discoverable from the perspective of genetic markers, genes, genome regions or phenotypes, via graphical visualizations and detailed downloadable data reports. Tested genetic markers and relevant genomic features can be visually interrogated across up to sixteen multiple association data sets in a single view using the integrated genome browser. The semantic standardization of phenotype descriptions with Medical Subject Headings and the Human Phenotype Ontology allows the precise identification of genetic variants associated with diseases, phenotypes and traits of interest. Harmonization of the phenotype descriptions used across several GWAS-related resources has extended the phenotype search capabilities to enable cross-database study discovery using a range of ontologies. GWAS Central is updated regularly and available at https://www.gwascentral.org.","container-title":"Nucleic Acids Research","DOI":"10.1093/nar/gkz895","ISSN":"0305-1048","issue":"D1","journalAbbreviation":"Nucleic Acids Research","page":"D933-D940","source":"Silverchair","title":"GWAS Central: a comprehensive resource for the discovery and comparison of genotype and phenotype data from genome-wide association studies","title-short":"GWAS Central","volume":"48","author":[{"family":"Beck","given":"Tim"},{"family":"Shorter","given":"Tom"},{"family":"Brookes","given":"Anthony J"}],"issued":{"date-parts":[["2020",1,8]]}},"label":"page"}],"schema":"https://github.com/citation-style-language/schema/raw/master/csl-citation.json"} </w:instrText>
      </w:r>
      <w:r w:rsidR="000C277B">
        <w:rPr>
          <w:color w:val="2A2A2A"/>
        </w:rPr>
        <w:fldChar w:fldCharType="separate"/>
      </w:r>
      <w:r w:rsidR="000C277B">
        <w:rPr>
          <w:noProof/>
          <w:color w:val="2A2A2A"/>
        </w:rPr>
        <w:t>(71,72)</w:t>
      </w:r>
      <w:r w:rsidR="000C277B">
        <w:rPr>
          <w:color w:val="2A2A2A"/>
        </w:rPr>
        <w:fldChar w:fldCharType="end"/>
      </w:r>
      <w:r w:rsidRPr="004C151A">
        <w:rPr>
          <w:color w:val="2A2A2A"/>
        </w:rPr>
        <w:t>. É possível genotipar ao mesmo tempo até 1 milhão de variantes genéticas</w:t>
      </w:r>
      <w:r w:rsidR="00BA2385">
        <w:rPr>
          <w:color w:val="2A2A2A"/>
        </w:rPr>
        <w:t xml:space="preserve">, </w:t>
      </w:r>
      <w:r w:rsidR="00BA2385">
        <w:rPr>
          <w:rStyle w:val="y2iqfc"/>
          <w:color w:val="202124"/>
          <w:lang w:val="pt-PT"/>
        </w:rPr>
        <w:t>porém é necessário</w:t>
      </w:r>
      <w:r w:rsidR="00BA2385" w:rsidRPr="00BA2385">
        <w:rPr>
          <w:rStyle w:val="y2iqfc"/>
          <w:color w:val="202124"/>
          <w:lang w:val="pt-PT"/>
        </w:rPr>
        <w:t xml:space="preserve"> </w:t>
      </w:r>
      <w:r w:rsidR="00BA2385">
        <w:rPr>
          <w:rStyle w:val="y2iqfc"/>
          <w:color w:val="202124"/>
          <w:lang w:val="pt-PT"/>
        </w:rPr>
        <w:t xml:space="preserve">ajustar </w:t>
      </w:r>
      <w:r w:rsidR="00BA2385" w:rsidRPr="004C151A">
        <w:rPr>
          <w:rStyle w:val="y2iqfc"/>
          <w:color w:val="202124"/>
          <w:lang w:val="pt-PT"/>
        </w:rPr>
        <w:t xml:space="preserve">valor </w:t>
      </w:r>
      <w:r w:rsidR="007368F6">
        <w:rPr>
          <w:rStyle w:val="y2iqfc"/>
          <w:color w:val="202124"/>
          <w:lang w:val="pt-PT"/>
        </w:rPr>
        <w:t>p</w:t>
      </w:r>
      <w:r w:rsidR="00BA2385" w:rsidRPr="004C151A">
        <w:rPr>
          <w:rStyle w:val="y2iqfc"/>
          <w:color w:val="202124"/>
          <w:lang w:val="pt-PT"/>
        </w:rPr>
        <w:t xml:space="preserve">  (</w:t>
      </w:r>
      <w:r w:rsidR="007368F6">
        <w:rPr>
          <w:rStyle w:val="y2iqfc"/>
          <w:color w:val="202124"/>
          <w:lang w:val="pt-PT"/>
        </w:rPr>
        <w:t>p</w:t>
      </w:r>
      <w:r w:rsidR="00BA2385" w:rsidRPr="004C151A">
        <w:rPr>
          <w:rStyle w:val="y2iqfc"/>
          <w:color w:val="202124"/>
          <w:lang w:val="pt-PT"/>
        </w:rPr>
        <w:t xml:space="preserve"> &lt;5 × 10-8) </w:t>
      </w:r>
      <w:r w:rsidR="00BA2385">
        <w:rPr>
          <w:rStyle w:val="y2iqfc"/>
          <w:color w:val="202124"/>
          <w:lang w:val="pt-PT"/>
        </w:rPr>
        <w:t xml:space="preserve">para evitar </w:t>
      </w:r>
      <w:r w:rsidR="000C277B" w:rsidRPr="004C151A">
        <w:rPr>
          <w:rStyle w:val="y2iqfc"/>
          <w:color w:val="202124"/>
          <w:lang w:val="pt-PT"/>
        </w:rPr>
        <w:t>resultados falso-positivos</w:t>
      </w:r>
      <w:r w:rsidR="00BA2385">
        <w:rPr>
          <w:rStyle w:val="y2iqfc"/>
          <w:color w:val="202124"/>
          <w:lang w:val="pt-PT"/>
        </w:rPr>
        <w:t>,</w:t>
      </w:r>
      <w:r w:rsidR="000C277B" w:rsidRPr="004C151A">
        <w:rPr>
          <w:rStyle w:val="y2iqfc"/>
          <w:color w:val="202124"/>
          <w:lang w:val="pt-PT"/>
        </w:rPr>
        <w:t xml:space="preserve"> devido </w:t>
      </w:r>
      <w:r w:rsidR="00043A99">
        <w:rPr>
          <w:rStyle w:val="y2iqfc"/>
          <w:color w:val="202124"/>
          <w:lang w:val="pt-PT"/>
        </w:rPr>
        <w:t>à</w:t>
      </w:r>
      <w:r w:rsidR="00043A99" w:rsidRPr="004C151A">
        <w:rPr>
          <w:rStyle w:val="y2iqfc"/>
          <w:color w:val="202124"/>
          <w:lang w:val="pt-PT"/>
        </w:rPr>
        <w:t xml:space="preserve"> </w:t>
      </w:r>
      <w:r w:rsidR="00BA2385">
        <w:rPr>
          <w:rStyle w:val="y2iqfc"/>
          <w:color w:val="202124"/>
          <w:lang w:val="pt-PT"/>
        </w:rPr>
        <w:t>realização de múltiplos te</w:t>
      </w:r>
      <w:r w:rsidR="000D0759">
        <w:rPr>
          <w:rStyle w:val="y2iqfc"/>
          <w:color w:val="202124"/>
          <w:lang w:val="pt-PT"/>
        </w:rPr>
        <w:t>s</w:t>
      </w:r>
      <w:r w:rsidR="00BA2385">
        <w:rPr>
          <w:rStyle w:val="y2iqfc"/>
          <w:color w:val="202124"/>
          <w:lang w:val="pt-PT"/>
        </w:rPr>
        <w:t xml:space="preserve">tes </w:t>
      </w:r>
      <w:r w:rsidR="00BA2385">
        <w:rPr>
          <w:rStyle w:val="y2iqfc"/>
          <w:color w:val="202124"/>
          <w:lang w:val="pt-PT"/>
        </w:rPr>
        <w:fldChar w:fldCharType="begin"/>
      </w:r>
      <w:r w:rsidR="00344DCD">
        <w:rPr>
          <w:rStyle w:val="y2iqfc"/>
          <w:color w:val="202124"/>
          <w:lang w:val="pt-PT"/>
        </w:rPr>
        <w:instrText xml:space="preserve"> ADDIN ZOTERO_ITEM CSL_CITATION {"citationID":"tJmuXfpW","properties":{"unsorted":true,"formattedCitation":"(9,71,72)","plainCitation":"(9,71,72)","noteIndex":0},"citationItems":[{"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P"},{"family":"Medici","given":"Marco"}],"issued":{"date-parts":[["2020",6,1]]}},"label":"page"},{"id":1634,"uris":["http://zotero.org/users/7110448/items/PZBDSCE8"],"itemData":{"id":1634,"type":"article-journal","container-title":"PLoS genetics","DOI":"10.1371/journal.pgen.1002812","journalAbbreviation":"PLoS genetics","page":"e1002812","source":"ResearchGate","title":"Guidelines for Genome-Wide Association Studies","volume":"8","author":[{"family":"Barsh","given":"Gregory"},{"family":"Copenhaver","given":"Gregory"},{"family":"Gibson","given":"Greg"},{"family":"Williams","given":"Scott"}],"issued":{"date-parts":[["2012",7,1]]}},"label":"page"},{"id":1488,"uris":["http://zotero.org/users/7110448/items/KKBMFG86"],"itemData":{"id":1488,"type":"article-journal","abstract":"The GWAS Central resource provides a toolkit for integrative access and visualization of a uniquely extensive collection of genome-wide association study data, while ensuring safe open access to prevent research participant identification. GWAS Central is the world's most comprehensive openly accessible repository of summary-level GWAS association information, providing over 70 million P-values for over 3800 studies investigating over 1400 unique phenotypes. The database content comprises direct submissions received from GWAS authors and consortia, in addition to actively gathered data sets from various public sources. GWAS data are discoverable from the perspective of genetic markers, genes, genome regions or phenotypes, via graphical visualizations and detailed downloadable data reports. Tested genetic markers and relevant genomic features can be visually interrogated across up to sixteen multiple association data sets in a single view using the integrated genome browser. The semantic standardization of phenotype descriptions with Medical Subject Headings and the Human Phenotype Ontology allows the precise identification of genetic variants associated with diseases, phenotypes and traits of interest. Harmonization of the phenotype descriptions used across several GWAS-related resources has extended the phenotype search capabilities to enable cross-database study discovery using a range of ontologies. GWAS Central is updated regularly and available at https://www.gwascentral.org.","container-title":"Nucleic Acids Research","DOI":"10.1093/nar/gkz895","ISSN":"0305-1048","issue":"D1","journalAbbreviation":"Nucleic Acids Research","page":"D933-D940","source":"Silverchair","title":"GWAS Central: a comprehensive resource for the discovery and comparison of genotype and phenotype data from genome-wide association studies","title-short":"GWAS Central","volume":"48","author":[{"family":"Beck","given":"Tim"},{"family":"Shorter","given":"Tom"},{"family":"Brookes","given":"Anthony J"}],"issued":{"date-parts":[["2020",1,8]]}},"label":"page"}],"schema":"https://github.com/citation-style-language/schema/raw/master/csl-citation.json"} </w:instrText>
      </w:r>
      <w:r w:rsidR="00BA2385">
        <w:rPr>
          <w:rStyle w:val="y2iqfc"/>
          <w:color w:val="202124"/>
          <w:lang w:val="pt-PT"/>
        </w:rPr>
        <w:fldChar w:fldCharType="separate"/>
      </w:r>
      <w:r w:rsidR="00BA2385">
        <w:rPr>
          <w:rStyle w:val="y2iqfc"/>
          <w:noProof/>
          <w:color w:val="202124"/>
          <w:lang w:val="pt-PT"/>
        </w:rPr>
        <w:t>(9,71,72)</w:t>
      </w:r>
      <w:r w:rsidR="00BA2385">
        <w:rPr>
          <w:rStyle w:val="y2iqfc"/>
          <w:color w:val="202124"/>
          <w:lang w:val="pt-PT"/>
        </w:rPr>
        <w:fldChar w:fldCharType="end"/>
      </w:r>
      <w:r w:rsidR="00BA2385">
        <w:rPr>
          <w:rStyle w:val="y2iqfc"/>
          <w:color w:val="202124"/>
          <w:lang w:val="pt-PT"/>
        </w:rPr>
        <w:t xml:space="preserve">. </w:t>
      </w:r>
      <w:r w:rsidR="00BA2385" w:rsidRPr="004C151A">
        <w:rPr>
          <w:rStyle w:val="y2iqfc"/>
          <w:color w:val="202124"/>
          <w:lang w:val="pt-PT"/>
        </w:rPr>
        <w:t>Portanto, grandes tamanhos de amostra são necessários para garantir potência</w:t>
      </w:r>
      <w:r w:rsidR="00D42AD3">
        <w:rPr>
          <w:rStyle w:val="y2iqfc"/>
          <w:color w:val="202124"/>
          <w:lang w:val="pt-PT"/>
        </w:rPr>
        <w:t xml:space="preserve"> </w:t>
      </w:r>
      <w:proofErr w:type="spellStart"/>
      <w:r w:rsidR="00D42AD3">
        <w:rPr>
          <w:rStyle w:val="y2iqfc"/>
          <w:color w:val="202124"/>
          <w:lang w:val="pt-PT"/>
        </w:rPr>
        <w:t>e</w:t>
      </w:r>
      <w:r w:rsidR="007217C4">
        <w:rPr>
          <w:rStyle w:val="y2iqfc"/>
          <w:color w:val="202124"/>
          <w:lang w:val="pt-PT"/>
        </w:rPr>
        <w:t>stati</w:t>
      </w:r>
      <w:r w:rsidR="00D42AD3">
        <w:rPr>
          <w:rStyle w:val="y2iqfc"/>
          <w:color w:val="202124"/>
          <w:lang w:val="pt-PT"/>
        </w:rPr>
        <w:t>stica</w:t>
      </w:r>
      <w:proofErr w:type="spellEnd"/>
      <w:r w:rsidR="007217C4">
        <w:rPr>
          <w:rStyle w:val="y2iqfc"/>
          <w:color w:val="202124"/>
        </w:rPr>
        <w:t>mente</w:t>
      </w:r>
      <w:r w:rsidR="00BA2385" w:rsidRPr="004C151A">
        <w:rPr>
          <w:rStyle w:val="y2iqfc"/>
          <w:color w:val="202124"/>
          <w:lang w:val="pt-PT"/>
        </w:rPr>
        <w:t xml:space="preserve"> suficiente</w:t>
      </w:r>
      <w:r w:rsidR="002F7C01">
        <w:rPr>
          <w:rStyle w:val="y2iqfc"/>
          <w:color w:val="202124"/>
          <w:lang w:val="pt-PT"/>
        </w:rPr>
        <w:t xml:space="preserve"> </w:t>
      </w:r>
      <w:r w:rsidR="002F7C01">
        <w:rPr>
          <w:rStyle w:val="y2iqfc"/>
          <w:color w:val="202124"/>
          <w:lang w:val="pt-PT"/>
        </w:rPr>
        <w:fldChar w:fldCharType="begin"/>
      </w:r>
      <w:r w:rsidR="00344DCD">
        <w:rPr>
          <w:rStyle w:val="y2iqfc"/>
          <w:color w:val="202124"/>
          <w:lang w:val="pt-PT"/>
        </w:rPr>
        <w:instrText xml:space="preserve"> ADDIN ZOTERO_ITEM CSL_CITATION {"citationID":"diYoiTge","properties":{"formattedCitation":"(69)","plainCitation":"(69)","noteIndex":0},"citationItems":[{"id":91,"uris":["http://zotero.org/users/7110448/items/RS75T8F6"],"itemData":{"id":91,"type":"article-journal","container-title":"Endocrine Reviews","DOI":"10.1210/er.2014-1081","ISSN":"0163-769X, 1945-7189","issue":"2","language":"en","page":"214-244","source":"DOI.org (Crossref)","title":"Genetic Determination of the Hypothalamic-Pituitary-Thyroid Axis: Where Do We Stand?","title-short":"Genetic Determination of the Hypothalamic-Pituitary-Thyroid Axis","volume":"36","author":[{"family":"Medici","given":"Marco"},{"family":"Visser","given":"W. Edward"},{"family":"Visser","given":"Theo J."},{"family":"Peeters","given":"Robin P."}],"issued":{"date-parts":[["2015",4,1]]}}}],"schema":"https://github.com/citation-style-language/schema/raw/master/csl-citation.json"} </w:instrText>
      </w:r>
      <w:r w:rsidR="002F7C01">
        <w:rPr>
          <w:rStyle w:val="y2iqfc"/>
          <w:color w:val="202124"/>
          <w:lang w:val="pt-PT"/>
        </w:rPr>
        <w:fldChar w:fldCharType="separate"/>
      </w:r>
      <w:r w:rsidR="002F7C01">
        <w:rPr>
          <w:rStyle w:val="y2iqfc"/>
          <w:noProof/>
          <w:color w:val="202124"/>
          <w:lang w:val="pt-PT"/>
        </w:rPr>
        <w:t>(69)</w:t>
      </w:r>
      <w:r w:rsidR="002F7C01">
        <w:rPr>
          <w:rStyle w:val="y2iqfc"/>
          <w:color w:val="202124"/>
          <w:lang w:val="pt-PT"/>
        </w:rPr>
        <w:fldChar w:fldCharType="end"/>
      </w:r>
      <w:r w:rsidR="002F7C01">
        <w:rPr>
          <w:rStyle w:val="y2iqfc"/>
          <w:color w:val="202124"/>
          <w:lang w:val="pt-PT"/>
        </w:rPr>
        <w:t>.</w:t>
      </w:r>
    </w:p>
    <w:p w14:paraId="6CCFDE18" w14:textId="7D88201F" w:rsidR="00345A88" w:rsidRDefault="00345A88" w:rsidP="00E57ED8">
      <w:pPr>
        <w:spacing w:line="360" w:lineRule="auto"/>
        <w:jc w:val="both"/>
        <w:rPr>
          <w:highlight w:val="white"/>
        </w:rPr>
      </w:pPr>
    </w:p>
    <w:p w14:paraId="6A454A8F" w14:textId="77777777" w:rsidR="00345A88" w:rsidRDefault="00345A88" w:rsidP="00E57ED8">
      <w:pPr>
        <w:spacing w:line="360" w:lineRule="auto"/>
        <w:jc w:val="both"/>
        <w:rPr>
          <w:highlight w:val="white"/>
        </w:rPr>
      </w:pPr>
    </w:p>
    <w:p w14:paraId="72F3963D" w14:textId="77777777" w:rsidR="00043A99" w:rsidRDefault="00043A99" w:rsidP="006D6586">
      <w:pPr>
        <w:spacing w:line="360" w:lineRule="auto"/>
        <w:rPr>
          <w:color w:val="2A2A2A"/>
        </w:rPr>
      </w:pPr>
    </w:p>
    <w:p w14:paraId="3D1B1DA9" w14:textId="1FC8A44D" w:rsidR="001D5684" w:rsidRPr="00D817F0" w:rsidRDefault="001D74B0" w:rsidP="000D59B4">
      <w:pPr>
        <w:spacing w:line="360" w:lineRule="auto"/>
        <w:jc w:val="both"/>
        <w:rPr>
          <w:b/>
          <w:color w:val="2A2A2A"/>
        </w:rPr>
      </w:pPr>
      <w:r>
        <w:rPr>
          <w:b/>
          <w:color w:val="2A2A2A"/>
        </w:rPr>
        <w:lastRenderedPageBreak/>
        <w:t>2.2.</w:t>
      </w:r>
      <w:r w:rsidR="00B53006">
        <w:rPr>
          <w:b/>
          <w:color w:val="2A2A2A"/>
        </w:rPr>
        <w:t>3</w:t>
      </w:r>
      <w:r w:rsidR="00043A99" w:rsidRPr="00043A99">
        <w:rPr>
          <w:b/>
          <w:color w:val="2A2A2A"/>
        </w:rPr>
        <w:t xml:space="preserve"> Papel Fisiológico dos Genes Candidatos Avaliados neste Estudo</w:t>
      </w:r>
    </w:p>
    <w:p w14:paraId="2EB81BA6" w14:textId="2329D927" w:rsidR="008774EE" w:rsidRDefault="008774EE" w:rsidP="000D59B4">
      <w:pPr>
        <w:spacing w:line="360" w:lineRule="auto"/>
        <w:jc w:val="both"/>
        <w:rPr>
          <w:color w:val="2A2A2A"/>
        </w:rPr>
      </w:pPr>
    </w:p>
    <w:p w14:paraId="2A60C7FC" w14:textId="035A86A9" w:rsidR="00485D37" w:rsidRDefault="00485D37" w:rsidP="000D59B4">
      <w:pPr>
        <w:spacing w:line="360" w:lineRule="auto"/>
        <w:jc w:val="both"/>
        <w:rPr>
          <w:color w:val="2A2A2A"/>
        </w:rPr>
      </w:pPr>
      <w:r>
        <w:rPr>
          <w:color w:val="2A2A2A"/>
        </w:rPr>
        <w:t xml:space="preserve">     </w:t>
      </w:r>
      <w:r w:rsidR="008774EE">
        <w:rPr>
          <w:color w:val="2A2A2A"/>
        </w:rPr>
        <w:t xml:space="preserve">Para este estudo, escolhemos a abordagem de avaliação </w:t>
      </w:r>
      <w:r w:rsidR="00762A9C">
        <w:rPr>
          <w:color w:val="2A2A2A"/>
        </w:rPr>
        <w:t>de polimorfismos em genes candidatos</w:t>
      </w:r>
      <w:r w:rsidR="00043A99">
        <w:rPr>
          <w:color w:val="2A2A2A"/>
        </w:rPr>
        <w:t>,</w:t>
      </w:r>
      <w:r w:rsidR="00762A9C">
        <w:rPr>
          <w:color w:val="2A2A2A"/>
        </w:rPr>
        <w:t xml:space="preserve"> obtidos a partir de estudos de associação de função tireoidiana do tipo </w:t>
      </w:r>
      <w:r w:rsidR="00762A9C" w:rsidRPr="00D817F0">
        <w:rPr>
          <w:iCs/>
          <w:color w:val="2A2A2A"/>
        </w:rPr>
        <w:t>GWAS</w:t>
      </w:r>
      <w:r w:rsidR="00762A9C">
        <w:rPr>
          <w:color w:val="2A2A2A"/>
        </w:rPr>
        <w:t>, realizado em adultos. Para efeito didático, criamos uma sessão que explica o papel fisiológico des</w:t>
      </w:r>
      <w:r w:rsidR="00043A99">
        <w:rPr>
          <w:color w:val="2A2A2A"/>
        </w:rPr>
        <w:t>s</w:t>
      </w:r>
      <w:r w:rsidR="00762A9C">
        <w:rPr>
          <w:color w:val="2A2A2A"/>
        </w:rPr>
        <w:t xml:space="preserve">es genes, agrupando-os em subgrupos específicos </w:t>
      </w:r>
      <w:r w:rsidR="00762A9C">
        <w:rPr>
          <w:color w:val="2A2A2A"/>
        </w:rPr>
        <w:fldChar w:fldCharType="begin"/>
      </w:r>
      <w:r w:rsidR="00262059">
        <w:rPr>
          <w:color w:val="2A2A2A"/>
        </w:rPr>
        <w:instrText xml:space="preserve"> ADDIN ZOTERO_ITEM CSL_CITATION {"citationID":"YXyNXQFu","properties":{"unsorted":true,"formattedCitation":"(73,74,57,18)","plainCitation":"(73,74,57,18)","noteIndex":0},"citationItems":[{"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P."},{"family":"Naitza","given":"Silvia"}],"issued":{"date-parts":[["2013"]]}},"label":"page"},{"id":"XtcnOX9k/eaPwSLvi","uris":["http://zotero.org/users/7110448/items/MZYY4UYP"],"itemData":{"id":1682,"type":"webpage","title":"Whole-genome sequence-based analysis of thyroid function | Nature Communications","URL":"https://www.nature.com/articles/ncomms6681","accessed":{"date-parts":[["2021",12,26]]}},"label":"page"},{"id":90,"uris":["http://zotero.org/users/7110448/items/Z3ZC8W9B"],"itemData":{"id":90,"type":"article-journal","container-title":"Best Practice &amp; Research Clinical Endocrinology &amp; Metabolism","DOI":"10.1016/j.beem.2017.04.002","ISSN":"1521690X","issue":"2","journalAbbreviation":"Best Practice &amp; Research Clinical Endocrinology &amp; Metabolism","language":"en","page":"129-142","source":"DOI.org (Crossref)","title":"Genetics of thyroid function","volume":"31","author":[{"family":"Medici","given":"Marco"},{"family":"Visser","given":"Theo J."},{"family":"Peeters","given":"Robin P."}],"issued":{"date-parts":[["2017",3]]}},"label":"page"},{"id":99,"uris":["http://zotero.org/users/7110448/items/3VVWNZR7"],"itemData":{"id":99,"type":"article-journal","container-title":"Nature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J."},{"family":"Medici","given":"Marco"}],"issued":{"date-parts":[["2018",12]]}},"label":"page"}],"schema":"https://github.com/citation-style-language/schema/raw/master/csl-citation.json"} </w:instrText>
      </w:r>
      <w:r w:rsidR="00762A9C">
        <w:rPr>
          <w:color w:val="2A2A2A"/>
        </w:rPr>
        <w:fldChar w:fldCharType="separate"/>
      </w:r>
      <w:r w:rsidR="000C277B">
        <w:rPr>
          <w:color w:val="000000"/>
        </w:rPr>
        <w:t>(73,74,57,18)</w:t>
      </w:r>
      <w:r w:rsidR="00762A9C">
        <w:rPr>
          <w:color w:val="2A2A2A"/>
        </w:rPr>
        <w:fldChar w:fldCharType="end"/>
      </w:r>
      <w:r w:rsidR="000D59B4">
        <w:rPr>
          <w:color w:val="2A2A2A"/>
        </w:rPr>
        <w:t>.</w:t>
      </w:r>
    </w:p>
    <w:p w14:paraId="69441E53" w14:textId="19B9C9EF" w:rsidR="00485D37" w:rsidRDefault="00485D37" w:rsidP="00043A99">
      <w:pPr>
        <w:jc w:val="both"/>
        <w:rPr>
          <w:color w:val="2A2A2A"/>
        </w:rPr>
      </w:pPr>
    </w:p>
    <w:p w14:paraId="77454A5D" w14:textId="016B2E5A" w:rsidR="005637B7" w:rsidRPr="00043A99" w:rsidRDefault="00844892" w:rsidP="00043A99">
      <w:pPr>
        <w:ind w:left="567" w:hanging="567"/>
        <w:rPr>
          <w:b/>
          <w:color w:val="2A2A2A"/>
        </w:rPr>
      </w:pPr>
      <w:r w:rsidRPr="00043A99">
        <w:rPr>
          <w:b/>
          <w:color w:val="2A2A2A"/>
        </w:rPr>
        <w:t>2.2.</w:t>
      </w:r>
      <w:r w:rsidR="00B53006">
        <w:rPr>
          <w:b/>
          <w:color w:val="2A2A2A"/>
        </w:rPr>
        <w:t>4</w:t>
      </w:r>
      <w:r w:rsidR="007F5F64" w:rsidRPr="00043A99">
        <w:rPr>
          <w:b/>
          <w:color w:val="2A2A2A"/>
        </w:rPr>
        <w:t xml:space="preserve"> </w:t>
      </w:r>
      <w:r w:rsidR="00043A99">
        <w:rPr>
          <w:b/>
          <w:color w:val="2A2A2A"/>
        </w:rPr>
        <w:t>Genes Implicados n</w:t>
      </w:r>
      <w:r w:rsidR="00043A99" w:rsidRPr="00043A99">
        <w:rPr>
          <w:b/>
          <w:color w:val="2A2A2A"/>
        </w:rPr>
        <w:t xml:space="preserve">a Ontogênese </w:t>
      </w:r>
      <w:r w:rsidR="00043A99">
        <w:rPr>
          <w:b/>
          <w:color w:val="2A2A2A"/>
        </w:rPr>
        <w:t>e</w:t>
      </w:r>
      <w:r w:rsidR="00043A99" w:rsidRPr="00043A99">
        <w:rPr>
          <w:b/>
          <w:color w:val="2A2A2A"/>
        </w:rPr>
        <w:t xml:space="preserve"> </w:t>
      </w:r>
      <w:r w:rsidR="008B1FD1">
        <w:rPr>
          <w:b/>
          <w:color w:val="2A2A2A"/>
        </w:rPr>
        <w:t xml:space="preserve">na </w:t>
      </w:r>
      <w:r w:rsidR="00043A99" w:rsidRPr="00043A99">
        <w:rPr>
          <w:b/>
          <w:color w:val="2A2A2A"/>
        </w:rPr>
        <w:t xml:space="preserve">Função </w:t>
      </w:r>
      <w:r w:rsidR="00043A99">
        <w:rPr>
          <w:b/>
          <w:color w:val="2A2A2A"/>
        </w:rPr>
        <w:t>do Eixo Hipotálamo-Hipófise-</w:t>
      </w:r>
      <w:r w:rsidR="008B1FD1">
        <w:rPr>
          <w:b/>
          <w:color w:val="2A2A2A"/>
        </w:rPr>
        <w:t>T</w:t>
      </w:r>
      <w:r w:rsidR="00043A99" w:rsidRPr="00043A99">
        <w:rPr>
          <w:b/>
          <w:color w:val="2A2A2A"/>
        </w:rPr>
        <w:t xml:space="preserve">ireoide </w:t>
      </w:r>
    </w:p>
    <w:p w14:paraId="313EBF4B" w14:textId="4E8176E3" w:rsidR="005637B7" w:rsidRPr="00043A99" w:rsidRDefault="00043A99" w:rsidP="00043A99">
      <w:pPr>
        <w:tabs>
          <w:tab w:val="left" w:pos="960"/>
        </w:tabs>
        <w:spacing w:line="360" w:lineRule="auto"/>
        <w:ind w:left="567" w:hanging="567"/>
        <w:rPr>
          <w:b/>
          <w:color w:val="2A2A2A"/>
        </w:rPr>
      </w:pPr>
      <w:r w:rsidRPr="00043A99">
        <w:rPr>
          <w:b/>
          <w:color w:val="2A2A2A"/>
        </w:rPr>
        <w:tab/>
      </w:r>
    </w:p>
    <w:p w14:paraId="56D75C6F" w14:textId="42ECB878" w:rsidR="00844892" w:rsidRDefault="00485D37" w:rsidP="00043A99">
      <w:pPr>
        <w:spacing w:line="360" w:lineRule="auto"/>
        <w:jc w:val="both"/>
        <w:rPr>
          <w:color w:val="2A2A2A"/>
        </w:rPr>
      </w:pPr>
      <w:r>
        <w:rPr>
          <w:color w:val="2A2A2A"/>
        </w:rPr>
        <w:t xml:space="preserve">     </w:t>
      </w:r>
      <w:r w:rsidR="00844892">
        <w:rPr>
          <w:color w:val="2A2A2A"/>
        </w:rPr>
        <w:t>Neste grupo, estão incluídos genes que codificam proteínas imprescindíveis no desenvolvimento e função do eixo HHT (</w:t>
      </w:r>
      <w:r w:rsidR="00844892">
        <w:rPr>
          <w:i/>
          <w:color w:val="2A2A2A"/>
        </w:rPr>
        <w:t>FOXE1, LHX3, GLIS3, NFIA, SOX9, NCOR1</w:t>
      </w:r>
      <w:r w:rsidR="00844892">
        <w:rPr>
          <w:color w:val="2A2A2A"/>
        </w:rPr>
        <w:t xml:space="preserve">). Entre elas, estão os fatores de transcrição, frequentemente associados aos níveis de TSH e T4l em GWAS </w:t>
      </w:r>
      <w:r w:rsidR="00844892">
        <w:rPr>
          <w:color w:val="2A2A2A"/>
        </w:rPr>
        <w:fldChar w:fldCharType="begin"/>
      </w:r>
      <w:r w:rsidR="00344DCD">
        <w:rPr>
          <w:color w:val="2A2A2A"/>
        </w:rPr>
        <w:instrText xml:space="preserve"> ADDIN ZOTERO_ITEM CSL_CITATION {"citationID":"XZA1X2N4","properties":{"unsorted":true,"formattedCitation":"(73,18,9)","plainCitation":"(73,18,9)","noteIndex":0},"citationItems":[{"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P."},{"family":"Naitza","given":"Silvia"}],"issued":{"date-parts":[["2013"]]}},"label":"page"},{"id":99,"uris":["http://zotero.org/users/7110448/items/3VVWNZR7"],"itemData":{"id":99,"type":"article-journal","container-title":"Nature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J."},{"family":"Medici","given":"Marco"}],"issued":{"date-parts":[["2018",12]]}},"label":"page"},{"id":93,"uris":["http://zotero.org/users/7110448/items/CK8FU3ZB"],"itemData":{"id":93,"type":"article-journal","abstract":"Abstract\n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P"},{"family":"Medici","given":"Marco"}],"issued":{"date-parts":[["2020",6,1]]}},"label":"page"}],"schema":"https://github.com/citation-style-language/schema/raw/master/csl-citation.json"} </w:instrText>
      </w:r>
      <w:r w:rsidR="00844892">
        <w:rPr>
          <w:color w:val="2A2A2A"/>
        </w:rPr>
        <w:fldChar w:fldCharType="separate"/>
      </w:r>
      <w:r w:rsidR="000C277B">
        <w:rPr>
          <w:noProof/>
          <w:color w:val="2A2A2A"/>
        </w:rPr>
        <w:t>(73,18,9)</w:t>
      </w:r>
      <w:r w:rsidR="00844892">
        <w:rPr>
          <w:color w:val="2A2A2A"/>
        </w:rPr>
        <w:fldChar w:fldCharType="end"/>
      </w:r>
      <w:r w:rsidR="00A2337F">
        <w:rPr>
          <w:color w:val="2A2A2A"/>
        </w:rPr>
        <w:t xml:space="preserve">. </w:t>
      </w:r>
      <w:r w:rsidR="008E5EB9">
        <w:rPr>
          <w:color w:val="2A2A2A"/>
        </w:rPr>
        <w:t>Es</w:t>
      </w:r>
      <w:r w:rsidR="00043A99">
        <w:rPr>
          <w:color w:val="2A2A2A"/>
        </w:rPr>
        <w:t>s</w:t>
      </w:r>
      <w:r w:rsidR="008E5EB9">
        <w:rPr>
          <w:color w:val="2A2A2A"/>
        </w:rPr>
        <w:t xml:space="preserve">es fatores contribuem para a ontogênese e </w:t>
      </w:r>
      <w:r w:rsidR="00043A99">
        <w:rPr>
          <w:color w:val="2A2A2A"/>
        </w:rPr>
        <w:t xml:space="preserve">para a </w:t>
      </w:r>
      <w:r w:rsidR="008E5EB9">
        <w:rPr>
          <w:color w:val="2A2A2A"/>
        </w:rPr>
        <w:t xml:space="preserve">função do hipotálamo, hipófise ou tireoide. Variantes do gene </w:t>
      </w:r>
      <w:r w:rsidR="008E5EB9">
        <w:rPr>
          <w:i/>
          <w:color w:val="2A2A2A"/>
        </w:rPr>
        <w:t xml:space="preserve">LHX3, </w:t>
      </w:r>
      <w:r w:rsidR="008E5EB9">
        <w:rPr>
          <w:color w:val="2A2A2A"/>
        </w:rPr>
        <w:t xml:space="preserve">fator de transcrição envolvido do desenvolvimento do hipotálamo, foram associadas a mudanças na mesma direção dos níveis de T4l e TSH (baixo nível de T4l e nível de TSH baixo ou normal) e suas mutações, ao hipotireoidismo congênito central </w:t>
      </w:r>
      <w:r w:rsidR="008E5EB9">
        <w:rPr>
          <w:color w:val="2A2A2A"/>
        </w:rPr>
        <w:fldChar w:fldCharType="begin"/>
      </w:r>
      <w:r w:rsidR="00344DCD">
        <w:rPr>
          <w:color w:val="2A2A2A"/>
        </w:rPr>
        <w:instrText xml:space="preserve"> ADDIN ZOTERO_ITEM CSL_CITATION {"citationID":"7vDUF8YU","properties":{"unsorted":true,"formattedCitation":"(10,75)","plainCitation":"(10,75)","noteIndex":0},"citationItems":[{"id":198,"uris":["http://zotero.org/users/7110448/items/TBI6EX6Q"],"itemData":{"id":198,"type":"article-journal","container-title":"The Journal of Clinical Endocrinology &amp; Metabolism","DOI":"10.1210/jc.2003-031641","ISSN":"0021-972X, 1945-7197","issue":"3","journalAbbreviation":"The Journal of Clinical Endocrinology &amp; Metabolism","language":"en","page":"1181-1187","source":"DOI.org (Crossref)","title":"Major Genetic Influence on the Regulation of the Pituitary-Thyroid Axis: A Study of Healthy Danish Twins","title-short":"Major Genetic Influence on the Regulation of the Pituitary-Thyroid Axis","volume":"89","author":[{"family":"Hansen","given":"Pia Skov"},{"family":"Brix","given":"Thomas Heiberg"},{"family":"Sørensen","given":"Thorkild I. A."},{"family":"Kyvik","given":"Kirsten Ohm"},{"family":"Hegedüs","given":"Laszlo"}],"issued":{"date-parts":[["2004",3]]}},"label":"page"},{"id":1656,"uris":["http://zotero.org/users/7110448/items/3ZTNRWFC"],"itemData":{"id":1656,"type":"article-journal","abstract":"Central hypothyroidism (CH) is defined as hypothyroidism due to insufficient stimulation of the thyroid gland by TSH, for which secretion or activity can be impaired at the hypothalamic or pituitary levels. Patients with CH frequently present with multiple other pituitary hormone deficiencies. In addition to classic CH induced by hypothalamic-pituitary tumors or Sheehan syndrome, novel causes include traumatic brain injury or subarachnoid hemorrhage, bexarotene (a retinoid X receptor agonist) therapy, neonates being born to mothers with insufficiently controlled Graves disease, and lymphocytic hypophysitis. Growth hormone therapy, which may be used in children and adults, is now also recognized as a possible cause of unmasking CH in susceptible individuals. In addition, mutations in genes, such as TRHR, POU1F1, PROP1, HESX1, SOX3, LHX3, LHX4 and TSHB, have been associated with CH. The difficulty in making a clear diagnosis of CH is that the serum TSH levels can vary; values are normal in most cases, but in some might be low or slightly elevated. Levels of endogenous T(4) in serum might also be subnormal. Appropriate doses of levothyroxine for T(4) replacement therapy have not been confirmed, but might need to be higher than presently used empirically in patients with CH and should be adjusted according to age and other hormone deficiencies, to achieve free T(4) concentrations in the upper end of the normal range.","container-title":"Nature Clinical Practice. Endocrinology &amp; Metabolism","DOI":"10.1038/ncpendmet0995","ISSN":"1745-8374","issue":"12","journalAbbreviation":"Nat Clin Pract Endocrinol Metab","language":"eng","note":"PMID: 18941435","page":"683-694","source":"PubMed","title":"Mechanisms related to the pathophysiology and management of central hypothyroidism","volume":"4","author":[{"family":"Yamada","given":"Masanobu"},{"family":"Mori","given":"Masatomo"}],"issued":{"date-parts":[["2008",12]]}},"label":"page"}],"schema":"https://github.com/citation-style-language/schema/raw/master/csl-citation.json"} </w:instrText>
      </w:r>
      <w:r w:rsidR="008E5EB9">
        <w:rPr>
          <w:color w:val="2A2A2A"/>
        </w:rPr>
        <w:fldChar w:fldCharType="separate"/>
      </w:r>
      <w:r w:rsidR="000C277B">
        <w:rPr>
          <w:noProof/>
          <w:color w:val="2A2A2A"/>
        </w:rPr>
        <w:t>(10,75)</w:t>
      </w:r>
      <w:r w:rsidR="008E5EB9">
        <w:rPr>
          <w:color w:val="2A2A2A"/>
        </w:rPr>
        <w:fldChar w:fldCharType="end"/>
      </w:r>
      <w:r w:rsidR="008E5EB9">
        <w:rPr>
          <w:color w:val="2A2A2A"/>
        </w:rPr>
        <w:t xml:space="preserve">. </w:t>
      </w:r>
      <w:r w:rsidR="00400A79">
        <w:rPr>
          <w:color w:val="2A2A2A"/>
        </w:rPr>
        <w:t xml:space="preserve">Enquanto que </w:t>
      </w:r>
      <w:bookmarkStart w:id="6" w:name="OLE_LINK3"/>
      <w:bookmarkStart w:id="7" w:name="OLE_LINK4"/>
      <w:r w:rsidR="00400A79">
        <w:rPr>
          <w:color w:val="2A2A2A"/>
        </w:rPr>
        <w:t xml:space="preserve">variantes em genes envolvidos com desenvolvimento da tireoide, como o </w:t>
      </w:r>
      <w:r w:rsidR="00400A79">
        <w:rPr>
          <w:i/>
          <w:color w:val="2A2A2A"/>
        </w:rPr>
        <w:t>GLIS3</w:t>
      </w:r>
      <w:r w:rsidR="00400A79">
        <w:rPr>
          <w:color w:val="2A2A2A"/>
        </w:rPr>
        <w:t xml:space="preserve">, foram associadas a mudanças em direções opostas dos níveis de T4l e TSH </w:t>
      </w:r>
      <w:r w:rsidR="00400A79">
        <w:rPr>
          <w:color w:val="2A2A2A"/>
        </w:rPr>
        <w:fldChar w:fldCharType="begin"/>
      </w:r>
      <w:r w:rsidR="00344DCD">
        <w:rPr>
          <w:color w:val="2A2A2A"/>
        </w:rPr>
        <w:instrText xml:space="preserve"> ADDIN ZOTERO_ITEM CSL_CITATION {"citationID":"78ASrcGt","properties":{"unsorted":true,"formattedCitation":"(73,18)","plainCitation":"(73,18)","noteIndex":0},"citationItems":[{"id":851,"uris":["http://zotero.org/users/7110448/items/K99LNL4S"],"itemData":{"id":851,"type":"article-journal","abstract":"Thyroid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P."},{"family":"Naitza","given":"Silvia"}],"issued":{"date-parts":[["2013"]]}},"label":"page"},{"id":99,"uris":["http://zotero.org/users/7110448/items/3VVWNZR7"],"itemData":{"id":99,"type":"article-journal","container-title":"Nature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J."},{"family":"Medici","given":"Marco"}],"issued":{"date-parts":[["2018",12]]}},"label":"page"}],"schema":"https://github.com/citation-style-language/schema/raw/master/csl-citation.json"} </w:instrText>
      </w:r>
      <w:r w:rsidR="00400A79">
        <w:rPr>
          <w:color w:val="2A2A2A"/>
        </w:rPr>
        <w:fldChar w:fldCharType="separate"/>
      </w:r>
      <w:r w:rsidR="000C277B">
        <w:rPr>
          <w:noProof/>
          <w:color w:val="2A2A2A"/>
        </w:rPr>
        <w:t>(73,18)</w:t>
      </w:r>
      <w:r w:rsidR="00400A79">
        <w:rPr>
          <w:color w:val="2A2A2A"/>
        </w:rPr>
        <w:fldChar w:fldCharType="end"/>
      </w:r>
      <w:r w:rsidR="00400A79">
        <w:rPr>
          <w:color w:val="2A2A2A"/>
        </w:rPr>
        <w:t xml:space="preserve">. </w:t>
      </w:r>
      <w:bookmarkEnd w:id="6"/>
      <w:bookmarkEnd w:id="7"/>
    </w:p>
    <w:p w14:paraId="738DD918" w14:textId="3D72E2A6" w:rsidR="00400A79" w:rsidRDefault="00400A79" w:rsidP="00043A99">
      <w:pPr>
        <w:spacing w:line="360" w:lineRule="auto"/>
        <w:jc w:val="both"/>
        <w:rPr>
          <w:color w:val="2A2A2A"/>
        </w:rPr>
      </w:pPr>
    </w:p>
    <w:p w14:paraId="40FDEC4C" w14:textId="3F7EC078" w:rsidR="002A7B99" w:rsidRPr="005637B7" w:rsidRDefault="002A7B99" w:rsidP="00D817F0">
      <w:pPr>
        <w:numPr>
          <w:ilvl w:val="0"/>
          <w:numId w:val="3"/>
        </w:numPr>
        <w:pBdr>
          <w:top w:val="nil"/>
          <w:left w:val="nil"/>
          <w:bottom w:val="nil"/>
          <w:right w:val="nil"/>
          <w:between w:val="nil"/>
        </w:pBdr>
        <w:spacing w:line="360" w:lineRule="auto"/>
        <w:rPr>
          <w:color w:val="222222"/>
        </w:rPr>
      </w:pPr>
      <w:r>
        <w:rPr>
          <w:color w:val="222222"/>
        </w:rPr>
        <w:t xml:space="preserve">Gene </w:t>
      </w:r>
      <w:r>
        <w:rPr>
          <w:i/>
          <w:color w:val="222222"/>
        </w:rPr>
        <w:t xml:space="preserve">GLIS3 </w:t>
      </w:r>
    </w:p>
    <w:p w14:paraId="7CAA8073" w14:textId="77777777" w:rsidR="005637B7" w:rsidRPr="00485D37" w:rsidRDefault="005637B7" w:rsidP="00D817F0">
      <w:pPr>
        <w:pBdr>
          <w:top w:val="nil"/>
          <w:left w:val="nil"/>
          <w:bottom w:val="nil"/>
          <w:right w:val="nil"/>
          <w:between w:val="nil"/>
        </w:pBdr>
        <w:spacing w:line="360" w:lineRule="auto"/>
        <w:ind w:left="720"/>
        <w:rPr>
          <w:color w:val="222222"/>
        </w:rPr>
      </w:pPr>
    </w:p>
    <w:p w14:paraId="51EBED5E" w14:textId="383705B0" w:rsidR="000D0759" w:rsidRDefault="00485D37" w:rsidP="00043A99">
      <w:pPr>
        <w:spacing w:line="360" w:lineRule="auto"/>
        <w:jc w:val="both"/>
        <w:rPr>
          <w:color w:val="222222"/>
        </w:rPr>
      </w:pPr>
      <w:r>
        <w:rPr>
          <w:color w:val="222222"/>
        </w:rPr>
        <w:t xml:space="preserve">     </w:t>
      </w:r>
      <w:r w:rsidR="002A7B99">
        <w:rPr>
          <w:color w:val="222222"/>
        </w:rPr>
        <w:t xml:space="preserve">O gene </w:t>
      </w:r>
      <w:r w:rsidR="002A7B99">
        <w:rPr>
          <w:i/>
          <w:color w:val="222222"/>
        </w:rPr>
        <w:t>GLIS3</w:t>
      </w:r>
      <w:r w:rsidR="002A7B99">
        <w:rPr>
          <w:color w:val="222222"/>
        </w:rPr>
        <w:t xml:space="preserve"> está localizado no </w:t>
      </w:r>
      <w:proofErr w:type="spellStart"/>
      <w:r w:rsidR="00043A99" w:rsidRPr="00043A99">
        <w:rPr>
          <w:i/>
          <w:color w:val="222222"/>
        </w:rPr>
        <w:t>lo</w:t>
      </w:r>
      <w:r w:rsidR="007F5F64" w:rsidRPr="00043A99">
        <w:rPr>
          <w:i/>
          <w:color w:val="222222"/>
        </w:rPr>
        <w:t>cus</w:t>
      </w:r>
      <w:proofErr w:type="spellEnd"/>
      <w:r w:rsidR="002A7B99">
        <w:rPr>
          <w:color w:val="222222"/>
        </w:rPr>
        <w:t xml:space="preserve"> 9p24.2, pertence </w:t>
      </w:r>
      <w:r w:rsidR="00043A99">
        <w:rPr>
          <w:color w:val="222222"/>
        </w:rPr>
        <w:t>à</w:t>
      </w:r>
      <w:r w:rsidR="002A7B99">
        <w:rPr>
          <w:color w:val="222222"/>
        </w:rPr>
        <w:t xml:space="preserve"> subfamília GLIS de proteínas de dedo de zinco semelhante a </w:t>
      </w:r>
      <w:proofErr w:type="spellStart"/>
      <w:r w:rsidR="002A7B99">
        <w:rPr>
          <w:color w:val="222222"/>
        </w:rPr>
        <w:t>Kruppel</w:t>
      </w:r>
      <w:proofErr w:type="spellEnd"/>
      <w:r w:rsidR="002A7B99">
        <w:rPr>
          <w:color w:val="222222"/>
        </w:rPr>
        <w:t xml:space="preserve"> e funciona como um fator ativador e repressor de transcrição gênica da tireoide </w:t>
      </w:r>
      <w:r w:rsidR="002A7B99">
        <w:rPr>
          <w:color w:val="222222"/>
        </w:rPr>
        <w:fldChar w:fldCharType="begin"/>
      </w:r>
      <w:r w:rsidR="00344DCD">
        <w:rPr>
          <w:color w:val="222222"/>
        </w:rPr>
        <w:instrText xml:space="preserve"> ADDIN ZOTERO_ITEM CSL_CITATION {"citationID":"UxLPw7rJ","properties":{"unsorted":true,"formattedCitation":"(76\\uc0\\u8211{}78,9)","plainCitation":"(76–78,9)","noteIndex":0},"citationItems":[{"id":830,"uris":["http://zotero.org/users/7110448/items/PLIXU24R"],"itemData":{"id":830,"type":"article-journal","abstract":"We recently described a new neonatal diabetes syndrome associated with congenital hypothyroidism, congenital glaucoma, hepatic fibrosis and polycystic kidneys1. Here, we show that this syndrome results from mutations in GLIS3, encoding GLI similar 3, a recently identified transcription factor2. In the original family, we identified a frameshift mutation predicted to result in a truncated protein. In two other families with an incomplete syndrome, we found that affected individuals harbor deletions affecting the 11 or 12 5′-most exons of the gene. The absence of a major transcript in the pancreas and thyroid (deletions from both families) and an eye-specific transcript (deletion from one family), together with residual expression of some GLIS3 transcripts, seems to explain the incomplete clinical manifestations in these individuals. GLIS3 is expressed in the pancreas from early developmental stages, with greater expression in β cells than in other pancreatic tissues. These results demonstrate a major role for GLIS3 in the development of pancreatic β cells and the thyroid, eye, liver and kidney.","container-title":"Nature Genetics","DOI":"10.1038/ng1802","ISSN":"1546-1718","issue":"6","journalAbbreviation":"Nat Genet","language":"en","license":"2006 Nature Publishing Group","note":"Bandiera_abtest: a\nCg_type: Nature Research Journals\nnumber: 6\nPrimary_atype: Research\npublisher: Nature Publishing Group","page":"682-687","source":"www.nature.com","title":"Mutations in GLIS3 are responsible for a rare syndrome with neonatal diabetes mellitus and congenital hypothyroidism","volume":"38","author":[{"family":"Senée","given":"Valérie"},{"family":"Chelala","given":"Claude"},{"family":"Duchatelet","given":"Sabine"},{"family":"Feng","given":"Daorong"},{"family":"Blanc","given":"Hervé"},{"family":"Cossec","given":"Jack-Christophe"},{"family":"Charon","given":"Céline"},{"family":"Nicolino","given":"Marc"},{"family":"Boileau","given":"Pascal"},{"family":"Cavener","given":"Douglas R."},{"family":"Bougnères","given":"Pierre"},{"family":"Taha","given":"Doris"},{"family":"Julier","given":"Cécile"}],"issued":{"date-parts":[["2006",6]]}},"label":"page"},{"id":827,"uris":["http://zotero.org/users/7110448/items/28LSYJM3"],"itemData":{"id":827,"type":"article-journal","abstract":"Deficiency in Krüppel-like zinc finger transcription factor GLI-similar 3 (GLIS3) in humans is associated with the development of congenital hypothyroidism. However, the functions of GLIS3 in the thyroid gland and the mechanism by which GLIS3 dysfunction causes hypothyroidism are unknown. In the current study, we demonstrate that GLIS3 acts downstream of thyroid-stimulating hormone (TSH) and TSH receptor (TSHR) and is indispensable for TSH/TSHR-mediated proliferation of thyroid follicular cells and biosynthesis of thyroid hormone. Using ChIP-Seq and promoter analysis, we demonstrate that GLIS3 is critical for the transcriptional activation of several genes required for thyroid hormone biosynthesis, including the iodide transporters Nis and Pds, both of which showed enhanced GLIS3 binding at their promoters. The repression of cell proliferation of GLIS3-deficient thyroid follicular cells was due to the inhibition of TSH-mediated activation of the mTOR complex 1/ribosomal protein S6 (mTORC1/RPS6) pathway as well as the reduced expression of several cell division-related genes regulated directly by GLIS3. Consequently, GLIS3 deficiency in a murine model prevented the development of goiter as well as the induction of inflammatory and fibrotic genes during chronic elevation of circulating TSH. Our study identifies GLIS3 as a key regulator of TSH/TSHR-mediated thyroid hormone biosynthesis and proliferation of thyroid follicular cells and uncovers a mechanism by which GLIS3 deficiency causes neonatal hypothyroidism and prevents goiter development.","container-title":"The Journal of Clinical Investigation","DOI":"10.1172/JCI94417","ISSN":"1558-8238","issue":"12","journalAbbreviation":"J Clin Invest","language":"eng","note":"PMID: 29083325\nPMCID: PMC5707155","page":"4326-4337","source":"PubMed","title":"GLIS3 is indispensable for TSH/TSHR-dependent thyroid hormone biosynthesis and follicular cell proliferation","volume":"127","author":[{"family":"Kang","given":"Hong Soon"},{"family":"Kumar","given":"Dhirendra"},{"family":"Liao","given":"Grace"},{"family":"Lichti-Kaiser","given":"Kristin"},{"family":"Gerrish","given":"Kevin"},{"family":"Liao","given":"Xiao-Hui"},{"family":"Refetoff","given":"Samuel"},{"family":"Jothi","given":"Raja"},{"family":"Jetten","given":"Anton M."}],"issued":{"date-parts":[["2017",12,1]]}},"label":"page"},{"id":1666,"uris":["http://zotero.org/users/7110448/items/QK6N7Y5E"],"itemData":{"id":1666,"type":"article-journal","abstract":"Variations in the transcription factor Gli-similar 3 (GLIS3) gene have been associated to variable congenital endocrine defects, including both morphogenetic and functional thyroid alterations. Evidence from Glis3 knockout mice indicates a relevant role for GLIS3 in thyroid hormone biosynthesis and postnatal thyroid gland growth, with a mechanism of action downstream of the TSH/TSHR interaction. However, the pathophysiological role of this transcription factor during the embryonic thyroid development remains unexplored. In this manuscript, we will provide an overview of the current knowledge on GLIS3 function during development. As a perspective, we will present preliminary evidence in the zebrafish model in support of a potential role for this pleiotropic transcription factor in the early stages of thyroid gland development.","container-title":"Frontiers in Endocrinology","DOI":"10.3389/fendo.2018.00730","ISSN":"1664-2392","page":"730","source":"Frontiers","title":"GLIS3 and Thyroid: A Pleiotropic Candidate Gene for Congenital Hypothyroidism","title-short":"GLIS3 and Thyroid","volume":"9","author":[{"family":"Rurale","given":"Giuditta"},{"family":"Persani","given":"Luca"},{"family":"Marelli","given":"Federica"}],"issued":{"date-parts":[["2018"]]}},"label":"page"},{"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P"},{"family":"Medici","given":"Marco"}],"issued":{"date-parts":[["2020",6,1]]}},"label":"page"}],"schema":"https://github.com/citation-style-language/schema/raw/master/csl-citation.json"} </w:instrText>
      </w:r>
      <w:r w:rsidR="002A7B99">
        <w:rPr>
          <w:color w:val="222222"/>
        </w:rPr>
        <w:fldChar w:fldCharType="separate"/>
      </w:r>
      <w:r w:rsidR="000C277B" w:rsidRPr="000C277B">
        <w:rPr>
          <w:color w:val="000000"/>
        </w:rPr>
        <w:t>(76–78,9)</w:t>
      </w:r>
      <w:r w:rsidR="002A7B99">
        <w:rPr>
          <w:color w:val="222222"/>
        </w:rPr>
        <w:fldChar w:fldCharType="end"/>
      </w:r>
      <w:r w:rsidR="002A7B99">
        <w:rPr>
          <w:color w:val="222222"/>
        </w:rPr>
        <w:t xml:space="preserve">. </w:t>
      </w:r>
      <w:r w:rsidR="00741D5E">
        <w:rPr>
          <w:color w:val="222222"/>
        </w:rPr>
        <w:t xml:space="preserve">Mutações no gene </w:t>
      </w:r>
      <w:r w:rsidR="00741D5E" w:rsidRPr="00682A68">
        <w:rPr>
          <w:i/>
          <w:iCs/>
          <w:color w:val="222222"/>
        </w:rPr>
        <w:t>GLIS3</w:t>
      </w:r>
      <w:r w:rsidR="00741D5E">
        <w:rPr>
          <w:color w:val="222222"/>
        </w:rPr>
        <w:t xml:space="preserve"> estão associadas </w:t>
      </w:r>
      <w:r w:rsidR="00043A99">
        <w:rPr>
          <w:color w:val="222222"/>
        </w:rPr>
        <w:t xml:space="preserve">à </w:t>
      </w:r>
      <w:r w:rsidR="00741D5E">
        <w:rPr>
          <w:color w:val="222222"/>
        </w:rPr>
        <w:t>disgenesia tireoidiana</w:t>
      </w:r>
      <w:r w:rsidR="00043A99">
        <w:rPr>
          <w:color w:val="222222"/>
        </w:rPr>
        <w:t>.</w:t>
      </w:r>
      <w:r w:rsidR="00741D5E">
        <w:rPr>
          <w:color w:val="222222"/>
        </w:rPr>
        <w:t xml:space="preserve"> como agenesia</w:t>
      </w:r>
      <w:r w:rsidR="00226F75">
        <w:rPr>
          <w:color w:val="222222"/>
        </w:rPr>
        <w:t xml:space="preserve">, </w:t>
      </w:r>
      <w:r w:rsidR="00741D5E">
        <w:rPr>
          <w:color w:val="222222"/>
        </w:rPr>
        <w:t xml:space="preserve">hipoplasia </w:t>
      </w:r>
      <w:r w:rsidR="00226F75">
        <w:rPr>
          <w:color w:val="222222"/>
        </w:rPr>
        <w:t xml:space="preserve">e dishormogênese </w:t>
      </w:r>
      <w:r w:rsidR="00226F75">
        <w:rPr>
          <w:color w:val="222222"/>
        </w:rPr>
        <w:fldChar w:fldCharType="begin"/>
      </w:r>
      <w:r w:rsidR="00344DCD">
        <w:rPr>
          <w:color w:val="222222"/>
        </w:rPr>
        <w:instrText xml:space="preserve"> ADDIN ZOTERO_ITEM CSL_CITATION {"citationID":"MtZOkGDx","properties":{"formattedCitation":"(76)","plainCitation":"(76)","noteIndex":0},"citationItems":[{"id":830,"uris":["http://zotero.org/users/7110448/items/PLIXU24R"],"itemData":{"id":830,"type":"article-journal","abstract":"We recently described a new neonatal diabetes syndrome associated with congenital hypothyroidism, congenital glaucoma, hepatic fibrosis and polycystic kidneys1. Here, we show that this syndrome results from mutations in GLIS3, encoding GLI similar 3, a recently identified transcription factor2. In the original family, we identified a frameshift mutation predicted to result in a truncated protein. In two other families with an incomplete syndrome, we found that affected individuals harbor deletions affecting the 11 or 12 5′-most exons of the gene. The absence of a major transcript in the pancreas and thyroid (deletions from both families) and an eye-specific transcript (deletion from one family), together with residual expression of some GLIS3 transcripts, seems to explain the incomplete clinical manifestations in these individuals. GLIS3 is expressed in the pancreas from early developmental stages, with greater expression in β cells than in other pancreatic tissues. These results demonstrate a major role for GLIS3 in the development of pancreatic β cells and the thyroid, eye, liver and kidney.","container-title":"Nature Genetics","DOI":"10.1038/ng1802","ISSN":"1546-1718","issue":"6","journalAbbreviation":"Nat Genet","language":"en","license":"2006 Nature Publishing Group","note":"Bandiera_abtest: a\nCg_type: Nature Research Journals\nnumber: 6\nPrimary_atype: Research\npublisher: Nature Publishing Group","page":"682-687","source":"www.nature.com","title":"Mutations in GLIS3 are responsible for a rare syndrome with neonatal diabetes mellitus and congenital hypothyroidism","volume":"38","author":[{"family":"Senée","given":"Valérie"},{"family":"Chelala","given":"Claude"},{"family":"Duchatelet","given":"Sabine"},{"family":"Feng","given":"Daorong"},{"family":"Blanc","given":"Hervé"},{"family":"Cossec","given":"Jack-Christophe"},{"family":"Charon","given":"Céline"},{"family":"Nicolino","given":"Marc"},{"family":"Boileau","given":"Pascal"},{"family":"Cavener","given":"Douglas R."},{"family":"Bougnères","given":"Pierre"},{"family":"Taha","given":"Doris"},{"family":"Julier","given":"Cécile"}],"issued":{"date-parts":[["2006",6]]}}}],"schema":"https://github.com/citation-style-language/schema/raw/master/csl-citation.json"} </w:instrText>
      </w:r>
      <w:r w:rsidR="00226F75">
        <w:rPr>
          <w:color w:val="222222"/>
        </w:rPr>
        <w:fldChar w:fldCharType="separate"/>
      </w:r>
      <w:r w:rsidR="000C277B">
        <w:rPr>
          <w:noProof/>
          <w:color w:val="222222"/>
        </w:rPr>
        <w:t>(76)</w:t>
      </w:r>
      <w:r w:rsidR="00226F75">
        <w:rPr>
          <w:color w:val="222222"/>
        </w:rPr>
        <w:fldChar w:fldCharType="end"/>
      </w:r>
      <w:r w:rsidR="00741D5E">
        <w:rPr>
          <w:color w:val="222222"/>
        </w:rPr>
        <w:t xml:space="preserve">, além de associação com diabete neonatal  </w:t>
      </w:r>
      <w:r w:rsidR="00741D5E">
        <w:rPr>
          <w:color w:val="222222"/>
        </w:rPr>
        <w:fldChar w:fldCharType="begin"/>
      </w:r>
      <w:r w:rsidR="00344DCD">
        <w:rPr>
          <w:color w:val="222222"/>
        </w:rPr>
        <w:instrText xml:space="preserve"> ADDIN ZOTERO_ITEM CSL_CITATION {"citationID":"Ob57rnLx","properties":{"formattedCitation":"(76)","plainCitation":"(76)","noteIndex":0},"citationItems":[{"id":830,"uris":["http://zotero.org/users/7110448/items/PLIXU24R"],"itemData":{"id":830,"type":"article-journal","abstract":"We recently described a new neonatal diabetes syndrome associated with congenital hypothyroidism, congenital glaucoma, hepatic fibrosis and polycystic kidneys1. Here, we show that this syndrome results from mutations in GLIS3, encoding GLI similar 3, a recently identified transcription factor2. In the original family, we identified a frameshift mutation predicted to result in a truncated protein. In two other families with an incomplete syndrome, we found that affected individuals harbor deletions affecting the 11 or 12 5′-most exons of the gene. The absence of a major transcript in the pancreas and thyroid (deletions from both families) and an eye-specific transcript (deletion from one family), together with residual expression of some GLIS3 transcripts, seems to explain the incomplete clinical manifestations in these individuals. GLIS3 is expressed in the pancreas from early developmental stages, with greater expression in β cells than in other pancreatic tissues. These results demonstrate a major role for GLIS3 in the development of pancreatic β cells and the thyroid, eye, liver and kidney.","container-title":"Nature Genetics","DOI":"10.1038/ng1802","ISSN":"1546-1718","issue":"6","journalAbbreviation":"Nat Genet","language":"en","license":"2006 Nature Publishing Group","note":"Bandiera_abtest: a\nCg_type: Nature Research Journals\nnumber: 6\nPrimary_atype: Research\npublisher: Nature Publishing Group","page":"682-687","source":"www.nature.com","title":"Mutations in GLIS3 are responsible for a rare syndrome with neonatal diabetes mellitus and congenital hypothyroidism","volume":"38","author":[{"family":"Senée","given":"Valérie"},{"family":"Chelala","given":"Claude"},{"family":"Duchatelet","given":"Sabine"},{"family":"Feng","given":"Daorong"},{"family":"Blanc","given":"Hervé"},{"family":"Cossec","given":"Jack-Christophe"},{"family":"Charon","given":"Céline"},{"family":"Nicolino","given":"Marc"},{"family":"Boileau","given":"Pascal"},{"family":"Cavener","given":"Douglas R."},{"family":"Bougnères","given":"Pierre"},{"family":"Taha","given":"Doris"},{"family":"Julier","given":"Cécile"}],"issued":{"date-parts":[["2006",6]]}}}],"schema":"https://github.com/citation-style-language/schema/raw/master/csl-citation.json"} </w:instrText>
      </w:r>
      <w:r w:rsidR="00741D5E">
        <w:rPr>
          <w:color w:val="222222"/>
        </w:rPr>
        <w:fldChar w:fldCharType="separate"/>
      </w:r>
      <w:r w:rsidR="000C277B">
        <w:rPr>
          <w:noProof/>
          <w:color w:val="222222"/>
        </w:rPr>
        <w:t>(76)</w:t>
      </w:r>
      <w:r w:rsidR="00741D5E">
        <w:rPr>
          <w:color w:val="222222"/>
        </w:rPr>
        <w:fldChar w:fldCharType="end"/>
      </w:r>
      <w:r w:rsidR="00741D5E">
        <w:rPr>
          <w:color w:val="222222"/>
        </w:rPr>
        <w:t>. Es</w:t>
      </w:r>
      <w:r w:rsidR="00043A99">
        <w:rPr>
          <w:color w:val="222222"/>
        </w:rPr>
        <w:t>s</w:t>
      </w:r>
      <w:r w:rsidR="00741D5E">
        <w:rPr>
          <w:color w:val="222222"/>
        </w:rPr>
        <w:t xml:space="preserve">e fator de transcrição é indispensável na síntese de </w:t>
      </w:r>
      <w:r w:rsidR="00454D8B">
        <w:rPr>
          <w:color w:val="222222"/>
        </w:rPr>
        <w:t>hormônios tireoidi</w:t>
      </w:r>
      <w:r w:rsidR="007F5F64">
        <w:rPr>
          <w:color w:val="222222"/>
        </w:rPr>
        <w:t>anos</w:t>
      </w:r>
      <w:r w:rsidR="00043A99">
        <w:rPr>
          <w:color w:val="222222"/>
        </w:rPr>
        <w:t>,</w:t>
      </w:r>
      <w:r w:rsidR="007F5F64">
        <w:rPr>
          <w:color w:val="222222"/>
        </w:rPr>
        <w:t xml:space="preserve"> </w:t>
      </w:r>
      <w:r w:rsidR="00741D5E">
        <w:rPr>
          <w:color w:val="222222"/>
        </w:rPr>
        <w:t xml:space="preserve">dependente de TSH/TSHR e proliferação de células foliculares </w:t>
      </w:r>
      <w:r w:rsidR="00741D5E">
        <w:rPr>
          <w:color w:val="222222"/>
        </w:rPr>
        <w:fldChar w:fldCharType="begin"/>
      </w:r>
      <w:r w:rsidR="004C3BF7">
        <w:rPr>
          <w:color w:val="222222"/>
        </w:rPr>
        <w:instrText xml:space="preserve"> ADDIN ZOTERO_ITEM CSL_CITATION {"citationID":"2EGDq32u","properties":{"formattedCitation":"(77)","plainCitation":"(77)","noteIndex":0},"citationItems":[{"id":827,"uris":["http://zotero.org/users/7110448/items/28LSYJM3"],"itemData":{"id":827,"type":"article-journal","abstract":"Deficiency in Krüppel-like zinc finger transcription factor GLI-similar 3 (GLIS3) in humans is associated with the development of congenital hypothyroidism. However, the functions of GLIS3 in the thyroid gland and the mechanism by which GLIS3 dysfunction causes hypothyroidism are unknown. In the current study, we demonstrate that GLIS3 acts downstream of thyroid-stimulating hormone (TSH) and TSH receptor (TSHR) and is indispensable for TSH/TSHR-mediated proliferation of thyroid follicular cells and biosynthesis of thyroid hormone. Using ChIP-Seq and promoter analysis, we demonstrate that GLIS3 is critical for the transcriptional activation of several genes required for thyroid hormone biosynthesis, including the iodide transporters Nis and Pds, both of which showed enhanced GLIS3 binding at their promoters. The repression of cell proliferation of GLIS3-deficient thyroid follicular cells was due to the inhibition of TSH-mediated activation of the mTOR complex 1/ribosomal protein S6 (mTORC1/RPS6) pathway as well as the reduced expression of several cell division-related genes regulated directly by GLIS3. Consequently, GLIS3 deficiency in a murine model prevented the development of goiter as well as the induction of inflammatory and fibrotic genes during chronic elevation of circulating TSH. Our study identifies GLIS3 as a key regulator of TSH/TSHR-mediated thyroid hormone biosynthesis and proliferation of thyroid follicular cells and uncovers a mechanism by which GLIS3 deficiency causes neonatal hypothyroidism and prevents goiter development.","container-title":"The Journal of Clinical Investigation","DOI":"10.1172/JCI94417","ISSN":"1558-8238","issue":"12","journalAbbreviation":"J Clin Invest","language":"eng","note":"PMID: 29083325\nPMCID: PMC5707155","page":"4326-4337","source":"PubMed","title":"GLIS3 is indispensable for TSH/TSHR-dependent thyroid hormone biosynthesis and follicular cell proliferation","volume":"127","author":[{"family":"Kang","given":"Hong Soon"},{"family":"Kumar","given":"Dhirendra"},{"family":"Liao","given":"Grace"},{"family":"Lichti-Kaiser","given":"Kristin"},{"family":"Gerrish","given":"Kevin"},{"family":"Liao","given":"Xiao-Hui"},{"family":"Refetoff","given":"Samuel"},{"family":"Jothi","given":"Raja"},{"family":"Jetten","given":"Anton M."}],"issued":{"date-parts":[["2017",12,1]]}}}],"schema":"https://github.com/citation-style-language/schema/raw/master/csl-citation.json"} </w:instrText>
      </w:r>
      <w:r w:rsidR="00741D5E">
        <w:rPr>
          <w:color w:val="222222"/>
        </w:rPr>
        <w:fldChar w:fldCharType="separate"/>
      </w:r>
      <w:r w:rsidR="000C277B">
        <w:rPr>
          <w:noProof/>
          <w:color w:val="222222"/>
        </w:rPr>
        <w:t>(77)</w:t>
      </w:r>
      <w:r w:rsidR="00741D5E">
        <w:rPr>
          <w:color w:val="222222"/>
        </w:rPr>
        <w:fldChar w:fldCharType="end"/>
      </w:r>
      <w:r w:rsidR="00741D5E">
        <w:rPr>
          <w:color w:val="222222"/>
        </w:rPr>
        <w:t xml:space="preserve">. Porém, o mecanismo pelo qual variações neste gene causa hipotireoidismo congênito ainda não está esclarecido </w:t>
      </w:r>
      <w:r w:rsidR="00741D5E">
        <w:rPr>
          <w:color w:val="222222"/>
        </w:rPr>
        <w:fldChar w:fldCharType="begin"/>
      </w:r>
      <w:r w:rsidR="004C3BF7">
        <w:rPr>
          <w:color w:val="222222"/>
        </w:rPr>
        <w:instrText xml:space="preserve"> ADDIN ZOTERO_ITEM CSL_CITATION {"citationID":"foQU00SZ","properties":{"formattedCitation":"(77)","plainCitation":"(77)","noteIndex":0},"citationItems":[{"id":827,"uris":["http://zotero.org/users/7110448/items/28LSYJM3"],"itemData":{"id":827,"type":"article-journal","abstract":"Deficiency in Krüppel-like zinc finger transcription factor GLI-similar 3 (GLIS3) in humans is associated with the development of congenital hypothyroidism. However, the functions of GLIS3 in the thyroid gland and the mechanism by which GLIS3 dysfunction causes hypothyroidism are unknown. In the current study, we demonstrate that GLIS3 acts downstream of thyroid-stimulating hormone (TSH) and TSH receptor (TSHR) and is indispensable for TSH/TSHR-mediated proliferation of thyroid follicular cells and biosynthesis of thyroid hormone. Using ChIP-Seq and promoter analysis, we demonstrate that GLIS3 is critical for the transcriptional activation of several genes required for thyroid hormone biosynthesis, including the iodide transporters Nis and Pds, both of which showed enhanced GLIS3 binding at their promoters. The repression of cell proliferation of GLIS3-deficient thyroid follicular cells was due to the inhibition of TSH-mediated activation of the mTOR complex 1/ribosomal protein S6 (mTORC1/RPS6) pathway as well as the reduced expression of several cell division-related genes regulated directly by GLIS3. Consequently, GLIS3 deficiency in a murine model prevented the development of goiter as well as the induction of inflammatory and fibrotic genes during chronic elevation of circulating TSH. Our study identifies GLIS3 as a key regulator of TSH/TSHR-mediated thyroid hormone biosynthesis and proliferation of thyroid follicular cells and uncovers a mechanism by which GLIS3 deficiency causes neonatal hypothyroidism and prevents goiter development.","container-title":"The Journal of Clinical Investigation","DOI":"10.1172/JCI94417","ISSN":"1558-8238","issue":"12","journalAbbreviation":"J Clin Invest","language":"eng","note":"PMID: 29083325\nPMCID: PMC5707155","page":"4326-4337","source":"PubMed","title":"GLIS3 is indispensable for TSH/TSHR-dependent thyroid hormone biosynthesis and follicular cell proliferation","volume":"127","author":[{"family":"Kang","given":"Hong Soon"},{"family":"Kumar","given":"Dhirendra"},{"family":"Liao","given":"Grace"},{"family":"Lichti-Kaiser","given":"Kristin"},{"family":"Gerrish","given":"Kevin"},{"family":"Liao","given":"Xiao-Hui"},{"family":"Refetoff","given":"Samuel"},{"family":"Jothi","given":"Raja"},{"family":"Jetten","given":"Anton M."}],"issued":{"date-parts":[["2017",12,1]]}}}],"schema":"https://github.com/citation-style-language/schema/raw/master/csl-citation.json"} </w:instrText>
      </w:r>
      <w:r w:rsidR="00741D5E">
        <w:rPr>
          <w:color w:val="222222"/>
        </w:rPr>
        <w:fldChar w:fldCharType="separate"/>
      </w:r>
      <w:r w:rsidR="000C277B">
        <w:rPr>
          <w:noProof/>
          <w:color w:val="222222"/>
        </w:rPr>
        <w:t>(77)</w:t>
      </w:r>
      <w:r w:rsidR="00741D5E">
        <w:rPr>
          <w:color w:val="222222"/>
        </w:rPr>
        <w:fldChar w:fldCharType="end"/>
      </w:r>
      <w:r w:rsidR="00741D5E">
        <w:rPr>
          <w:color w:val="222222"/>
        </w:rPr>
        <w:t xml:space="preserve">. Além do papel na tireoide, é um regulador pleiotrópico de diferentes vias de desenvolvimento e </w:t>
      </w:r>
      <w:r w:rsidR="00043A99">
        <w:rPr>
          <w:color w:val="222222"/>
        </w:rPr>
        <w:t xml:space="preserve">com </w:t>
      </w:r>
      <w:r w:rsidR="00741D5E">
        <w:rPr>
          <w:color w:val="222222"/>
        </w:rPr>
        <w:t xml:space="preserve">função em diversos outros tecidos </w:t>
      </w:r>
      <w:r w:rsidR="00741D5E">
        <w:rPr>
          <w:color w:val="222222"/>
        </w:rPr>
        <w:fldChar w:fldCharType="begin"/>
      </w:r>
      <w:r w:rsidR="00344DCD">
        <w:rPr>
          <w:color w:val="222222"/>
        </w:rPr>
        <w:instrText xml:space="preserve"> ADDIN ZOTERO_ITEM CSL_CITATION {"citationID":"xUBPgQpk","properties":{"formattedCitation":"(78)","plainCitation":"(78)","noteIndex":0},"citationItems":[{"id":1666,"uris":["http://zotero.org/users/7110448/items/QK6N7Y5E"],"itemData":{"id":1666,"type":"article-journal","abstract":"Variations in the transcription factor Gli-similar 3 (GLIS3) gene have been associated to variable congenital endocrine defects, including both morphogenetic and functional thyroid alterations. Evidence from Glis3 knockout mice indicates a relevant role for GLIS3 in thyroid hormone biosynthesis and postnatal thyroid gland growth, with a mechanism of action downstream of the TSH/TSHR interaction. However, the pathophysiological role of this transcription factor during the embryonic thyroid development remains unexplored. In this manuscript, we will provide an overview of the current knowledge on GLIS3 function during development. As a perspective, we will present preliminary evidence in the zebrafish model in support of a potential role for this pleiotropic transcription factor in the early stages of thyroid gland development.","container-title":"Frontiers in Endocrinology","DOI":"10.3389/fendo.2018.00730","ISSN":"1664-2392","page":"730","source":"Frontiers","title":"GLIS3 and Thyroid: A Pleiotropic Candidate Gene for Congenital Hypothyroidism","title-short":"GLIS3 and Thyroid","volume":"9","author":[{"family":"Rurale","given":"Giuditta"},{"family":"Persani","given":"Luca"},{"family":"Marelli","given":"Federica"}],"issued":{"date-parts":[["2018"]]}}}],"schema":"https://github.com/citation-style-language/schema/raw/master/csl-citation.json"} </w:instrText>
      </w:r>
      <w:r w:rsidR="00741D5E">
        <w:rPr>
          <w:color w:val="222222"/>
        </w:rPr>
        <w:fldChar w:fldCharType="separate"/>
      </w:r>
      <w:r w:rsidR="000C277B">
        <w:rPr>
          <w:noProof/>
          <w:color w:val="222222"/>
        </w:rPr>
        <w:t>(78)</w:t>
      </w:r>
      <w:r w:rsidR="00741D5E">
        <w:rPr>
          <w:color w:val="222222"/>
        </w:rPr>
        <w:fldChar w:fldCharType="end"/>
      </w:r>
      <w:r w:rsidR="00741D5E">
        <w:rPr>
          <w:color w:val="222222"/>
        </w:rPr>
        <w:t xml:space="preserve">. </w:t>
      </w:r>
    </w:p>
    <w:p w14:paraId="416FEA8C" w14:textId="1BD6EB93" w:rsidR="0092100C" w:rsidRDefault="00454D8B" w:rsidP="000D0759">
      <w:pPr>
        <w:spacing w:line="360" w:lineRule="auto"/>
        <w:jc w:val="both"/>
        <w:rPr>
          <w:color w:val="222222"/>
        </w:rPr>
      </w:pPr>
      <w:r>
        <w:rPr>
          <w:color w:val="222222"/>
        </w:rPr>
        <w:t xml:space="preserve">     </w:t>
      </w:r>
      <w:r w:rsidR="004A272F" w:rsidRPr="008B1FD1">
        <w:rPr>
          <w:color w:val="222222"/>
        </w:rPr>
        <w:t xml:space="preserve">O </w:t>
      </w:r>
      <w:r w:rsidR="00385E6B" w:rsidRPr="008B1FD1">
        <w:rPr>
          <w:color w:val="222222"/>
        </w:rPr>
        <w:t xml:space="preserve">complexo </w:t>
      </w:r>
      <w:r w:rsidR="004A272F" w:rsidRPr="008B1FD1">
        <w:rPr>
          <w:color w:val="222222"/>
        </w:rPr>
        <w:t>TSH/TSHR ativa diversas vias de sinalização celular que promove</w:t>
      </w:r>
      <w:r w:rsidR="0075795A" w:rsidRPr="008B1FD1">
        <w:rPr>
          <w:color w:val="222222"/>
        </w:rPr>
        <w:t>m</w:t>
      </w:r>
      <w:r w:rsidR="004A272F" w:rsidRPr="008B1FD1">
        <w:rPr>
          <w:color w:val="222222"/>
        </w:rPr>
        <w:t xml:space="preserve"> aumento da transcrição de genes envolvidos na biossíntese d</w:t>
      </w:r>
      <w:r w:rsidR="000D0759" w:rsidRPr="00A663FF">
        <w:rPr>
          <w:color w:val="222222"/>
        </w:rPr>
        <w:t>os hormônios tireoidianos</w:t>
      </w:r>
      <w:r w:rsidR="0075795A" w:rsidRPr="00A663FF">
        <w:rPr>
          <w:color w:val="222222"/>
        </w:rPr>
        <w:t xml:space="preserve">. O </w:t>
      </w:r>
      <w:r w:rsidR="0075795A" w:rsidRPr="00874A69">
        <w:rPr>
          <w:i/>
          <w:iCs/>
          <w:color w:val="222222"/>
        </w:rPr>
        <w:t>GLIS3</w:t>
      </w:r>
      <w:r w:rsidR="0075795A" w:rsidRPr="00874A69">
        <w:rPr>
          <w:color w:val="222222"/>
        </w:rPr>
        <w:t xml:space="preserve"> atua regulando a tra</w:t>
      </w:r>
      <w:r w:rsidR="0075795A" w:rsidRPr="00BD1483">
        <w:rPr>
          <w:color w:val="222222"/>
        </w:rPr>
        <w:t>nscrição de genes</w:t>
      </w:r>
      <w:r w:rsidR="008B1FD1">
        <w:rPr>
          <w:color w:val="222222"/>
        </w:rPr>
        <w:t>-</w:t>
      </w:r>
      <w:r w:rsidR="0075795A" w:rsidRPr="008B1FD1">
        <w:rPr>
          <w:color w:val="222222"/>
        </w:rPr>
        <w:t>chave nes</w:t>
      </w:r>
      <w:r w:rsidR="008B1FD1">
        <w:rPr>
          <w:color w:val="222222"/>
        </w:rPr>
        <w:t>s</w:t>
      </w:r>
      <w:r w:rsidR="0075795A" w:rsidRPr="008B1FD1">
        <w:rPr>
          <w:color w:val="222222"/>
        </w:rPr>
        <w:t xml:space="preserve">e processo, como </w:t>
      </w:r>
      <w:r w:rsidR="0075795A" w:rsidRPr="008B1FD1">
        <w:rPr>
          <w:i/>
          <w:iCs/>
          <w:color w:val="222222"/>
        </w:rPr>
        <w:t>P</w:t>
      </w:r>
      <w:r w:rsidR="000B31C0" w:rsidRPr="008B1FD1">
        <w:rPr>
          <w:i/>
          <w:iCs/>
          <w:color w:val="222222"/>
        </w:rPr>
        <w:t>DS</w:t>
      </w:r>
      <w:r w:rsidR="0075795A" w:rsidRPr="008B1FD1">
        <w:rPr>
          <w:color w:val="222222"/>
        </w:rPr>
        <w:t xml:space="preserve"> e </w:t>
      </w:r>
      <w:r w:rsidR="0075795A" w:rsidRPr="008B1FD1">
        <w:rPr>
          <w:i/>
          <w:iCs/>
          <w:color w:val="222222"/>
        </w:rPr>
        <w:t>NIS</w:t>
      </w:r>
      <w:r w:rsidR="0075795A" w:rsidRPr="008B1FD1">
        <w:rPr>
          <w:color w:val="222222"/>
        </w:rPr>
        <w:t xml:space="preserve">. Níveis elevados </w:t>
      </w:r>
      <w:r w:rsidR="0075795A" w:rsidRPr="008B1FD1">
        <w:rPr>
          <w:color w:val="222222"/>
        </w:rPr>
        <w:lastRenderedPageBreak/>
        <w:t xml:space="preserve">sustentados de TSH induzem </w:t>
      </w:r>
      <w:r w:rsidR="008B1FD1">
        <w:rPr>
          <w:color w:val="222222"/>
        </w:rPr>
        <w:t xml:space="preserve">a </w:t>
      </w:r>
      <w:r w:rsidR="0075795A" w:rsidRPr="008B1FD1">
        <w:rPr>
          <w:color w:val="222222"/>
        </w:rPr>
        <w:t xml:space="preserve">proliferação de células foliculares e </w:t>
      </w:r>
      <w:r w:rsidR="008B1FD1">
        <w:rPr>
          <w:color w:val="222222"/>
        </w:rPr>
        <w:t xml:space="preserve">o </w:t>
      </w:r>
      <w:r w:rsidR="0075795A" w:rsidRPr="008B1FD1">
        <w:rPr>
          <w:color w:val="222222"/>
        </w:rPr>
        <w:t xml:space="preserve">desenvolvimento de bócio </w:t>
      </w:r>
      <w:r w:rsidR="008B1FD1">
        <w:rPr>
          <w:color w:val="222222"/>
        </w:rPr>
        <w:t>pela</w:t>
      </w:r>
      <w:r w:rsidR="0075795A" w:rsidRPr="008B1FD1">
        <w:rPr>
          <w:color w:val="222222"/>
        </w:rPr>
        <w:t xml:space="preserve"> ativação independente de</w:t>
      </w:r>
      <w:r w:rsidR="0075795A">
        <w:rPr>
          <w:color w:val="222222"/>
        </w:rPr>
        <w:t xml:space="preserve"> AKT1 da via de sinalização mTOR1 e proliferação de células foliculares da tire</w:t>
      </w:r>
      <w:r w:rsidR="0040498B">
        <w:rPr>
          <w:color w:val="222222"/>
        </w:rPr>
        <w:t>o</w:t>
      </w:r>
      <w:r w:rsidR="0075795A">
        <w:rPr>
          <w:color w:val="222222"/>
        </w:rPr>
        <w:t xml:space="preserve">ide. O </w:t>
      </w:r>
      <w:r w:rsidR="0075795A" w:rsidRPr="00385E6B">
        <w:rPr>
          <w:i/>
          <w:iCs/>
          <w:color w:val="222222"/>
        </w:rPr>
        <w:t>GLIS3</w:t>
      </w:r>
      <w:r w:rsidR="0075795A">
        <w:rPr>
          <w:color w:val="222222"/>
        </w:rPr>
        <w:t xml:space="preserve"> é </w:t>
      </w:r>
      <w:r w:rsidR="004D762E">
        <w:rPr>
          <w:color w:val="222222"/>
        </w:rPr>
        <w:t>crítico</w:t>
      </w:r>
      <w:r w:rsidR="0075795A">
        <w:rPr>
          <w:color w:val="222222"/>
        </w:rPr>
        <w:t xml:space="preserve"> na mediação das ações </w:t>
      </w:r>
      <w:proofErr w:type="spellStart"/>
      <w:r w:rsidR="0075795A" w:rsidRPr="007368F6">
        <w:rPr>
          <w:i/>
          <w:iCs/>
          <w:color w:val="222222"/>
        </w:rPr>
        <w:t>downstream</w:t>
      </w:r>
      <w:proofErr w:type="spellEnd"/>
      <w:r w:rsidR="0075795A">
        <w:rPr>
          <w:color w:val="222222"/>
        </w:rPr>
        <w:t xml:space="preserve"> do TSH/TSHR</w:t>
      </w:r>
      <w:r w:rsidR="001C16DF">
        <w:rPr>
          <w:color w:val="222222"/>
        </w:rPr>
        <w:t xml:space="preserve"> </w:t>
      </w:r>
      <w:r w:rsidR="007368F6">
        <w:rPr>
          <w:color w:val="222222"/>
        </w:rPr>
        <w:fldChar w:fldCharType="begin"/>
      </w:r>
      <w:r w:rsidR="007368F6">
        <w:rPr>
          <w:color w:val="222222"/>
        </w:rPr>
        <w:instrText xml:space="preserve"> ADDIN ZOTERO_ITEM CSL_CITATION {"citationID":"wk1yCQNH","properties":{"formattedCitation":"(77)","plainCitation":"(77)","noteIndex":0},"citationItems":[{"id":827,"uris":["http://zotero.org/users/7110448/items/28LSYJM3"],"itemData":{"id":827,"type":"article-journal","abstract":"Deficiency in Krüppel-like zinc finger transcription factor GLI-similar 3 (GLIS3) in humans is associated with the development of congenital hypothyroidism. However, the functions of GLIS3 in the thyroid gland and the mechanism by which GLIS3 dysfunction causes hypothyroidism are unknown. In the current study, we demonstrate that GLIS3 acts downstream of thyroid-stimulating hormone (TSH) and TSH receptor (TSHR) and is indispensable for TSH/TSHR-mediated proliferation of thyroid follicular cells and biosynthesis of thyroid hormone. Using ChIP-Seq and promoter analysis, we demonstrate that GLIS3 is critical for the transcriptional activation of several genes required for thyroid hormone biosynthesis, including the iodide transporters Nis and Pds, both of which showed enhanced GLIS3 binding at their promoters. The repression of cell proliferation of GLIS3-deficient thyroid follicular cells was due to the inhibition of TSH-mediated activation of the mTOR complex 1/ribosomal protein S6 (mTORC1/RPS6) pathway as well as the reduced expression of several cell division-related genes regulated directly by GLIS3. Consequently, GLIS3 deficiency in a murine model prevented the development of goiter as well as the induction of inflammatory and fibrotic genes during chronic elevation of circulating TSH. Our study identifies GLIS3 as a key regulator of TSH/TSHR-mediated thyroid hormone biosynthesis and proliferation of thyroid follicular cells and uncovers a mechanism by which GLIS3 deficiency causes neonatal hypothyroidism and prevents goiter development.","container-title":"The Journal of Clinical Investigation","DOI":"10.1172/JCI94417","ISSN":"1558-8238","issue":"12","journalAbbreviation":"J Clin Invest","language":"eng","note":"PMID: 29083325\nPMCID: PMC5707155","page":"4326-4337","source":"PubMed","title":"GLIS3 is indispensable for TSH/TSHR-dependent thyroid hormone biosynthesis and follicular cell proliferation","volume":"127","author":[{"family":"Kang","given":"Hong Soon"},{"family":"Kumar","given":"Dhirendra"},{"family":"Liao","given":"Grace"},{"family":"Lichti-Kaiser","given":"Kristin"},{"family":"Gerrish","given":"Kevin"},{"family":"Liao","given":"Xiao-Hui"},{"family":"Refetoff","given":"Samuel"},{"family":"Jothi","given":"Raja"},{"family":"Jetten","given":"Anton M."}],"issued":{"date-parts":[["2017",12,1]]}}}],"schema":"https://github.com/citation-style-language/schema/raw/master/csl-citation.json"} </w:instrText>
      </w:r>
      <w:r w:rsidR="007368F6">
        <w:rPr>
          <w:color w:val="222222"/>
        </w:rPr>
        <w:fldChar w:fldCharType="separate"/>
      </w:r>
      <w:r w:rsidR="007368F6">
        <w:rPr>
          <w:noProof/>
          <w:color w:val="222222"/>
        </w:rPr>
        <w:t>(77)</w:t>
      </w:r>
      <w:r w:rsidR="007368F6">
        <w:rPr>
          <w:color w:val="222222"/>
        </w:rPr>
        <w:fldChar w:fldCharType="end"/>
      </w:r>
      <w:r w:rsidR="007368F6">
        <w:rPr>
          <w:color w:val="222222"/>
        </w:rPr>
        <w:t>.</w:t>
      </w:r>
    </w:p>
    <w:p w14:paraId="33E402CB" w14:textId="77777777" w:rsidR="005637B7" w:rsidRPr="00485D37" w:rsidRDefault="005637B7" w:rsidP="00454D8B">
      <w:pPr>
        <w:spacing w:before="30" w:line="360" w:lineRule="auto"/>
        <w:rPr>
          <w:sz w:val="20"/>
          <w:szCs w:val="20"/>
          <w:lang w:val="en-US"/>
        </w:rPr>
      </w:pPr>
    </w:p>
    <w:p w14:paraId="4C4D90A0" w14:textId="4D4BE5BC" w:rsidR="00433DA0" w:rsidRPr="005637B7" w:rsidRDefault="00433DA0" w:rsidP="00433DA0">
      <w:pPr>
        <w:numPr>
          <w:ilvl w:val="0"/>
          <w:numId w:val="3"/>
        </w:numPr>
        <w:pBdr>
          <w:top w:val="nil"/>
          <w:left w:val="nil"/>
          <w:bottom w:val="nil"/>
          <w:right w:val="nil"/>
          <w:between w:val="nil"/>
        </w:pBdr>
        <w:spacing w:before="30" w:after="200" w:line="360" w:lineRule="auto"/>
        <w:rPr>
          <w:color w:val="222222"/>
        </w:rPr>
      </w:pPr>
      <w:r>
        <w:rPr>
          <w:color w:val="222222"/>
        </w:rPr>
        <w:t xml:space="preserve">Gene </w:t>
      </w:r>
      <w:r>
        <w:rPr>
          <w:i/>
          <w:color w:val="222222"/>
        </w:rPr>
        <w:t>PTCSC2</w:t>
      </w:r>
    </w:p>
    <w:p w14:paraId="790223D8" w14:textId="0D1B2432" w:rsidR="002A77C0" w:rsidRDefault="00485D37" w:rsidP="00433DA0">
      <w:pPr>
        <w:spacing w:before="30" w:line="360" w:lineRule="auto"/>
        <w:jc w:val="both"/>
        <w:rPr>
          <w:color w:val="222222"/>
        </w:rPr>
      </w:pPr>
      <w:r>
        <w:rPr>
          <w:color w:val="222222"/>
        </w:rPr>
        <w:t xml:space="preserve">     </w:t>
      </w:r>
      <w:r w:rsidR="00433DA0">
        <w:rPr>
          <w:color w:val="222222"/>
        </w:rPr>
        <w:t xml:space="preserve">Os </w:t>
      </w:r>
      <w:proofErr w:type="spellStart"/>
      <w:r w:rsidR="00433DA0">
        <w:rPr>
          <w:color w:val="222222"/>
        </w:rPr>
        <w:t>lincRNA</w:t>
      </w:r>
      <w:proofErr w:type="spellEnd"/>
      <w:r w:rsidR="00433DA0">
        <w:rPr>
          <w:color w:val="222222"/>
        </w:rPr>
        <w:t xml:space="preserve"> (RNA não codificantes longos intergênicos) são moléculas de RNA</w:t>
      </w:r>
      <w:r w:rsidR="00DC2D13">
        <w:rPr>
          <w:color w:val="222222"/>
        </w:rPr>
        <w:t xml:space="preserve"> </w:t>
      </w:r>
      <w:r w:rsidR="00433DA0">
        <w:rPr>
          <w:color w:val="222222"/>
        </w:rPr>
        <w:t>com comprimento de mais de 200 nucleotídeos que não codificam proteínas</w:t>
      </w:r>
      <w:r w:rsidR="002A77C0">
        <w:rPr>
          <w:color w:val="222222"/>
        </w:rPr>
        <w:t xml:space="preserve"> </w:t>
      </w:r>
      <w:r w:rsidR="002A77C0">
        <w:rPr>
          <w:color w:val="222222"/>
        </w:rPr>
        <w:fldChar w:fldCharType="begin"/>
      </w:r>
      <w:r w:rsidR="00344DCD">
        <w:rPr>
          <w:color w:val="222222"/>
        </w:rPr>
        <w:instrText xml:space="preserve"> ADDIN ZOTERO_ITEM CSL_CITATION {"citationID":"ZfclQJ9k","properties":{"formattedCitation":"(79)","plainCitation":"(79)","noteIndex":0},"citationItems":[{"id":1048,"uris":["http://zotero.org/users/7110448/items/9JL5CEH7"],"itemData":{"id":1048,"type":"article-journal","abstract":"Long intergenic non-coding RNA (lincRNA) genes have diverse features that distinguish them from mRNA-encoding genes and exercise functions such as remodelling chromatin and genome architecture, RNA stabilization and transcription regulation, including enhancer-associated activity. Some genes currently annotated as encoding lincRNAs include small open reading frames (smORFs) and encode functional peptides and thus may be more properly classified as coding RNAs. lincRNAs may broadly serve to fine-tune the expression of neighbouring genes with remarkable tissue specificity through a diversity of mechanisms, highlighting our rapidly evolving understanding of the non-coding genome.","container-title":"Nature reviews. Molecular cell biology","DOI":"10.1038/nrm.2017.104","ISSN":"1471-0072","issue":"3","journalAbbreviation":"Nat Rev Mol Cell Biol","note":"PMID: 29138516\nPMCID: PMC5889127","page":"143-157","source":"PubMed Central","title":"The functions and unique features of long intergenic non-coding RNA","volume":"19","author":[{"family":"Ransohoff","given":"Julia D."},{"family":"Wei","given":"Yuning"},{"family":"Khavari","given":"Paul A."}],"issued":{"date-parts":[["2018",3]]}}}],"schema":"https://github.com/citation-style-language/schema/raw/master/csl-citation.json"} </w:instrText>
      </w:r>
      <w:r w:rsidR="002A77C0">
        <w:rPr>
          <w:color w:val="222222"/>
        </w:rPr>
        <w:fldChar w:fldCharType="separate"/>
      </w:r>
      <w:r w:rsidR="000C277B">
        <w:rPr>
          <w:noProof/>
          <w:color w:val="222222"/>
        </w:rPr>
        <w:t>(79)</w:t>
      </w:r>
      <w:r w:rsidR="002A77C0">
        <w:rPr>
          <w:color w:val="222222"/>
        </w:rPr>
        <w:fldChar w:fldCharType="end"/>
      </w:r>
      <w:r w:rsidR="002A77C0">
        <w:rPr>
          <w:color w:val="222222"/>
        </w:rPr>
        <w:t xml:space="preserve">. </w:t>
      </w:r>
      <w:r w:rsidR="00433DA0">
        <w:rPr>
          <w:color w:val="222222"/>
        </w:rPr>
        <w:t xml:space="preserve">Atuam na remodelação da cromatina e </w:t>
      </w:r>
      <w:r w:rsidR="008B1FD1">
        <w:rPr>
          <w:color w:val="222222"/>
        </w:rPr>
        <w:t xml:space="preserve">na </w:t>
      </w:r>
      <w:r w:rsidR="00433DA0">
        <w:rPr>
          <w:color w:val="222222"/>
        </w:rPr>
        <w:t xml:space="preserve">arquitetura genômica, </w:t>
      </w:r>
      <w:r w:rsidR="008B1FD1">
        <w:rPr>
          <w:color w:val="222222"/>
        </w:rPr>
        <w:t>na</w:t>
      </w:r>
      <w:r w:rsidR="004D762E">
        <w:rPr>
          <w:color w:val="222222"/>
        </w:rPr>
        <w:t xml:space="preserve"> </w:t>
      </w:r>
      <w:r w:rsidR="00433DA0">
        <w:rPr>
          <w:color w:val="222222"/>
        </w:rPr>
        <w:t xml:space="preserve">estabilização do RNA e </w:t>
      </w:r>
      <w:r w:rsidR="008B1FD1">
        <w:rPr>
          <w:color w:val="222222"/>
        </w:rPr>
        <w:t xml:space="preserve">na </w:t>
      </w:r>
      <w:r w:rsidR="00433DA0">
        <w:rPr>
          <w:color w:val="222222"/>
        </w:rPr>
        <w:t xml:space="preserve">regulação da expressão de outros genes </w:t>
      </w:r>
      <w:r w:rsidR="00433DA0">
        <w:rPr>
          <w:color w:val="222222"/>
        </w:rPr>
        <w:fldChar w:fldCharType="begin"/>
      </w:r>
      <w:r w:rsidR="00344DCD">
        <w:rPr>
          <w:color w:val="222222"/>
        </w:rPr>
        <w:instrText xml:space="preserve"> ADDIN ZOTERO_ITEM CSL_CITATION {"citationID":"pB5WjbTK","properties":{"formattedCitation":"(79)","plainCitation":"(79)","noteIndex":0},"citationItems":[{"id":1048,"uris":["http://zotero.org/users/7110448/items/9JL5CEH7"],"itemData":{"id":1048,"type":"article-journal","abstract":"Long intergenic non-coding RNA (lincRNA) genes have diverse features that distinguish them from mRNA-encoding genes and exercise functions such as remodelling chromatin and genome architecture, RNA stabilization and transcription regulation, including enhancer-associated activity. Some genes currently annotated as encoding lincRNAs include small open reading frames (smORFs) and encode functional peptides and thus may be more properly classified as coding RNAs. lincRNAs may broadly serve to fine-tune the expression of neighbouring genes with remarkable tissue specificity through a diversity of mechanisms, highlighting our rapidly evolving understanding of the non-coding genome.","container-title":"Nature reviews. Molecular cell biology","DOI":"10.1038/nrm.2017.104","ISSN":"1471-0072","issue":"3","journalAbbreviation":"Nat Rev Mol Cell Biol","note":"PMID: 29138516\nPMCID: PMC5889127","page":"143-157","source":"PubMed Central","title":"The functions and unique features of long intergenic non-coding RNA","volume":"19","author":[{"family":"Ransohoff","given":"Julia D."},{"family":"Wei","given":"Yuning"},{"family":"Khavari","given":"Paul A."}],"issued":{"date-parts":[["2018",3]]}}}],"schema":"https://github.com/citation-style-language/schema/raw/master/csl-citation.json"} </w:instrText>
      </w:r>
      <w:r w:rsidR="00433DA0">
        <w:rPr>
          <w:color w:val="222222"/>
        </w:rPr>
        <w:fldChar w:fldCharType="separate"/>
      </w:r>
      <w:r w:rsidR="000C277B">
        <w:rPr>
          <w:noProof/>
          <w:color w:val="222222"/>
        </w:rPr>
        <w:t>(79)</w:t>
      </w:r>
      <w:r w:rsidR="00433DA0">
        <w:rPr>
          <w:color w:val="222222"/>
        </w:rPr>
        <w:fldChar w:fldCharType="end"/>
      </w:r>
      <w:r w:rsidR="00433DA0">
        <w:rPr>
          <w:color w:val="222222"/>
        </w:rPr>
        <w:t xml:space="preserve">. O </w:t>
      </w:r>
      <w:r w:rsidR="00433DA0" w:rsidRPr="00682A68">
        <w:rPr>
          <w:i/>
          <w:iCs/>
          <w:color w:val="222222"/>
        </w:rPr>
        <w:t>PTCSC2</w:t>
      </w:r>
      <w:r w:rsidR="00433DA0">
        <w:rPr>
          <w:color w:val="222222"/>
        </w:rPr>
        <w:t xml:space="preserve"> é um </w:t>
      </w:r>
      <w:proofErr w:type="spellStart"/>
      <w:r w:rsidR="00433DA0">
        <w:rPr>
          <w:color w:val="222222"/>
        </w:rPr>
        <w:t>lincRNA</w:t>
      </w:r>
      <w:proofErr w:type="spellEnd"/>
      <w:r w:rsidR="00433DA0">
        <w:rPr>
          <w:color w:val="222222"/>
        </w:rPr>
        <w:t xml:space="preserve"> localizado no </w:t>
      </w:r>
      <w:proofErr w:type="spellStart"/>
      <w:r w:rsidR="00385E6B" w:rsidRPr="00B53381">
        <w:rPr>
          <w:i/>
          <w:color w:val="222222"/>
        </w:rPr>
        <w:t>l</w:t>
      </w:r>
      <w:r w:rsidR="008B1FD1" w:rsidRPr="00B53381">
        <w:rPr>
          <w:i/>
          <w:color w:val="222222"/>
        </w:rPr>
        <w:t>o</w:t>
      </w:r>
      <w:r w:rsidR="00385E6B" w:rsidRPr="00B53381">
        <w:rPr>
          <w:i/>
          <w:color w:val="222222"/>
        </w:rPr>
        <w:t>cus</w:t>
      </w:r>
      <w:proofErr w:type="spellEnd"/>
      <w:r w:rsidR="00433DA0">
        <w:rPr>
          <w:color w:val="222222"/>
        </w:rPr>
        <w:t xml:space="preserve"> 9q22, expresso no tecido tireoidiano e pode funcionar como uma molécula reguladora da expressão gênica da tireoide </w:t>
      </w:r>
      <w:r w:rsidR="00433DA0">
        <w:rPr>
          <w:color w:val="222222"/>
        </w:rPr>
        <w:fldChar w:fldCharType="begin"/>
      </w:r>
      <w:r w:rsidR="00344DCD">
        <w:rPr>
          <w:color w:val="222222"/>
        </w:rPr>
        <w:instrText xml:space="preserve"> ADDIN ZOTERO_ITEM CSL_CITATION {"citationID":"ti6EbyzE","properties":{"unsorted":true,"formattedCitation":"(80,73,79,81)","plainCitation":"(80,73,79,81)","noteIndex":0},"citationItems":[{"id":163,"uris":["http://zotero.org/users/7110448/items/Q3PIFN72"],"itemData":{"id":163,"type":"article-journal","abstract":"Context:\nBy genome-wide association studies, the risk allele [A] of SNP rs965513 predisposes strongly to papillary thyroid carcinoma (PTC). It is located in a gene-poor region of 9q22, some 60 kb from the FOXE1 gene. The underlying mechanisms remain to be discovered.\n\nObjective:\nOur objective was to identify novel transcripts in the 9q22 locus and correlate gene expression levels with the genotypes of rs965513.\n\nDesign:\nWe performed 3′ and 5′ rapid amplification of cDNA ends and RT-PCR to detect novel transcripts. One novel transcript was forcibly expressed in a cell line followed by gene expression array analysis. We genotyped rs965513 from PTC patients and measured gene expression levels by real-time RT-PCR in unaffected thyroid tissue and matched tumor.\n\nSetting:\nThis was a laboratory-based study using cells from clinical tissue samples and a cancer cell line.\n\nMain Outcome Measures:\nWe detected previously uncharacterized transcripts and evaluated the gene expression levels and the correlation with the risk allele of rs965513, age, gender, chronic lymphocyte thyroiditis (CLT), and TSH levels.\n\nResults:\nWe found a novel long intergenic noncoding RNA gene and named it papillary thyroid cancer susceptibility candidate 2 (PTCSC2). Transcripts of PTCSC2 are down-regulated in PTC tumors. The risk allele [A] of rs965513 was significantly associated with low expression of unspliced PTCSC2, FOXE1, and TSHR in unaffected thyroid tissue. We also observed a significant association of age and CLT with PTCSC2 unspliced transcript levels. The correlation between the rs965513 genotype and the PTCSC2 unspliced transcript levels remained significant after adjusting for age, gender, and CLT. Forced expression of PTCSC2 in the BCPAP cell line affected the expression of a subset of noncoding and coding transcripts with enrichment of genes functionally involved in cell cycle and cancer.\n\nConclusions:\nOur data suggest a role for PTCSC2, FOXE1, and TSHR in the predisposition to PTC.","container-title":"The Journal of Clinical Endocrinology and Metabolism","DOI":"10.1210/jc.2014-2147","ISSN":"0021-972X","issue":"1","journalAbbreviation":"J Clin Endocrinol Metab","note":"PMID: 25303483\nPMCID: PMC4283026","page":"E164-E172","source":"PubMed Central","title":"Genetic Predisposition to Papillary Thyroid Carcinoma: Involvement of FOXE1, TSHR, and a Novel lincRNA Gene, PTCSC2","title-short":"Genetic Predisposition to Papillary Thyroid Carcinoma","volume":"100","author":[{"family":"He","given":"Huiling"},{"family":"Li","given":"Wei"},{"family":"Liyanarachchi","given":"Sandya"},{"family":"Jendrzejewski","given":"Jaroslaw"},{"family":"Srinivas","given":"Mukund"},{"family":"Davuluri","given":"Ramana V."},{"family":"Nagy","given":"Rebecca"},{"family":"Chapelle","given":"Albert","non-dropping-particle":"de la"}],"issued":{"date-parts":[["2015",1]]}},"label":"page"},{"id":851,"uris":["http://zotero.org/users/7110448/items/K99LNL4S"],"itemData":{"id":851,"type":"article-journal","abstract":"Thyroid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P."},{"family":"Naitza","given":"Silvia"}],"issued":{"date-parts":[["2013"]]}},"label":"page"},{"id":1048,"uris":["http://zotero.org/users/7110448/items/9JL5CEH7"],"itemData":{"id":1048,"type":"article-journal","abstract":"Long intergenic non-coding RNA (lincRNA) genes have diverse features that distinguish them from mRNA-encoding genes and exercise functions such as remodelling chromatin and genome architecture, RNA stabilization and transcription regulation, including enhancer-associated activity. Some genes currently annotated as encoding lincRNAs include small open reading frames (smORFs) and encode functional peptides and thus may be more properly classified as coding RNAs. lincRNAs may broadly serve to fine-tune the expression of neighbouring genes with remarkable tissue specificity through a diversity of mechanisms, highlighting our rapidly evolving understanding of the non-coding genome.","container-title":"Nature reviews. Molecular cell biology","DOI":"10.1038/nrm.2017.104","ISSN":"1471-0072","issue":"3","journalAbbreviation":"Nat Rev Mol Cell Biol","note":"PMID: 29138516\nPMCID: PMC5889127","page":"143-157","source":"PubMed Central","title":"The functions and unique features of long intergenic non-coding RNA","volume":"19","author":[{"family":"Ransohoff","given":"Julia D."},{"family":"Wei","given":"Yuning"},{"family":"Khavari","given":"Paul A."}],"issued":{"date-parts":[["2018",3]]}},"label":"page"},{"id":1039,"uris":["http://zotero.org/users/7110448/items/YRKWBKAZ"],"itemData":{"id":1039,"type":"article-journal","abstract":"&lt;section class=\"abstract\"&gt;&lt;p&gt;FOXE1 is a thyroid-specific transcription factor essential for thyroid gland development and maintenance of the differentiated state. Interestingly, a strong association has been recently described between &lt;em&gt;FOXE1&lt;/em&gt; expression and susceptibility to thyroid cancer, but little is known about the mechanisms underlying FOXE1-induced thyroid tumorigenesis. Here, we used a panel of human thyroid cancer-derived cell lines covering the spectrum of thyroid cancer phenotypes to examine &lt;em&gt;FOXE1&lt;/em&gt; expression and to test for correlations between FOXE1 expression, the allele frequency of two SNPs and a length polymorphism in or near the FOXE1 locus associated with cancer susceptibility, and the migration ability of thyroid cancer cell lines. Results showed that FOXE1 expression correlated with differentiation status according to histological sub-type, but not with SNP genotype or cell migration ability. However, loss-and-gain-of-function experiments revealed that FOXE1 modulates cell migration, suggesting a role in epithelial-to-mesenchymal transition (EMT). Our previous genome-wide expression analysis identified &lt;em&gt;Zeb1&lt;/em&gt;, a major EMT inducer, as a putative Foxe1 target gene. Indeed, gene silencing of&lt;em&gt; FOXE1&lt;/em&gt; decreased &lt;em&gt;ZEB1&lt;/em&gt; expression, whereas its overexpression increased &lt;em&gt;ZEB1&lt;/em&gt; transcriptional activity. FOXE1 was found to directly interact with the &lt;em&gt;ZEB1&lt;/em&gt; promoter. Lastly, &lt;em&gt;ZEB1&lt;/em&gt; silencing decreased the ability of thyroid tumoral cells to migrate and invade, pointing to its importance in thyroid tumor mestastases. In conclusion, we have identified &lt;em&gt;ZEB1&lt;/em&gt; as a &lt;em&gt;bona fide&lt;/em&gt; target of FOXE1 in thyroid cancer cells, which provides new insights into the role of FOXE1 in regulating cell migration and invasion in thyroid cancer.&lt;/p&gt;&lt;/section&gt;","container-title":"Endocrine-Related Cancer","DOI":"10.1530/ERC-19-0156","ISSN":"1351-0088, 1479-6821","issue":"3","language":"en_US","note":"publisher: Bioscientifica Ltd\nsection: Endocrine-Related Cancer","page":"137-151","source":"erc.bioscientifica.com","title":"FOXE1 regulates migration and invasion in thyroid cancer cells and targets ZEB1","volume":"27","author":[{"family":"Morillo-Bernal","given":"Jesús"},{"family":"Fernández","given":"Lara P."},{"family":"Santisteban","given":"Pilar"}],"issued":{"date-parts":[["2020",3,1]]}},"label":"page"}],"schema":"https://github.com/citation-style-language/schema/raw/master/csl-citation.json"} </w:instrText>
      </w:r>
      <w:r w:rsidR="00433DA0">
        <w:rPr>
          <w:color w:val="222222"/>
        </w:rPr>
        <w:fldChar w:fldCharType="separate"/>
      </w:r>
      <w:r w:rsidR="000C277B">
        <w:rPr>
          <w:noProof/>
          <w:color w:val="222222"/>
        </w:rPr>
        <w:t>(80,73,79,81)</w:t>
      </w:r>
      <w:r w:rsidR="00433DA0">
        <w:rPr>
          <w:color w:val="222222"/>
        </w:rPr>
        <w:fldChar w:fldCharType="end"/>
      </w:r>
      <w:r w:rsidR="00433DA0">
        <w:rPr>
          <w:color w:val="222222"/>
        </w:rPr>
        <w:t xml:space="preserve">. </w:t>
      </w:r>
    </w:p>
    <w:p w14:paraId="6F0CBBC6" w14:textId="1D91465A" w:rsidR="00454D8B" w:rsidRDefault="00485D37" w:rsidP="00B53381">
      <w:pPr>
        <w:spacing w:line="360" w:lineRule="auto"/>
        <w:jc w:val="both"/>
      </w:pPr>
      <w:r>
        <w:rPr>
          <w:color w:val="222222"/>
        </w:rPr>
        <w:t xml:space="preserve">     </w:t>
      </w:r>
      <w:r w:rsidR="007B03FE">
        <w:rPr>
          <w:color w:val="222222"/>
        </w:rPr>
        <w:t xml:space="preserve">Variantes genéticas no gene </w:t>
      </w:r>
      <w:r w:rsidR="007B03FE" w:rsidRPr="00682A68">
        <w:rPr>
          <w:i/>
          <w:iCs/>
          <w:color w:val="222222"/>
        </w:rPr>
        <w:t>PTCSC2</w:t>
      </w:r>
      <w:r w:rsidR="008B1FD1">
        <w:rPr>
          <w:i/>
          <w:iCs/>
          <w:color w:val="222222"/>
        </w:rPr>
        <w:t>,</w:t>
      </w:r>
      <w:r w:rsidR="007B03FE">
        <w:rPr>
          <w:color w:val="222222"/>
        </w:rPr>
        <w:t xml:space="preserve"> reveladas em GWAS</w:t>
      </w:r>
      <w:r w:rsidR="008B1FD1">
        <w:rPr>
          <w:color w:val="222222"/>
        </w:rPr>
        <w:t>,</w:t>
      </w:r>
      <w:r w:rsidR="007B03FE">
        <w:rPr>
          <w:color w:val="222222"/>
        </w:rPr>
        <w:t xml:space="preserve"> foram associadas a modificações na expressão de genes </w:t>
      </w:r>
      <w:r w:rsidR="007B03FE" w:rsidRPr="00682A68">
        <w:rPr>
          <w:i/>
          <w:iCs/>
          <w:color w:val="222222"/>
        </w:rPr>
        <w:t>FOXE1</w:t>
      </w:r>
      <w:r w:rsidR="007B03FE">
        <w:rPr>
          <w:color w:val="222222"/>
        </w:rPr>
        <w:t xml:space="preserve"> e </w:t>
      </w:r>
      <w:r w:rsidR="007B03FE" w:rsidRPr="00682A68">
        <w:rPr>
          <w:i/>
          <w:iCs/>
          <w:color w:val="222222"/>
        </w:rPr>
        <w:t>TSH</w:t>
      </w:r>
      <w:r w:rsidR="00682A68">
        <w:rPr>
          <w:i/>
          <w:iCs/>
          <w:color w:val="222222"/>
        </w:rPr>
        <w:t xml:space="preserve">R </w:t>
      </w:r>
      <w:r w:rsidR="007B03FE">
        <w:rPr>
          <w:color w:val="222222"/>
        </w:rPr>
        <w:t xml:space="preserve"> </w:t>
      </w:r>
      <w:r w:rsidR="007B03FE">
        <w:rPr>
          <w:color w:val="222222"/>
        </w:rPr>
        <w:fldChar w:fldCharType="begin"/>
      </w:r>
      <w:r w:rsidR="00344DCD">
        <w:rPr>
          <w:color w:val="222222"/>
        </w:rPr>
        <w:instrText xml:space="preserve"> ADDIN ZOTERO_ITEM CSL_CITATION {"citationID":"RKQwy1UW","properties":{"formattedCitation":"(80)","plainCitation":"(80)","noteIndex":0},"citationItems":[{"id":163,"uris":["http://zotero.org/users/7110448/items/Q3PIFN72"],"itemData":{"id":163,"type":"article-journal","abstract":"Context:\nBy genome-wide association studies, the risk allele [A] of SNP rs965513 predisposes strongly to papillary thyroid carcinoma (PTC). It is located in a gene-poor region of 9q22, some 60 kb from the FOXE1 gene. The underlying mechanisms remain to be discovered.\n\nObjective:\nOur objective was to identify novel transcripts in the 9q22 locus and correlate gene expression levels with the genotypes of rs965513.\n\nDesign:\nWe performed 3′ and 5′ rapid amplification of cDNA ends and RT-PCR to detect novel transcripts. One novel transcript was forcibly expressed in a cell line followed by gene expression array analysis. We genotyped rs965513 from PTC patients and measured gene expression levels by real-time RT-PCR in unaffected thyroid tissue and matched tumor.\n\nSetting:\nThis was a laboratory-based study using cells from clinical tissue samples and a cancer cell line.\n\nMain Outcome Measures:\nWe detected previously uncharacterized transcripts and evaluated the gene expression levels and the correlation with the risk allele of rs965513, age, gender, chronic lymphocyte thyroiditis (CLT), and TSH levels.\n\nResults:\nWe found a novel long intergenic noncoding RNA gene and named it papillary thyroid cancer susceptibility candidate 2 (PTCSC2). Transcripts of PTCSC2 are down-regulated in PTC tumors. The risk allele [A] of rs965513 was significantly associated with low expression of unspliced PTCSC2, FOXE1, and TSHR in unaffected thyroid tissue. We also observed a significant association of age and CLT with PTCSC2 unspliced transcript levels. The correlation between the rs965513 genotype and the PTCSC2 unspliced transcript levels remained significant after adjusting for age, gender, and CLT. Forced expression of PTCSC2 in the BCPAP cell line affected the expression of a subset of noncoding and coding transcripts with enrichment of genes functionally involved in cell cycle and cancer.\n\nConclusions:\nOur data suggest a role for PTCSC2, FOXE1, and TSHR in the predisposition to PTC.","container-title":"The Journal of Clinical Endocrinology and Metabolism","DOI":"10.1210/jc.2014-2147","ISSN":"0021-972X","issue":"1","journalAbbreviation":"J Clin Endocrinol Metab","note":"PMID: 25303483\nPMCID: PMC4283026","page":"E164-E172","source":"PubMed Central","title":"Genetic Predisposition to Papillary Thyroid Carcinoma: Involvement of FOXE1, TSHR, and a Novel lincRNA Gene, PTCSC2","title-short":"Genetic Predisposition to Papillary Thyroid Carcinoma","volume":"100","author":[{"family":"He","given":"Huiling"},{"family":"Li","given":"Wei"},{"family":"Liyanarachchi","given":"Sandya"},{"family":"Jendrzejewski","given":"Jaroslaw"},{"family":"Srinivas","given":"Mukund"},{"family":"Davuluri","given":"Ramana V."},{"family":"Nagy","given":"Rebecca"},{"family":"Chapelle","given":"Albert","non-dropping-particle":"de la"}],"issued":{"date-parts":[["2015",1]]}}}],"schema":"https://github.com/citation-style-language/schema/raw/master/csl-citation.json"} </w:instrText>
      </w:r>
      <w:r w:rsidR="007B03FE">
        <w:rPr>
          <w:color w:val="222222"/>
        </w:rPr>
        <w:fldChar w:fldCharType="separate"/>
      </w:r>
      <w:r w:rsidR="000C277B">
        <w:rPr>
          <w:noProof/>
          <w:color w:val="222222"/>
        </w:rPr>
        <w:t>(80)</w:t>
      </w:r>
      <w:r w:rsidR="007B03FE">
        <w:rPr>
          <w:color w:val="222222"/>
        </w:rPr>
        <w:fldChar w:fldCharType="end"/>
      </w:r>
      <w:r w:rsidR="007B03FE">
        <w:rPr>
          <w:color w:val="222222"/>
        </w:rPr>
        <w:t xml:space="preserve">. </w:t>
      </w:r>
      <w:r w:rsidR="000D0759">
        <w:rPr>
          <w:color w:val="222222"/>
        </w:rPr>
        <w:t>Polimorfismos</w:t>
      </w:r>
      <w:r w:rsidR="007B03FE" w:rsidRPr="007B03FE">
        <w:rPr>
          <w:color w:val="222222"/>
        </w:rPr>
        <w:t xml:space="preserve"> no gene </w:t>
      </w:r>
      <w:r w:rsidR="007B03FE" w:rsidRPr="007B03FE">
        <w:rPr>
          <w:i/>
          <w:color w:val="222222"/>
        </w:rPr>
        <w:t xml:space="preserve">FOXE1 </w:t>
      </w:r>
      <w:r w:rsidR="002A77C0">
        <w:rPr>
          <w:color w:val="222222"/>
        </w:rPr>
        <w:t xml:space="preserve">apontam </w:t>
      </w:r>
      <w:r w:rsidR="007B03FE" w:rsidRPr="007B03FE">
        <w:rPr>
          <w:color w:val="222222"/>
        </w:rPr>
        <w:t>mudanças na mesma direção dos níveis de T4l e TSH em GWAS</w:t>
      </w:r>
      <w:r w:rsidR="007B03FE">
        <w:rPr>
          <w:color w:val="222222"/>
        </w:rPr>
        <w:t xml:space="preserve"> </w:t>
      </w:r>
      <w:r w:rsidR="007B03FE">
        <w:rPr>
          <w:color w:val="222222"/>
        </w:rPr>
        <w:fldChar w:fldCharType="begin"/>
      </w:r>
      <w:r w:rsidR="00344DCD">
        <w:rPr>
          <w:color w:val="222222"/>
        </w:rPr>
        <w:instrText xml:space="preserve"> ADDIN ZOTERO_ITEM CSL_CITATION {"citationID":"vaf4rMzY","properties":{"unsorted":true,"formattedCitation":"(82,73,17)","plainCitation":"(82,73,17)","noteIndex":0},"citationItems":[{"id":1814,"uris":["http://zotero.org/users/7110448/items/PNRGMJ3I"],"itemData":{"id":1814,"type":"article-journal","abstract":"To search for sequence variants conferring risk of nonmedullary thyroid cancer, we focused our analysis on 22 SNPs with a P &lt; 5 × 10(-8) in a genome-wide association study on levels of thyroid stimulating hormone (TSH) in 27,758 Icelanders. Of those, rs965513 has previously been shown to associate with thyroid cancer. The remaining 21 SNPs were genotyped in 561 Icelandic individuals with thyroid cancer (cases) and up to 40,013 controls. Variants suggestively associated with thyroid cancer (P &lt; 0.05) were genotyped in an additional 595 non-Icelandic cases and 2,604 controls. After combining the results, three variants were shown to associate with thyroid cancer: rs966423 on 2q35 (OR = 1.34; P(combined) = 1.3 × 10(-9)), rs2439302 on 8p12 (OR = 1.36; P(combined) = 2.0 × 10(-9)) and rs116909374 on 14q13.3 (OR = 2.09; P(combined) = 4.6 × 10(-11)), a region previously reported to contain an uncorrelated variant conferring risk of thyroid cancer. A strong association (P = 9.1 × 10(-91)) was observed between rs2439302 on 8p12 and expression of NRG1, which encodes the signaling protein neuregulin 1, in blood.","container-title":"Nature Genetics","DOI":"10.1038/ng.1046","ISSN":"1546-1718","issue":"3","journalAbbreviation":"Nat Genet","language":"eng","note":"PMID: 22267200\nPMCID: PMC3655412","page":"319-322","source":"PubMed","title":"Discovery of common variants associated with low TSH levels and thyroid cancer risk","volume":"44","author":[{"family":"Gudmundsson","given":"Julius"},{"family":"Sulem","given":"Patrick"},{"family":"Gudbjartsson","given":"Daniel F."},{"family":"Jonasson","given":"Jon G."},{"family":"Masson","given":"Gisli"},{"family":"He","given":"Huiling"},{"family":"Jonasdottir","given":"Aslaug"},{"family":"Sigurdsson","given":"Asgeir"},{"family":"Stacey","given":"Simon N."},{"family":"Johannsdottir","given":"Hrefna"},{"family":"Helgadottir","given":"Hafdis Th"},{"family":"Li","given":"Wei"},{"family":"Nagy","given":"Rebecca"},{"family":"Ringel","given":"Matthew D."},{"family":"Kloos","given":"Richard T."},{"family":"Visser","given":"Marieke C. H.","non-dropping-particle":"de"},{"family":"Plantinga","given":"Theo S."},{"family":"Heijer","given":"Martin","non-dropping-particle":"den"},{"family":"Aguillo","given":"Esperanza"},{"family":"Panadero","given":"Angeles"},{"family":"Prats","given":"Enrique"},{"family":"Garcia-Castaño","given":"Almudena"},{"family":"De Juan","given":"Ana"},{"family":"Rivera","given":"Fernando"},{"family":"Walters","given":"G. Bragi"},{"family":"Bjarnason","given":"Hjordis"},{"family":"Tryggvadottir","given":"Laufey"},{"family":"Eyjolfsson","given":"Gudmundur I."},{"family":"Bjornsdottir","given":"Unnur S."},{"family":"Holm","given":"Hilma"},{"family":"Olafsson","given":"Isleifur"},{"family":"Kristjansson","given":"Kristleifur"},{"family":"Kristvinsson","given":"Hoskuldur"},{"family":"Magnusson","given":"Olafur T."},{"family":"Thorleifsson","given":"Gudmar"},{"family":"Gulcher","given":"Jeffrey R."},{"family":"Kong","given":"Augustine"},{"family":"Kiemeney","given":"Lambertus A. L. M."},{"family":"Jonsson","given":"Thorvaldur"},{"family":"Hjartarson","given":"Hannes"},{"family":"Mayordomo","given":"Jose I."},{"family":"Netea-Maier","given":"Romana T."},{"family":"Chapelle","given":"Albert","non-dropping-particle":"de la"},{"family":"Hrafnkelsson","given":"Jon"},{"family":"Thorsteinsdottir","given":"Unnur"},{"family":"Rafnar","given":"Thorunn"},{"family":"Stefansson","given":"Kari"}],"issued":{"date-parts":[["2012",1,22]]}},"label":"page"},{"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P."},{"family":"Naitza","given":"Silvia"}],"issued":{"date-parts":[["2013"]]}},"label":"page"},{"id":205,"uris":["http://zotero.org/users/7110448/items/JCFSMWBQ"],"itemData":{"id":205,"type":"article-journal","abstract":"Abstract\n            \n              Normal thyroid function is essential for health, but its genetic architecture remains poorly understood. Here, for the heritable thyroid traits thyrotropin (TSH) and free thyroxine (FT4), we analyse whole-genome sequence data from the UK10K project (\n              N\n              =2,287). Using additional whole-genome sequence and deeply imputed data sets, we report meta-analysis results for common variants (MAF≥1%) associated with TSH and FT4 (\n              N\n              =16,335). For TSH, we identify a novel variant in\n              SYN2\n              (MAF=23.5%,\n              P\n              =6.15 × 10\n              −9\n              ) and a new independent variant in\n              PDE8B\n              (MAF=10.4%,\n              P\n              =5.94 × 10\n              −14\n              ). For FT4, we report a low-frequency variant near\n              B4GALT6/SLC25A52\n              (MAF=3.2%,\n              P\n              =1.27 × 10\n              −9\n              ) tagging a rare\n              TTR\n              variant (MAF=0.4%,\n              P\n              =2.14 × 10\n              −11\n              ). All common variants explain ≥20% of the variance in TSH and FT4. Analysis of rare variants (MAF&lt;1%) using sequence kernel association testing reveals a novel association with FT4 in\n              NRG1.\n              Our results demonstrate that increased coverage in whole-genome sequence association studies identifies novel variants associated with thyroid function.","container-title":"Nature Communications","DOI":"10.1038/ncomms6681","ISSN":"2041-1723","issue":"1","journalAbbreviation":"Nat Commun","language":"en","page":"5681","source":"DOI.org (Crossref)","title":"Whole-genome sequence-based analysis of thyroid function","volume":"6","author":[{"literal":"The UK10K Consortium"},{"family":"Taylor","given":"Peter N."},{"family":"Porcu","given":"Eleonora"},{"family":"Chew","given":"Shelby"},{"family":"Campbell","given":"Purdey J."},{"family":"Traglia","given":"Michela"},{"family":"Brown","given":"Suzanne J."},{"family":"Mullin","given":"Benjamin H."},{"family":"Shihab","given":"Hashem A."},{"family":"Min","given":"Josine"},{"family":"Walter","given":"Klaudia"},{"family":"Memari","given":"Yasin"},{"family":"Huang","given":"Jie"},{"family":"Barnes","given":"Michael R."},{"family":"Beilby","given":"John P."},{"family":"Charoen","given":"Pimphen"},{"family":"Danecek","given":"Petr"},{"family":"Dudbridge","given":"Frank"},{"family":"Forgetta","given":"Vincenzo"},{"family":"Greenwood","given":"Celia"},{"family":"Grundberg","given":"Elin"},{"family":"Johnson","given":"Andrew D."},{"family":"Hui","given":"Jennie"},{"family":"Lim","given":"Ee M."},{"family":"McCarthy","given":"Shane"},{"family":"Muddyman","given":"Dawn"},{"family":"Panicker","given":"Vijay"},{"family":"Perry","given":"John R.B."},{"family":"Bell","given":"Jordana T."},{"family":"Yuan","given":"Wei"},{"family":"Relton","given":"Caroline"},{"family":"Gaunt","given":"Tom"},{"family":"Schlessinger","given":"David"},{"family":"Abecasis","given":"Goncalo"},{"family":"Cucca","given":"Francesco"},{"family":"Surdulescu","given":"Gabriela L."},{"family":"Woltersdorf","given":"Wolfram"},{"family":"Zeggini","given":"Eleftheria"},{"family":"Zheng","given":"Hou-Feng"},{"family":"Toniolo","given":"Daniela"},{"family":"Dayan","given":"Colin M."},{"family":"Naitza","given":"Silvia"},{"family":"Walsh","given":"John P."},{"family":"Spector","given":"Tim"},{"family":"Davey Smith","given":"George"},{"family":"Durbin","given":"Richard"},{"family":"Brent Richards","given":"J."},{"family":"Sanna","given":"Serena"},{"family":"Soranzo","given":"Nicole"},{"family":"Timpson","given":"Nicholas J."},{"family":"Wilson","given":"Scott G."}],"issued":{"date-parts":[["2015",5,5]]}},"label":"page"}],"schema":"https://github.com/citation-style-language/schema/raw/master/csl-citation.json"} </w:instrText>
      </w:r>
      <w:r w:rsidR="007B03FE">
        <w:rPr>
          <w:color w:val="222222"/>
        </w:rPr>
        <w:fldChar w:fldCharType="separate"/>
      </w:r>
      <w:r w:rsidR="000C277B">
        <w:rPr>
          <w:noProof/>
          <w:color w:val="222222"/>
        </w:rPr>
        <w:t>(82,73,17)</w:t>
      </w:r>
      <w:r w:rsidR="007B03FE">
        <w:rPr>
          <w:color w:val="222222"/>
        </w:rPr>
        <w:fldChar w:fldCharType="end"/>
      </w:r>
      <w:r w:rsidR="007B03FE">
        <w:rPr>
          <w:color w:val="222222"/>
        </w:rPr>
        <w:t>.</w:t>
      </w:r>
      <w:r w:rsidR="002A77C0">
        <w:rPr>
          <w:color w:val="222222"/>
        </w:rPr>
        <w:t xml:space="preserve"> </w:t>
      </w:r>
      <w:r w:rsidR="002A77C0" w:rsidRPr="0048061E">
        <w:rPr>
          <w:color w:val="222222"/>
        </w:rPr>
        <w:t xml:space="preserve">O gene </w:t>
      </w:r>
      <w:r w:rsidR="002A77C0" w:rsidRPr="00682A68">
        <w:rPr>
          <w:i/>
          <w:iCs/>
          <w:color w:val="222222"/>
        </w:rPr>
        <w:t>FOXE1</w:t>
      </w:r>
      <w:r w:rsidR="002A77C0" w:rsidRPr="0048061E">
        <w:rPr>
          <w:color w:val="222222"/>
        </w:rPr>
        <w:t xml:space="preserve"> está localizado no </w:t>
      </w:r>
      <w:proofErr w:type="spellStart"/>
      <w:r w:rsidR="002A77C0" w:rsidRPr="00B53381">
        <w:rPr>
          <w:i/>
          <w:color w:val="222222"/>
        </w:rPr>
        <w:t>locus</w:t>
      </w:r>
      <w:proofErr w:type="spellEnd"/>
      <w:r w:rsidR="002A77C0" w:rsidRPr="0048061E">
        <w:rPr>
          <w:color w:val="222222"/>
        </w:rPr>
        <w:t xml:space="preserve"> 9q22 e é o principal  mediador da expressão gênica regulada pelo TSH</w:t>
      </w:r>
      <w:r w:rsidR="002A77C0">
        <w:rPr>
          <w:color w:val="222222"/>
        </w:rPr>
        <w:t xml:space="preserve"> </w:t>
      </w:r>
      <w:r w:rsidR="002A77C0">
        <w:rPr>
          <w:color w:val="222222"/>
        </w:rPr>
        <w:fldChar w:fldCharType="begin"/>
      </w:r>
      <w:r w:rsidR="00344DCD">
        <w:rPr>
          <w:color w:val="222222"/>
        </w:rPr>
        <w:instrText xml:space="preserve"> ADDIN ZOTERO_ITEM CSL_CITATION {"citationID":"RKUxFNR4","properties":{"formattedCitation":"(9)","plainCitation":"(9)","noteIndex":0},"citationItems":[{"id":93,"uris":["http://zotero.org/users/7110448/items/CK8FU3ZB"],"itemData":{"id":93,"type":"article-journal","abstract":"Abstract\n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P"},{"family":"Medici","given":"Marco"}],"issued":{"date-parts":[["2020",6,1]]}}}],"schema":"https://github.com/citation-style-language/schema/raw/master/csl-citation.json"} </w:instrText>
      </w:r>
      <w:r w:rsidR="002A77C0">
        <w:rPr>
          <w:color w:val="222222"/>
        </w:rPr>
        <w:fldChar w:fldCharType="separate"/>
      </w:r>
      <w:r w:rsidR="002A77C0">
        <w:rPr>
          <w:noProof/>
          <w:color w:val="222222"/>
        </w:rPr>
        <w:t>(9)</w:t>
      </w:r>
      <w:r w:rsidR="002A77C0">
        <w:rPr>
          <w:color w:val="222222"/>
        </w:rPr>
        <w:fldChar w:fldCharType="end"/>
      </w:r>
      <w:r w:rsidR="002A77C0">
        <w:rPr>
          <w:color w:val="222222"/>
        </w:rPr>
        <w:t xml:space="preserve">. </w:t>
      </w:r>
      <w:r w:rsidR="002A77C0" w:rsidRPr="0048061E">
        <w:rPr>
          <w:color w:val="222222"/>
        </w:rPr>
        <w:t xml:space="preserve">Está envolvido desde </w:t>
      </w:r>
      <w:r w:rsidR="008B1FD1">
        <w:rPr>
          <w:color w:val="222222"/>
        </w:rPr>
        <w:t xml:space="preserve">a </w:t>
      </w:r>
      <w:r w:rsidR="002A77C0" w:rsidRPr="0048061E">
        <w:rPr>
          <w:color w:val="222222"/>
        </w:rPr>
        <w:t>migração do precursor de tireócitos no processo de organogênese</w:t>
      </w:r>
      <w:r w:rsidR="008B1FD1">
        <w:rPr>
          <w:color w:val="222222"/>
        </w:rPr>
        <w:t xml:space="preserve">, </w:t>
      </w:r>
      <w:r w:rsidR="002A77C0" w:rsidRPr="0048061E">
        <w:rPr>
          <w:color w:val="222222"/>
        </w:rPr>
        <w:t xml:space="preserve">até a diferenciação da tireoide, ativando genes como </w:t>
      </w:r>
      <w:proofErr w:type="spellStart"/>
      <w:r w:rsidR="002A77C0" w:rsidRPr="0048061E">
        <w:rPr>
          <w:color w:val="222222"/>
        </w:rPr>
        <w:t>tireoperoxidase</w:t>
      </w:r>
      <w:proofErr w:type="spellEnd"/>
      <w:r w:rsidR="002A77C0" w:rsidRPr="0048061E">
        <w:rPr>
          <w:color w:val="222222"/>
        </w:rPr>
        <w:t xml:space="preserve">, </w:t>
      </w:r>
      <w:proofErr w:type="spellStart"/>
      <w:r w:rsidR="002A77C0" w:rsidRPr="0048061E">
        <w:rPr>
          <w:color w:val="222222"/>
        </w:rPr>
        <w:t>tireoglobulina</w:t>
      </w:r>
      <w:proofErr w:type="spellEnd"/>
      <w:r w:rsidR="002A77C0" w:rsidRPr="0048061E">
        <w:rPr>
          <w:color w:val="222222"/>
        </w:rPr>
        <w:t xml:space="preserve"> e NIS</w:t>
      </w:r>
      <w:r w:rsidR="002A77C0">
        <w:rPr>
          <w:color w:val="222222"/>
        </w:rPr>
        <w:t xml:space="preserve"> </w:t>
      </w:r>
      <w:r w:rsidR="002A77C0">
        <w:rPr>
          <w:color w:val="222222"/>
        </w:rPr>
        <w:fldChar w:fldCharType="begin"/>
      </w:r>
      <w:r w:rsidR="00344DCD">
        <w:rPr>
          <w:color w:val="222222"/>
        </w:rPr>
        <w:instrText xml:space="preserve"> ADDIN ZOTERO_ITEM CSL_CITATION {"citationID":"CS87Pp3j","properties":{"formattedCitation":"(81)","plainCitation":"(81)","noteIndex":0},"citationItems":[{"id":1039,"uris":["http://zotero.org/users/7110448/items/YRKWBKAZ"],"itemData":{"id":1039,"type":"article-journal","abstract":"&lt;section class=\"abstract\"&gt;&lt;p&gt;FOXE1 is a thyroid-specific transcription factor essential for thyroid gland development and maintenance of the differentiated state. Interestingly, a strong association has been recently described between &lt;em&gt;FOXE1&lt;/em&gt; expression and susceptibility to thyroid cancer, but little is known about the mechanisms underlying FOXE1-induced thyroid tumorigenesis. Here, we used a panel of human thyroid cancer-derived cell lines covering the spectrum of thyroid cancer phenotypes to examine &lt;em&gt;FOXE1&lt;/em&gt; expression and to test for correlations between FOXE1 expression, the allele frequency of two SNPs and a length polymorphism in or near the FOXE1 locus associated with cancer susceptibility, and the migration ability of thyroid cancer cell lines. Results showed that FOXE1 expression correlated with differentiation status according to histological sub-type, but not with SNP genotype or cell migration ability. However, loss-and-gain-of-function experiments revealed that FOXE1 modulates cell migration, suggesting a role in epithelial-to-mesenchymal transition (EMT). Our previous genome-wide expression analysis identified &lt;em&gt;Zeb1&lt;/em&gt;, a major EMT inducer, as a putative Foxe1 target gene. Indeed, gene silencing of&lt;em&gt; FOXE1&lt;/em&gt; decreased &lt;em&gt;ZEB1&lt;/em&gt; expression, whereas its overexpression increased &lt;em&gt;ZEB1&lt;/em&gt; transcriptional activity. FOXE1 was found to directly interact with the &lt;em&gt;ZEB1&lt;/em&gt; promoter. Lastly, &lt;em&gt;ZEB1&lt;/em&gt; silencing decreased the ability of thyroid tumoral cells to migrate and invade, pointing to its importance in thyroid tumor mestastases. In conclusion, we have identified &lt;em&gt;ZEB1&lt;/em&gt; as a &lt;em&gt;bona fide&lt;/em&gt; target of FOXE1 in thyroid cancer cells, which provides new insights into the role of FOXE1 in regulating cell migration and invasion in thyroid cancer.&lt;/p&gt;&lt;/section&gt;","container-title":"Endocrine-Related Cancer","DOI":"10.1530/ERC-19-0156","ISSN":"1351-0088, 1479-6821","issue":"3","language":"en_US","note":"publisher: Bioscientifica Ltd\nsection: Endocrine-Related Cancer","page":"137-151","source":"erc.bioscientifica.com","title":"FOXE1 regulates migration and invasion in thyroid cancer cells and targets ZEB1","volume":"27","author":[{"family":"Morillo-Bernal","given":"Jesús"},{"family":"Fernández","given":"Lara P."},{"family":"Santisteban","given":"Pilar"}],"issued":{"date-parts":[["2020",3,1]]}}}],"schema":"https://github.com/citation-style-language/schema/raw/master/csl-citation.json"} </w:instrText>
      </w:r>
      <w:r w:rsidR="002A77C0">
        <w:rPr>
          <w:color w:val="222222"/>
        </w:rPr>
        <w:fldChar w:fldCharType="separate"/>
      </w:r>
      <w:r w:rsidR="000C277B">
        <w:rPr>
          <w:noProof/>
          <w:color w:val="222222"/>
        </w:rPr>
        <w:t>(81)</w:t>
      </w:r>
      <w:r w:rsidR="002A77C0">
        <w:rPr>
          <w:color w:val="222222"/>
        </w:rPr>
        <w:fldChar w:fldCharType="end"/>
      </w:r>
      <w:r w:rsidR="002A77C0">
        <w:rPr>
          <w:color w:val="222222"/>
        </w:rPr>
        <w:t xml:space="preserve">. </w:t>
      </w:r>
      <w:r w:rsidR="002A77C0" w:rsidRPr="0048061E">
        <w:rPr>
          <w:color w:val="222222"/>
        </w:rPr>
        <w:t>A ativação de diversos genes específicos para hormogênese e proliferação das células foliculares da tireoide está sob regulação do complexo TSH-TSHR, como citado anteriormente</w:t>
      </w:r>
      <w:r w:rsidR="002A77C0">
        <w:rPr>
          <w:color w:val="222222"/>
        </w:rPr>
        <w:t xml:space="preserve"> </w:t>
      </w:r>
      <w:r w:rsidR="002A77C0">
        <w:rPr>
          <w:color w:val="222222"/>
        </w:rPr>
        <w:fldChar w:fldCharType="begin"/>
      </w:r>
      <w:r w:rsidR="00344DCD">
        <w:rPr>
          <w:color w:val="222222"/>
        </w:rPr>
        <w:instrText xml:space="preserve"> ADDIN ZOTERO_ITEM CSL_CITATION {"citationID":"JLTJGe7S","properties":{"formattedCitation":"(80)","plainCitation":"(80)","noteIndex":0},"citationItems":[{"id":163,"uris":["http://zotero.org/users/7110448/items/Q3PIFN72"],"itemData":{"id":163,"type":"article-journal","abstract":"Context:\nBy genome-wide association studies, the risk allele [A] of SNP rs965513 predisposes strongly to papillary thyroid carcinoma (PTC). It is located in a gene-poor region of 9q22, some 60 kb from the FOXE1 gene. The underlying mechanisms remain to be discovered.\n\nObjective:\nOur objective was to identify novel transcripts in the 9q22 locus and correlate gene expression levels with the genotypes of rs965513.\n\nDesign:\nWe performed 3′ and 5′ rapid amplification of cDNA ends and RT-PCR to detect novel transcripts. One novel transcript was forcibly expressed in a cell line followed by gene expression array analysis. We genotyped rs965513 from PTC patients and measured gene expression levels by real-time RT-PCR in unaffected thyroid tissue and matched tumor.\n\nSetting:\nThis was a laboratory-based study using cells from clinical tissue samples and a cancer cell line.\n\nMain Outcome Measures:\nWe detected previously uncharacterized transcripts and evaluated the gene expression levels and the correlation with the risk allele of rs965513, age, gender, chronic lymphocyte thyroiditis (CLT), and TSH levels.\n\nResults:\nWe found a novel long intergenic noncoding RNA gene and named it papillary thyroid cancer susceptibility candidate 2 (PTCSC2). Transcripts of PTCSC2 are down-regulated in PTC tumors. The risk allele [A] of rs965513 was significantly associated with low expression of unspliced PTCSC2, FOXE1, and TSHR in unaffected thyroid tissue. We also observed a significant association of age and CLT with PTCSC2 unspliced transcript levels. The correlation between the rs965513 genotype and the PTCSC2 unspliced transcript levels remained significant after adjusting for age, gender, and CLT. Forced expression of PTCSC2 in the BCPAP cell line affected the expression of a subset of noncoding and coding transcripts with enrichment of genes functionally involved in cell cycle and cancer.\n\nConclusions:\nOur data suggest a role for PTCSC2, FOXE1, and TSHR in the predisposition to PTC.","container-title":"The Journal of Clinical Endocrinology and Metabolism","DOI":"10.1210/jc.2014-2147","ISSN":"0021-972X","issue":"1","journalAbbreviation":"J Clin Endocrinol Metab","note":"PMID: 25303483\nPMCID: PMC4283026","page":"E164-E172","source":"PubMed Central","title":"Genetic Predisposition to Papillary Thyroid Carcinoma: Involvement of FOXE1, TSHR, and a Novel lincRNA Gene, PTCSC2","title-short":"Genetic Predisposition to Papillary Thyroid Carcinoma","volume":"100","author":[{"family":"He","given":"Huiling"},{"family":"Li","given":"Wei"},{"family":"Liyanarachchi","given":"Sandya"},{"family":"Jendrzejewski","given":"Jaroslaw"},{"family":"Srinivas","given":"Mukund"},{"family":"Davuluri","given":"Ramana V."},{"family":"Nagy","given":"Rebecca"},{"family":"Chapelle","given":"Albert","non-dropping-particle":"de la"}],"issued":{"date-parts":[["2015",1]]}}}],"schema":"https://github.com/citation-style-language/schema/raw/master/csl-citation.json"} </w:instrText>
      </w:r>
      <w:r w:rsidR="002A77C0">
        <w:rPr>
          <w:color w:val="222222"/>
        </w:rPr>
        <w:fldChar w:fldCharType="separate"/>
      </w:r>
      <w:r w:rsidR="000C277B">
        <w:rPr>
          <w:noProof/>
          <w:color w:val="222222"/>
        </w:rPr>
        <w:t>(80)</w:t>
      </w:r>
      <w:r w:rsidR="002A77C0">
        <w:rPr>
          <w:color w:val="222222"/>
        </w:rPr>
        <w:fldChar w:fldCharType="end"/>
      </w:r>
      <w:r w:rsidR="002A77C0">
        <w:rPr>
          <w:color w:val="222222"/>
        </w:rPr>
        <w:t xml:space="preserve">. </w:t>
      </w:r>
    </w:p>
    <w:p w14:paraId="73822ABE" w14:textId="77777777" w:rsidR="000D0759" w:rsidRPr="00454D8B" w:rsidRDefault="000D0759" w:rsidP="00B53381">
      <w:pPr>
        <w:spacing w:line="360" w:lineRule="auto"/>
        <w:jc w:val="both"/>
      </w:pPr>
    </w:p>
    <w:p w14:paraId="0E8E10B2" w14:textId="68E4DFDC" w:rsidR="00682A68" w:rsidRPr="008B1FD1" w:rsidRDefault="008B1FD1" w:rsidP="008B1FD1">
      <w:pPr>
        <w:spacing w:line="360" w:lineRule="auto"/>
        <w:rPr>
          <w:b/>
          <w:color w:val="3B3838"/>
          <w:highlight w:val="white"/>
        </w:rPr>
      </w:pPr>
      <w:r w:rsidRPr="008B1FD1">
        <w:rPr>
          <w:b/>
          <w:color w:val="3B3838"/>
          <w:highlight w:val="white"/>
        </w:rPr>
        <w:t>2.2.</w:t>
      </w:r>
      <w:r w:rsidR="00B53006">
        <w:rPr>
          <w:b/>
          <w:color w:val="3B3838"/>
          <w:highlight w:val="white"/>
        </w:rPr>
        <w:t>5</w:t>
      </w:r>
      <w:r w:rsidRPr="008B1FD1">
        <w:rPr>
          <w:b/>
          <w:color w:val="3B3838"/>
          <w:highlight w:val="white"/>
        </w:rPr>
        <w:t xml:space="preserve"> Genes da Cascata de Sinalização do Receptor de TSH</w:t>
      </w:r>
    </w:p>
    <w:p w14:paraId="7B232413" w14:textId="2437435F" w:rsidR="00682A68" w:rsidRDefault="00682A68" w:rsidP="008B1FD1">
      <w:pPr>
        <w:spacing w:line="360" w:lineRule="auto"/>
        <w:rPr>
          <w:color w:val="3B3838"/>
          <w:highlight w:val="white"/>
        </w:rPr>
      </w:pPr>
    </w:p>
    <w:p w14:paraId="2104C9C5" w14:textId="6944AA9B" w:rsidR="00CC0C65" w:rsidRDefault="00485D37" w:rsidP="00B53381">
      <w:pPr>
        <w:spacing w:line="360" w:lineRule="auto"/>
        <w:jc w:val="both"/>
        <w:rPr>
          <w:color w:val="3B3838"/>
        </w:rPr>
      </w:pPr>
      <w:r>
        <w:rPr>
          <w:color w:val="3B3838"/>
          <w:highlight w:val="white"/>
        </w:rPr>
        <w:t xml:space="preserve">     </w:t>
      </w:r>
      <w:r w:rsidR="00682A68">
        <w:rPr>
          <w:color w:val="3B3838"/>
          <w:highlight w:val="white"/>
        </w:rPr>
        <w:t xml:space="preserve">Fazem parte deste grupo genes que codificam o </w:t>
      </w:r>
      <w:r w:rsidR="00454D8B">
        <w:rPr>
          <w:color w:val="3B3838"/>
          <w:highlight w:val="white"/>
        </w:rPr>
        <w:t>receptor do TSH (</w:t>
      </w:r>
      <w:r w:rsidR="00682A68">
        <w:rPr>
          <w:color w:val="3B3838"/>
          <w:highlight w:val="white"/>
        </w:rPr>
        <w:t>TSHR</w:t>
      </w:r>
      <w:r w:rsidR="00454D8B">
        <w:rPr>
          <w:color w:val="3B3838"/>
          <w:highlight w:val="white"/>
        </w:rPr>
        <w:t>)</w:t>
      </w:r>
      <w:r w:rsidR="00682A68">
        <w:rPr>
          <w:color w:val="3B3838"/>
          <w:highlight w:val="white"/>
        </w:rPr>
        <w:t xml:space="preserve"> e proteínas que interferem na sua cascata de sinalização celular (</w:t>
      </w:r>
      <w:r w:rsidR="00682A68">
        <w:rPr>
          <w:i/>
          <w:color w:val="3B3838"/>
          <w:highlight w:val="white"/>
        </w:rPr>
        <w:t>TSHR, PDE8B, PDE10A, ITPK1, GNAS</w:t>
      </w:r>
      <w:r w:rsidR="00682A68">
        <w:rPr>
          <w:color w:val="3B3838"/>
          <w:highlight w:val="white"/>
        </w:rPr>
        <w:t>)</w:t>
      </w:r>
      <w:r w:rsidR="00682A68">
        <w:rPr>
          <w:color w:val="3B3838"/>
        </w:rPr>
        <w:t xml:space="preserve"> </w:t>
      </w:r>
      <w:r w:rsidR="00682A68">
        <w:rPr>
          <w:color w:val="3B3838"/>
        </w:rPr>
        <w:fldChar w:fldCharType="begin"/>
      </w:r>
      <w:r w:rsidR="00344DCD">
        <w:rPr>
          <w:color w:val="3B3838"/>
        </w:rPr>
        <w:instrText xml:space="preserve"> ADDIN ZOTERO_ITEM CSL_CITATION {"citationID":"RblJESMr","properties":{"unsorted":true,"formattedCitation":"(73,18,9)","plainCitation":"(73,18,9)","noteIndex":0},"citationItems":[{"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P."},{"family":"Naitza","given":"Silvia"}],"issued":{"date-parts":[["2013"]]}},"label":"page"},{"id":99,"uris":["http://zotero.org/users/7110448/items/3VVWNZR7"],"itemData":{"id":99,"type":"article-journal","container-title":"Nature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J."},{"family":"Medici","given":"Marco"}],"issued":{"date-parts":[["2018",12]]}},"label":"page"},{"id":93,"uris":["http://zotero.org/users/7110448/items/CK8FU3ZB"],"itemData":{"id":93,"type":"article-journal","abstract":"Abstract\n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P"},{"family":"Medici","given":"Marco"}],"issued":{"date-parts":[["2020",6,1]]}},"label":"page"}],"schema":"https://github.com/citation-style-language/schema/raw/master/csl-citation.json"} </w:instrText>
      </w:r>
      <w:r w:rsidR="00682A68">
        <w:rPr>
          <w:color w:val="3B3838"/>
        </w:rPr>
        <w:fldChar w:fldCharType="separate"/>
      </w:r>
      <w:r w:rsidR="000C277B">
        <w:rPr>
          <w:noProof/>
          <w:color w:val="3B3838"/>
        </w:rPr>
        <w:t>(73,18,9)</w:t>
      </w:r>
      <w:r w:rsidR="00682A68">
        <w:rPr>
          <w:color w:val="3B3838"/>
        </w:rPr>
        <w:fldChar w:fldCharType="end"/>
      </w:r>
      <w:r w:rsidR="00682A68">
        <w:rPr>
          <w:color w:val="3B3838"/>
        </w:rPr>
        <w:t xml:space="preserve">. </w:t>
      </w:r>
      <w:r w:rsidR="00405A49">
        <w:rPr>
          <w:color w:val="3B3838"/>
          <w:highlight w:val="white"/>
        </w:rPr>
        <w:t xml:space="preserve">Variantes no gene do </w:t>
      </w:r>
      <w:r w:rsidR="00405A49" w:rsidRPr="00385E6B">
        <w:rPr>
          <w:i/>
          <w:iCs/>
          <w:color w:val="3B3838"/>
          <w:highlight w:val="white"/>
        </w:rPr>
        <w:t>TSHR</w:t>
      </w:r>
      <w:r w:rsidR="00405A49">
        <w:rPr>
          <w:color w:val="3B3838"/>
          <w:highlight w:val="white"/>
        </w:rPr>
        <w:t xml:space="preserve"> estão associadas a elevado nível de TSH e longevidade</w:t>
      </w:r>
      <w:r w:rsidR="00405A49">
        <w:rPr>
          <w:color w:val="3B3838"/>
        </w:rPr>
        <w:t xml:space="preserve"> </w:t>
      </w:r>
      <w:r w:rsidR="00405A49">
        <w:rPr>
          <w:color w:val="3B3838"/>
        </w:rPr>
        <w:fldChar w:fldCharType="begin"/>
      </w:r>
      <w:r w:rsidR="00344DCD">
        <w:rPr>
          <w:color w:val="3B3838"/>
        </w:rPr>
        <w:instrText xml:space="preserve"> ADDIN ZOTERO_ITEM CSL_CITATION {"citationID":"ETvaziRy","properties":{"unsorted":true,"formattedCitation":"(11,14)","plainCitation":"(11,14)","noteIndex":0},"citationItems":[{"id":81,"uris":["http://zotero.org/users/7110448/items/2HWBZV3Q"],"itemData":{"id":81,"type":"article-journal","abstract":"Objective: The aim of the study was to determine whether the population shift in TSH distribution to higher concentrations with aging extends to people of exceptional longevity, namely centenarians, and to assess the relationship between concentrations of TSH and free T4 (FT4). Design/Setting/Patients: We analyzed TSH, FT4, and TSH frequency distribution curves in thyroid disease-free Ashkenazi Jews with exceptional longevity (centenarians; median age, 98 yr), in younger Ashkenazi controls (median age, 72 yr), and in a population of thyroid disease-free individuals (median age, 68 yr) from the U.S. National Health and Nutrition Examination Survey 1998 –2002 (NHANES controls).\nResults: Serum TSH was significantly higher in centenarians [1.97 (0.42–7.15) mIU/liter] than in Ashkenazi controls [1.55 (0.46 – 4.55) mIU/liter] and NHANES controls [1.61 (0.39 – 6.29) mIU/liter] (median, 2.5 and 97.5 centiles) (P Ͻ 0.001). The TSH frequency distribution curve of centenarians was relatively similar in shape to controls but shifted significantly to higher TSH, including TSH concentration at peak frequency. The TSH distribution curve of the NHANES control group was superimposable to and not significantly different from the Ashkenazi controls. FT4 was similar in centenarians and Ashkenazi controls, and there was a significant inverse correlation between FT4 and TSH in both groups.\nConclusions: The TSH population shifts to higher concentrations with age appear to be a continuum that extends even to people with exceptional longevity. The inverse correlation between TSH and FT4 in our populations suggests that changes in negative feedback may contribute to exceptional longevity. (J Clin Endocrinol Metab 94: 1251–1254, 2009)","container-title":"The Journal of Clinical Endocrinology &amp; Metabolism","DOI":"10.1210/jc.2008-2325","ISSN":"0021-972X, 1945-7197","issue":"4","journalAbbreviation":"The Journal of Clinical Endocrinology &amp; Metabolism","language":"en","page":"1251-1254","source":"DOI.org (Crossref)","title":"Extreme Longevity Is Associated with Increased Serum Thyrotropin","volume":"94","author":[{"family":"Atzmon","given":"Gil"},{"family":"Barzilai","given":"Nir"},{"family":"Hollowell","given":"Joseph G."},{"family":"Surks","given":"Martin I."},{"family":"Gabriely","given":"Ilan"}],"issued":{"date-parts":[["2009",4]]}},"label":"page"},{"id":637,"uris":["http://zotero.org/users/7110448/items/83N5YFHX"],"itemData":{"id":637,"type":"article-journal","abstract":"Context: Exceptional longevity is associated with raised serum TSH., Objective: The aim of this study was to examine whether offspring of people with exceptional longevity have elevated serum TSH and whether specific single nucleotide polymorphisms (SNPs) in the TSH-B gene and TSH receptor (TSHR) gene are associated with this phenotype., Design/Setting/Patients: We measured serum TSH and free T4 in Ashkenazi Jewish centenarians (n = 232; median age, 97 yr), their offspring (n = 366; median age, 69 yr), and age-matched controls without familial longevity (n = 163; median age, 70 yr). We determined TSH heritability, its distribution, and association with SNPs in the TSH-B and TSHR genes., Results: Offspring had higher median serum TSH [1.68 mIU/liter (97.5% confidence interval, 0.65 to 4.79 mIU/liter)], compared to controls [1.50 mIU/liter (97.5% confidence interval, 0.63 to 3.93 mIU/liter); P = 0.02], with estimated heritability of 0.33 (P = 0.004). Allele frequency of two SNPs in the promoter/enhancer region of TSHR gene, associated with increased serum TSH, was higher in centenarians and their offspring compared to controls (rs10149689 G allele frequency, 0.57 and 0.53 vs. 0.48; P = 0.001 and P = 0.08; odds ratio, 1.56 and 1.22, respectively; and rs12050077 A allele frequency, 0.57 and 0.53 vs. 0.46; P = 0.0001 and P = 0.01; odds ratio, 1.68 and 1.32, respectively). Linkage disequilibrium between the two SNPs was high (r2 = 0.95), suggesting interaction between them. Furthermore, GA haplotype frequency was significantly higher among centenarians and offspring compared to controls (0.57 and 0.53 vs. 0.46; P = 0.0001 and P = 0.01, respectively)., Conclusions: A heritable phenotype characterized by raised serum TSH is associated with human longevity. Carriers of rs12050077 and rs10149689 SNPs in the TSHR have higher serum TSH, possibly contributing to decreased thyroid function and longevity., Offspring of centenarians have elevated serum TSH levels and demonstrate two single nucleotide TSH receptor gene polymorphisms that are associated with higher serum TSH.","container-title":"The Journal of Clinical Endocrinology and Metabolism","DOI":"10.1210/jc.2009-0808","ISSN":"0021-972X","issue":"12","journalAbbreviation":"J Clin Endocrinol Metab","note":"PMID: 19837933\nPMCID: PMC2795660","page":"4768-4775","source":"PubMed Central","title":"Genetic Predisposition to Elevated Serum Thyrotropin Is Associated with Exceptional Longevity","volume":"94","author":[{"family":"Atzmon","given":"Gil"},{"family":"Barzilai","given":"Nir"},{"family":"Surks","given":"Martin I."},{"family":"Gabriely","given":"Ilan"}],"issued":{"date-parts":[["2009",12]]}},"label":"page"}],"schema":"https://github.com/citation-style-language/schema/raw/master/csl-citation.json"} </w:instrText>
      </w:r>
      <w:r w:rsidR="00405A49">
        <w:rPr>
          <w:color w:val="3B3838"/>
        </w:rPr>
        <w:fldChar w:fldCharType="separate"/>
      </w:r>
      <w:r w:rsidR="00405A49">
        <w:rPr>
          <w:noProof/>
          <w:color w:val="3B3838"/>
        </w:rPr>
        <w:t>(11,14)</w:t>
      </w:r>
      <w:r w:rsidR="00405A49">
        <w:rPr>
          <w:color w:val="3B3838"/>
        </w:rPr>
        <w:fldChar w:fldCharType="end"/>
      </w:r>
      <w:r w:rsidR="00405A49">
        <w:rPr>
          <w:color w:val="3B3838"/>
        </w:rPr>
        <w:t xml:space="preserve">. </w:t>
      </w:r>
      <w:r w:rsidR="00405A49">
        <w:rPr>
          <w:color w:val="3B3838"/>
          <w:highlight w:val="white"/>
        </w:rPr>
        <w:t xml:space="preserve">Alguns </w:t>
      </w:r>
      <w:r w:rsidR="00385E6B">
        <w:rPr>
          <w:color w:val="3B3838"/>
          <w:highlight w:val="white"/>
        </w:rPr>
        <w:t xml:space="preserve">polimorfismos </w:t>
      </w:r>
      <w:r w:rsidR="00405A49">
        <w:rPr>
          <w:color w:val="3B3838"/>
          <w:highlight w:val="white"/>
        </w:rPr>
        <w:t>de genes que codificam enzimas inativadoras de AMPc (</w:t>
      </w:r>
      <w:r w:rsidR="00405A49">
        <w:rPr>
          <w:i/>
          <w:color w:val="3B3838"/>
          <w:highlight w:val="white"/>
        </w:rPr>
        <w:t>PDE8B</w:t>
      </w:r>
      <w:r w:rsidR="00405A49">
        <w:rPr>
          <w:color w:val="3B3838"/>
          <w:highlight w:val="white"/>
        </w:rPr>
        <w:t xml:space="preserve"> e </w:t>
      </w:r>
      <w:r w:rsidR="00405A49">
        <w:rPr>
          <w:i/>
          <w:color w:val="3B3838"/>
          <w:highlight w:val="white"/>
        </w:rPr>
        <w:t>PDE10A</w:t>
      </w:r>
      <w:r w:rsidR="008B1FD1">
        <w:rPr>
          <w:color w:val="3B3838"/>
          <w:highlight w:val="white"/>
        </w:rPr>
        <w:t>)</w:t>
      </w:r>
      <w:r w:rsidR="00405A49">
        <w:rPr>
          <w:color w:val="3B3838"/>
          <w:highlight w:val="white"/>
        </w:rPr>
        <w:t xml:space="preserve"> estão associados a níveis de TSH</w:t>
      </w:r>
      <w:r w:rsidR="00405A49">
        <w:rPr>
          <w:color w:val="3B3838"/>
        </w:rPr>
        <w:t xml:space="preserve"> </w:t>
      </w:r>
      <w:r w:rsidR="00405A49">
        <w:rPr>
          <w:color w:val="3B3838"/>
        </w:rPr>
        <w:fldChar w:fldCharType="begin"/>
      </w:r>
      <w:r w:rsidR="00344DCD">
        <w:rPr>
          <w:color w:val="3B3838"/>
        </w:rPr>
        <w:instrText xml:space="preserve"> ADDIN ZOTERO_ITEM CSL_CITATION {"citationID":"CAZoePRV","properties":{"unsorted":true,"formattedCitation":"(73,17,18)","plainCitation":"(73,17,18)","noteIndex":0},"citationItems":[{"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P."},{"family":"Naitza","given":"Silvia"}],"issued":{"date-parts":[["2013"]]}},"label":"page"},{"id":205,"uris":["http://zotero.org/users/7110448/items/JCFSMWBQ"],"itemData":{"id":205,"type":"article-journal","abstract":"Abstract\n            \n              Normal thyroid function is essential for health, but its genetic architecture remains poorly understood. Here, for the heritable thyroid traits thyrotropin (TSH) and free thyroxine (FT4), we analyse whole-genome sequence data from the UK10K project (\n              N\n              =2,287). Using additional whole-genome sequence and deeply imputed data sets, we report meta-analysis results for common variants (MAF≥1%) associated with TSH and FT4 (\n              N\n              =16,335). For TSH, we identify a novel variant in\n              SYN2\n              (MAF=23.5%,\n              P\n              =6.15 × 10\n              −9\n              ) and a new independent variant in\n              PDE8B\n              (MAF=10.4%,\n              P\n              =5.94 × 10\n              −14\n              ). For FT4, we report a low-frequency variant near\n              B4GALT6/SLC25A52\n              (MAF=3.2%,\n              P\n              =1.27 × 10\n              −9\n              ) tagging a rare\n              TTR\n              variant (MAF=0.4%,\n              P\n              =2.14 × 10\n              −11\n              ). All common variants explain ≥20% of the variance in TSH and FT4. Analysis of rare variants (MAF&lt;1%) using sequence kernel association testing reveals a novel association with FT4 in\n              NRG1.\n              Our results demonstrate that increased coverage in whole-genome sequence association studies identifies novel variants associated with thyroid function.","container-title":"Nature Communications","DOI":"10.1038/ncomms6681","ISSN":"2041-1723","issue":"1","journalAbbreviation":"Nat Commun","language":"en","page":"5681","source":"DOI.org (Crossref)","title":"Whole-genome sequence-based analysis of thyroid function","volume":"6","author":[{"literal":"The UK10K Consortium"},{"family":"Taylor","given":"Peter N."},{"family":"Porcu","given":"Eleonora"},{"family":"Chew","given":"Shelby"},{"family":"Campbell","given":"Purdey J."},{"family":"Traglia","given":"Michela"},{"family":"Brown","given":"Suzanne J."},{"family":"Mullin","given":"Benjamin H."},{"family":"Shihab","given":"Hashem A."},{"family":"Min","given":"Josine"},{"family":"Walter","given":"Klaudia"},{"family":"Memari","given":"Yasin"},{"family":"Huang","given":"Jie"},{"family":"Barnes","given":"Michael R."},{"family":"Beilby","given":"John P."},{"family":"Charoen","given":"Pimphen"},{"family":"Danecek","given":"Petr"},{"family":"Dudbridge","given":"Frank"},{"family":"Forgetta","given":"Vincenzo"},{"family":"Greenwood","given":"Celia"},{"family":"Grundberg","given":"Elin"},{"family":"Johnson","given":"Andrew D."},{"family":"Hui","given":"Jennie"},{"family":"Lim","given":"Ee M."},{"family":"McCarthy","given":"Shane"},{"family":"Muddyman","given":"Dawn"},{"family":"Panicker","given":"Vijay"},{"family":"Perry","given":"John R.B."},{"family":"Bell","given":"Jordana T."},{"family":"Yuan","given":"Wei"},{"family":"Relton","given":"Caroline"},{"family":"Gaunt","given":"Tom"},{"family":"Schlessinger","given":"David"},{"family":"Abecasis","given":"Goncalo"},{"family":"Cucca","given":"Francesco"},{"family":"Surdulescu","given":"Gabriela L."},{"family":"Woltersdorf","given":"Wolfram"},{"family":"Zeggini","given":"Eleftheria"},{"family":"Zheng","given":"Hou-Feng"},{"family":"Toniolo","given":"Daniela"},{"family":"Dayan","given":"Colin M."},{"family":"Naitza","given":"Silvia"},{"family":"Walsh","given":"John P."},{"family":"Spector","given":"Tim"},{"family":"Davey Smith","given":"George"},{"family":"Durbin","given":"Richard"},{"family":"Brent Richards","given":"J."},{"family":"Sanna","given":"Serena"},{"family":"Soranzo","given":"Nicole"},{"family":"Timpson","given":"Nicholas J."},{"family":"Wilson","given":"Scott G."}],"issued":{"date-parts":[["2015",5,5]]}},"label":"page"},{"id":99,"uris":["http://zotero.org/users/7110448/items/3VVWNZR7"],"itemData":{"id":99,"type":"article-journal","container-title":"Nature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J."},{"family":"Medici","given":"Marco"}],"issued":{"date-parts":[["2018",12]]}},"label":"page"}],"schema":"https://github.com/citation-style-language/schema/raw/master/csl-citation.json"} </w:instrText>
      </w:r>
      <w:r w:rsidR="00405A49">
        <w:rPr>
          <w:color w:val="3B3838"/>
        </w:rPr>
        <w:fldChar w:fldCharType="separate"/>
      </w:r>
      <w:r w:rsidR="000C277B">
        <w:rPr>
          <w:noProof/>
          <w:color w:val="3B3838"/>
        </w:rPr>
        <w:t>(73,17,18)</w:t>
      </w:r>
      <w:r w:rsidR="00405A49">
        <w:rPr>
          <w:color w:val="3B3838"/>
        </w:rPr>
        <w:fldChar w:fldCharType="end"/>
      </w:r>
      <w:r w:rsidR="00405A49">
        <w:rPr>
          <w:color w:val="3B3838"/>
        </w:rPr>
        <w:t xml:space="preserve">. </w:t>
      </w:r>
    </w:p>
    <w:p w14:paraId="1151B331" w14:textId="2E3313DB" w:rsidR="00485D37" w:rsidRDefault="00485D37" w:rsidP="00682A68">
      <w:pPr>
        <w:spacing w:before="30" w:line="360" w:lineRule="auto"/>
        <w:jc w:val="both"/>
        <w:rPr>
          <w:color w:val="3B3838"/>
        </w:rPr>
      </w:pPr>
    </w:p>
    <w:p w14:paraId="2AA5D64C" w14:textId="69E5A858" w:rsidR="00CC0C65" w:rsidRPr="005637B7" w:rsidRDefault="00CC0C65" w:rsidP="00485D37">
      <w:pPr>
        <w:numPr>
          <w:ilvl w:val="0"/>
          <w:numId w:val="3"/>
        </w:numPr>
        <w:pBdr>
          <w:top w:val="nil"/>
          <w:left w:val="nil"/>
          <w:bottom w:val="nil"/>
          <w:right w:val="nil"/>
          <w:between w:val="nil"/>
        </w:pBdr>
        <w:spacing w:after="200" w:line="360" w:lineRule="auto"/>
        <w:rPr>
          <w:color w:val="202020"/>
          <w:highlight w:val="white"/>
        </w:rPr>
      </w:pPr>
      <w:r>
        <w:rPr>
          <w:color w:val="222222"/>
        </w:rPr>
        <w:t xml:space="preserve">Gene </w:t>
      </w:r>
      <w:r>
        <w:rPr>
          <w:i/>
          <w:color w:val="202020"/>
          <w:highlight w:val="white"/>
        </w:rPr>
        <w:t xml:space="preserve">PDE10A </w:t>
      </w:r>
    </w:p>
    <w:p w14:paraId="1F0CD020" w14:textId="0A51FA31" w:rsidR="00CC0C65" w:rsidRPr="00485D37" w:rsidRDefault="00485D37" w:rsidP="00485D37">
      <w:pPr>
        <w:spacing w:line="360" w:lineRule="auto"/>
        <w:jc w:val="both"/>
        <w:rPr>
          <w:color w:val="202020"/>
          <w:highlight w:val="white"/>
        </w:rPr>
      </w:pPr>
      <w:r>
        <w:rPr>
          <w:color w:val="202020"/>
          <w:highlight w:val="white"/>
        </w:rPr>
        <w:t xml:space="preserve">     </w:t>
      </w:r>
      <w:r w:rsidR="00CC0C65">
        <w:rPr>
          <w:color w:val="202020"/>
          <w:highlight w:val="white"/>
        </w:rPr>
        <w:t xml:space="preserve">O gene </w:t>
      </w:r>
      <w:r w:rsidR="00CC0C65">
        <w:rPr>
          <w:i/>
          <w:color w:val="202020"/>
          <w:highlight w:val="white"/>
        </w:rPr>
        <w:t>PDE10A</w:t>
      </w:r>
      <w:r w:rsidR="00CC0C65">
        <w:rPr>
          <w:color w:val="202020"/>
          <w:highlight w:val="white"/>
        </w:rPr>
        <w:t xml:space="preserve"> está envolvido na transdução do sinal do TSH/TSHR</w:t>
      </w:r>
      <w:r w:rsidR="00CC0C65">
        <w:rPr>
          <w:color w:val="202020"/>
        </w:rPr>
        <w:t xml:space="preserve"> </w:t>
      </w:r>
      <w:r w:rsidR="00CC0C65">
        <w:rPr>
          <w:color w:val="202020"/>
        </w:rPr>
        <w:fldChar w:fldCharType="begin"/>
      </w:r>
      <w:r w:rsidR="00344DCD">
        <w:rPr>
          <w:color w:val="202020"/>
        </w:rPr>
        <w:instrText xml:space="preserve"> ADDIN ZOTERO_ITEM CSL_CITATION {"citationID":"bHYPW7LX","properties":{"unsorted":true,"formattedCitation":"(83,9)","plainCitation":"(83,9)","noteIndex":0},"citationItems":[{"id":848,"uris":["http://zotero.org/users/7110448/items/UIA5XKJ2"],"itemData":{"id":848,"type":"article-journal","abstract":"Thyroid stimulating hormone (TSH) hormone levels are normally tightly regulated within an individual; thus, relatively small variations may indicate thyroid disease. Genome-wide association studies (GWAS) have identified variants in PDE8B and FOXE1 that are associated with TSH levels. However, prior studies lacked racial/ethnic diversity, limiting the generalization of these findings to individuals of non-European ethnicities. The Electronic Medical Records and Genomics (eMERGE) Network is a collaboration across institutions with biobanks linked to electronic medical records (EMRs). The eMERGE Network uses EMR-derived phenotypes to perform GWAS in diverse populations for a variety of phenotypes. In this report, we identified serum TSH levels from 4,501 European American and 351 African American euthyroid individuals in the eMERGE Network with existing GWAS data. Tests of association were performed using linear regression and adjusted for age, sex, body mass index (BMI), and principal components, assuming an additive genetic model. Our results replicate the known association of PDE8B with serum TSH levels in European Americans (rs2046045 p = 1.85×10-17, β = 0.09). FOXE1 variants, associated with hypothyroidism, were not genome-wide significant (rs10759944: p = 1.08×10-6, β = -0.05). No SNPs reached genome-wide significance in African Americans. However, multiple known associations with TSH levels in European ancestry were nominally significant in African Americans, including PDE8B (rs2046045 p = 0.03, β = -0.09), VEGFA (rs11755845 p = 0.01, β = -0.13), and NFIA (rs334699 p = 1.50×10-3, β = -0.17). We found little evidence that SNPs previously associated with other thyroid-related disorders were associated with serum TSH levels in this study. These results support the previously reported association between PDE8B and serum TSH levels in European Americans and emphasize the need for additional genetic studies in more diverse populations.","container-title":"PloS One","DOI":"10.1371/journal.pone.0111301","ISSN":"1932-6203","issue":"12","journalAbbreviation":"PLoS One","language":"eng","note":"PMID: 25436638\nPMCID: PMC4249871","page":"e111301","source":"PubMed","title":"Genetic variants associated with serum thyroid stimulating hormone (TSH) levels in European Americans and African Americans from the eMERGE Network","volume":"9","author":[{"family":"Malinowski","given":"Jennifer R."},{"family":"Denny","given":"Joshua C."},{"family":"Bielinski","given":"Suzette J."},{"family":"Basford","given":"Melissa A."},{"family":"Bradford","given":"Yuki"},{"family":"Peissig","given":"Peggy L."},{"family":"Carrell","given":"David"},{"family":"Crosslin","given":"David R."},{"family":"Pathak","given":"Jyotishman"},{"family":"Rasmussen","given":"Luke"},{"family":"Pacheco","given":"Jennifer"},{"family":"Kho","given":"Abel"},{"family":"Newton","given":"Katherine M."},{"family":"Li","given":"Rongling"},{"family":"Kullo","given":"Iftikhar J."},{"family":"Chute","given":"Christopher G."},{"family":"Chisholm","given":"Rex L."},{"family":"Jarvik","given":"Gail P."},{"family":"Larson","given":"Eric B."},{"family":"McCarty","given":"Catherine A."},{"family":"Masys","given":"Daniel R."},{"family":"Roden","given":"Dan M."},{"family":"Andrade","given":"Mariza","non-dropping-particle":"de"},{"family":"Ritchie","given":"Marylyn D."},{"family":"Crawford","given":"Dana C."}],"issued":{"date-parts":[["2014"]]}},"label":"page"},{"id":93,"uris":["http://zotero.org/users/7110448/items/CK8FU3ZB"],"itemData":{"id":93,"type":"article-journal","abstract":"Abstract\n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P"},{"family":"Medici","given":"Marco"}],"issued":{"date-parts":[["2020",6,1]]}},"label":"page"}],"schema":"https://github.com/citation-style-language/schema/raw/master/csl-citation.json"} </w:instrText>
      </w:r>
      <w:r w:rsidR="00CC0C65">
        <w:rPr>
          <w:color w:val="202020"/>
        </w:rPr>
        <w:fldChar w:fldCharType="separate"/>
      </w:r>
      <w:r w:rsidR="000C277B">
        <w:rPr>
          <w:noProof/>
          <w:color w:val="202020"/>
        </w:rPr>
        <w:t>(83,9)</w:t>
      </w:r>
      <w:r w:rsidR="00CC0C65">
        <w:rPr>
          <w:color w:val="202020"/>
        </w:rPr>
        <w:fldChar w:fldCharType="end"/>
      </w:r>
      <w:r w:rsidR="00CC0C65">
        <w:rPr>
          <w:color w:val="202020"/>
        </w:rPr>
        <w:t xml:space="preserve">. </w:t>
      </w:r>
      <w:r w:rsidR="00CC0C65">
        <w:rPr>
          <w:color w:val="202020"/>
          <w:highlight w:val="white"/>
        </w:rPr>
        <w:t xml:space="preserve">Está localizado no </w:t>
      </w:r>
      <w:proofErr w:type="spellStart"/>
      <w:r w:rsidR="00385E6B" w:rsidRPr="00B53381">
        <w:rPr>
          <w:i/>
          <w:color w:val="202020"/>
          <w:highlight w:val="white"/>
        </w:rPr>
        <w:t>l</w:t>
      </w:r>
      <w:r w:rsidR="008B1FD1" w:rsidRPr="00B53381">
        <w:rPr>
          <w:i/>
          <w:color w:val="202020"/>
          <w:highlight w:val="white"/>
        </w:rPr>
        <w:t>o</w:t>
      </w:r>
      <w:r w:rsidR="00385E6B" w:rsidRPr="00B53381">
        <w:rPr>
          <w:i/>
          <w:color w:val="202020"/>
          <w:highlight w:val="white"/>
        </w:rPr>
        <w:t>cus</w:t>
      </w:r>
      <w:proofErr w:type="spellEnd"/>
      <w:r w:rsidR="00CC0C65">
        <w:rPr>
          <w:color w:val="202020"/>
          <w:highlight w:val="white"/>
        </w:rPr>
        <w:t xml:space="preserve"> 6q26, faz parte da superfamília PDE (fosfodiesterase) e é altamente expresso na </w:t>
      </w:r>
      <w:r w:rsidR="00CC0C65">
        <w:rPr>
          <w:color w:val="202020"/>
          <w:highlight w:val="white"/>
        </w:rPr>
        <w:lastRenderedPageBreak/>
        <w:t>tireoide</w:t>
      </w:r>
      <w:r w:rsidR="00CC0C65">
        <w:rPr>
          <w:color w:val="202020"/>
        </w:rPr>
        <w:t xml:space="preserve"> </w:t>
      </w:r>
      <w:r w:rsidR="00CC0C65">
        <w:rPr>
          <w:color w:val="202020"/>
        </w:rPr>
        <w:fldChar w:fldCharType="begin"/>
      </w:r>
      <w:r w:rsidR="004C3BF7">
        <w:rPr>
          <w:color w:val="202020"/>
        </w:rPr>
        <w:instrText xml:space="preserve"> ADDIN ZOTERO_ITEM CSL_CITATION {"citationID":"3ZWkR4iS","properties":{"formattedCitation":"(84)","plainCitation":"(84)","noteIndex":0},"citationItems":[{"id":993,"uris":["http://zotero.org/users/7110448/items/FN94IQVN"],"itemData":{"id":993,"type":"article-journal","abstract":"cDNA encoding a novel phosphodiesterase (PDE) was isolated from a human fetal lung cDNA library and designated PDE10A. The deduced amino acid sequence contains 779 amino acids, including a putative cGMP binding sequence in the amino-terminal portion of the molecule and a catalytic domain that is 16-47% identical in amino acid sequence to those of other PDE families. Recombinant PDE10A transfected and expressed in COS-7 cells hydrolyzed cAMP and cGMP with Km values of 0.26 and 7.2 microM, respectively, and Vmax with cGMP was almost twice that with cAMP. Of the PDE inhibitors tested, dipyridamole was most effective, with IC50 values of 1.2 and 0.45 microM for inhibition of cAMP and cGMP hydrolysis, respectively. cGMP inhibited hydrolysis of cAMP, and cAMP inhibited cGMP hydrolysis with IC50 values of 14 and 0.39 microM, respectively. Thus, PDE10A exhibited properties of a cAMP PDE and a cAMP-inhibited cGMP PDE. PDE10A transcripts were particularly abundant in the putamen and caudate nucleus regions of brain and in thyroid and testis, and in much lower amounts in other tissues. The PDE10A gene was located on chromosome 6q26 by fluorescent in situ hybridization analysis. PDE10A represents a new member of the PDE superfamily, exhibiting unique kinetic properties and inhibitor sensitivity.","container-title":"The Journal of Biological Chemistry","DOI":"10.1074/jbc.274.26.18438","ISSN":"0021-9258","issue":"26","journalAbbreviation":"J Biol Chem","language":"eng","note":"PMID: 10373451","page":"18438-18445","source":"PubMed","title":"Cloning and characterization of a novel human phosphodiesterase that hydrolyzes both cAMP and cGMP (PDE10A)","volume":"274","author":[{"family":"Fujishige","given":"K."},{"family":"Kotera","given":"J."},{"family":"Michibata","given":"H."},{"family":"Yuasa","given":"K."},{"family":"Takebayashi","given":"S."},{"family":"Okumura","given":"K."},{"family":"Omori","given":"K."}],"issued":{"date-parts":[["1999",6,25]]}}}],"schema":"https://github.com/citation-style-language/schema/raw/master/csl-citation.json"} </w:instrText>
      </w:r>
      <w:r w:rsidR="00CC0C65">
        <w:rPr>
          <w:color w:val="202020"/>
        </w:rPr>
        <w:fldChar w:fldCharType="separate"/>
      </w:r>
      <w:r w:rsidR="000C277B">
        <w:rPr>
          <w:noProof/>
          <w:color w:val="202020"/>
        </w:rPr>
        <w:t>(84)</w:t>
      </w:r>
      <w:r w:rsidR="00CC0C65">
        <w:rPr>
          <w:color w:val="202020"/>
        </w:rPr>
        <w:fldChar w:fldCharType="end"/>
      </w:r>
      <w:r w:rsidR="00CC0C65">
        <w:rPr>
          <w:color w:val="202020"/>
        </w:rPr>
        <w:t xml:space="preserve">. </w:t>
      </w:r>
      <w:r w:rsidR="00CC0C65">
        <w:rPr>
          <w:color w:val="202020"/>
          <w:highlight w:val="white"/>
        </w:rPr>
        <w:t>Codifica enzima de dupla especificidade que pode hidrolisar tanto AMPc</w:t>
      </w:r>
      <w:r w:rsidR="008B1FD1">
        <w:rPr>
          <w:color w:val="202020"/>
          <w:highlight w:val="white"/>
        </w:rPr>
        <w:t>,</w:t>
      </w:r>
      <w:r w:rsidR="00CC0C65">
        <w:rPr>
          <w:color w:val="202020"/>
          <w:highlight w:val="white"/>
        </w:rPr>
        <w:t xml:space="preserve"> quanto GMPc, com maior afinidade pelo primeiro</w:t>
      </w:r>
      <w:r w:rsidR="00CC0C65">
        <w:rPr>
          <w:color w:val="202020"/>
        </w:rPr>
        <w:t xml:space="preserve"> </w:t>
      </w:r>
      <w:r w:rsidR="00CC0C65">
        <w:rPr>
          <w:color w:val="202020"/>
        </w:rPr>
        <w:fldChar w:fldCharType="begin"/>
      </w:r>
      <w:r w:rsidR="004C3BF7">
        <w:rPr>
          <w:color w:val="202020"/>
        </w:rPr>
        <w:instrText xml:space="preserve"> ADDIN ZOTERO_ITEM CSL_CITATION {"citationID":"jtZffB09","properties":{"formattedCitation":"(84)","plainCitation":"(84)","noteIndex":0},"citationItems":[{"id":993,"uris":["http://zotero.org/users/7110448/items/FN94IQVN"],"itemData":{"id":993,"type":"article-journal","abstract":"cDNA encoding a novel phosphodiesterase (PDE) was isolated from a human fetal lung cDNA library and designated PDE10A. The deduced amino acid sequence contains 779 amino acids, including a putative cGMP binding sequence in the amino-terminal portion of the molecule and a catalytic domain that is 16-47% identical in amino acid sequence to those of other PDE families. Recombinant PDE10A transfected and expressed in COS-7 cells hydrolyzed cAMP and cGMP with Km values of 0.26 and 7.2 microM, respectively, and Vmax with cGMP was almost twice that with cAMP. Of the PDE inhibitors tested, dipyridamole was most effective, with IC50 values of 1.2 and 0.45 microM for inhibition of cAMP and cGMP hydrolysis, respectively. cGMP inhibited hydrolysis of cAMP, and cAMP inhibited cGMP hydrolysis with IC50 values of 14 and 0.39 microM, respectively. Thus, PDE10A exhibited properties of a cAMP PDE and a cAMP-inhibited cGMP PDE. PDE10A transcripts were particularly abundant in the putamen and caudate nucleus regions of brain and in thyroid and testis, and in much lower amounts in other tissues. The PDE10A gene was located on chromosome 6q26 by fluorescent in situ hybridization analysis. PDE10A represents a new member of the PDE superfamily, exhibiting unique kinetic properties and inhibitor sensitivity.","container-title":"The Journal of Biological Chemistry","DOI":"10.1074/jbc.274.26.18438","ISSN":"0021-9258","issue":"26","journalAbbreviation":"J Biol Chem","language":"eng","note":"PMID: 10373451","page":"18438-18445","source":"PubMed","title":"Cloning and characterization of a novel human phosphodiesterase that hydrolyzes both cAMP and cGMP (PDE10A)","volume":"274","author":[{"family":"Fujishige","given":"K."},{"family":"Kotera","given":"J."},{"family":"Michibata","given":"H."},{"family":"Yuasa","given":"K."},{"family":"Takebayashi","given":"S."},{"family":"Okumura","given":"K."},{"family":"Omori","given":"K."}],"issued":{"date-parts":[["1999",6,25]]}}}],"schema":"https://github.com/citation-style-language/schema/raw/master/csl-citation.json"} </w:instrText>
      </w:r>
      <w:r w:rsidR="00CC0C65">
        <w:rPr>
          <w:color w:val="202020"/>
        </w:rPr>
        <w:fldChar w:fldCharType="separate"/>
      </w:r>
      <w:r w:rsidR="000C277B">
        <w:rPr>
          <w:noProof/>
          <w:color w:val="202020"/>
        </w:rPr>
        <w:t>(84)</w:t>
      </w:r>
      <w:r w:rsidR="00CC0C65">
        <w:rPr>
          <w:color w:val="202020"/>
        </w:rPr>
        <w:fldChar w:fldCharType="end"/>
      </w:r>
      <w:r w:rsidR="00CC0C65">
        <w:rPr>
          <w:color w:val="202020"/>
        </w:rPr>
        <w:t xml:space="preserve">. </w:t>
      </w:r>
      <w:r w:rsidR="00CC0C65">
        <w:rPr>
          <w:color w:val="202020"/>
          <w:highlight w:val="white"/>
        </w:rPr>
        <w:t>Na tireoide, o AMPc</w:t>
      </w:r>
      <w:r w:rsidR="008B1FD1">
        <w:rPr>
          <w:color w:val="202020"/>
          <w:highlight w:val="white"/>
        </w:rPr>
        <w:t>,</w:t>
      </w:r>
      <w:r w:rsidR="00CC0C65">
        <w:rPr>
          <w:color w:val="202020"/>
          <w:highlight w:val="white"/>
        </w:rPr>
        <w:t xml:space="preserve"> produzido após ativação do TSHR</w:t>
      </w:r>
      <w:r w:rsidR="008B1FD1">
        <w:rPr>
          <w:color w:val="202020"/>
          <w:highlight w:val="white"/>
        </w:rPr>
        <w:t>,</w:t>
      </w:r>
      <w:r w:rsidR="00CC0C65">
        <w:rPr>
          <w:color w:val="202020"/>
          <w:highlight w:val="white"/>
        </w:rPr>
        <w:t xml:space="preserve"> induz a liberação de Ca e ativação do </w:t>
      </w:r>
      <w:proofErr w:type="spellStart"/>
      <w:r w:rsidR="00CC0C65">
        <w:rPr>
          <w:color w:val="202020"/>
          <w:highlight w:val="white"/>
        </w:rPr>
        <w:t>fosfoinositol</w:t>
      </w:r>
      <w:proofErr w:type="spellEnd"/>
      <w:r w:rsidR="00CC0C65">
        <w:rPr>
          <w:color w:val="202020"/>
          <w:highlight w:val="white"/>
        </w:rPr>
        <w:t>, efetores que levarão a expressão dos alvos gênicos a jusante, culminando na maior captação de iodeto, secreção d</w:t>
      </w:r>
      <w:r w:rsidR="000D0759">
        <w:rPr>
          <w:color w:val="202020"/>
          <w:highlight w:val="white"/>
        </w:rPr>
        <w:t>os hormônios tireoidianos</w:t>
      </w:r>
      <w:r w:rsidR="00CC0C65">
        <w:rPr>
          <w:color w:val="202020"/>
          <w:highlight w:val="white"/>
        </w:rPr>
        <w:t>, crescimento e diferenciação das células foliculares</w:t>
      </w:r>
      <w:r w:rsidR="00CC0C65">
        <w:rPr>
          <w:color w:val="202020"/>
        </w:rPr>
        <w:t xml:space="preserve"> </w:t>
      </w:r>
      <w:r w:rsidR="00CC0C65">
        <w:rPr>
          <w:color w:val="202020"/>
        </w:rPr>
        <w:fldChar w:fldCharType="begin"/>
      </w:r>
      <w:r w:rsidR="004C3BF7">
        <w:rPr>
          <w:color w:val="202020"/>
        </w:rPr>
        <w:instrText xml:space="preserve"> ADDIN ZOTERO_ITEM CSL_CITATION {"citationID":"jsDnwgD3","properties":{"formattedCitation":"(83)","plainCitation":"(83)","noteIndex":0},"citationItems":[{"id":848,"uris":["http://zotero.org/users/7110448/items/UIA5XKJ2"],"itemData":{"id":848,"type":"article-journal","abstract":"Thyroid stimulating hormone (TSH) hormone levels are normally tightly regulated within an individual; thus, relatively small variations may indicate thyroid disease. Genome-wide association studies (GWAS) have identified variants in PDE8B and FOXE1 that are associated with TSH levels. However, prior studies lacked racial/ethnic diversity, limiting the generalization of these findings to individuals of non-European ethnicities. The Electronic Medical Records and Genomics (eMERGE) Network is a collaboration across institutions with biobanks linked to electronic medical records (EMRs). The eMERGE Network uses EMR-derived phenotypes to perform GWAS in diverse populations for a variety of phenotypes. In this report, we identified serum TSH levels from 4,501 European American and 351 African American euthyroid individuals in the eMERGE Network with existing GWAS data. Tests of association were performed using linear regression and adjusted for age, sex, body mass index (BMI), and principal components, assuming an additive genetic model. Our results replicate the known association of PDE8B with serum TSH levels in European Americans (rs2046045 p = 1.85×10-17, β = 0.09). FOXE1 variants, associated with hypothyroidism, were not genome-wide significant (rs10759944: p = 1.08×10-6, β = -0.05). No SNPs reached genome-wide significance in African Americans. However, multiple known associations with TSH levels in European ancestry were nominally significant in African Americans, including PDE8B (rs2046045 p = 0.03, β = -0.09), VEGFA (rs11755845 p = 0.01, β = -0.13), and NFIA (rs334699 p = 1.50×10-3, β = -0.17). We found little evidence that SNPs previously associated with other thyroid-related disorders were associated with serum TSH levels in this study. These results support the previously reported association between PDE8B and serum TSH levels in European Americans and emphasize the need for additional genetic studies in more diverse populations.","container-title":"PloS One","DOI":"10.1371/journal.pone.0111301","ISSN":"1932-6203","issue":"12","journalAbbreviation":"PLoS One","language":"eng","note":"PMID: 25436638\nPMCID: PMC4249871","page":"e111301","source":"PubMed","title":"Genetic variants associated with serum thyroid stimulating hormone (TSH) levels in European Americans and African Americans from the eMERGE Network","volume":"9","author":[{"family":"Malinowski","given":"Jennifer R."},{"family":"Denny","given":"Joshua C."},{"family":"Bielinski","given":"Suzette J."},{"family":"Basford","given":"Melissa A."},{"family":"Bradford","given":"Yuki"},{"family":"Peissig","given":"Peggy L."},{"family":"Carrell","given":"David"},{"family":"Crosslin","given":"David R."},{"family":"Pathak","given":"Jyotishman"},{"family":"Rasmussen","given":"Luke"},{"family":"Pacheco","given":"Jennifer"},{"family":"Kho","given":"Abel"},{"family":"Newton","given":"Katherine M."},{"family":"Li","given":"Rongling"},{"family":"Kullo","given":"Iftikhar J."},{"family":"Chute","given":"Christopher G."},{"family":"Chisholm","given":"Rex L."},{"family":"Jarvik","given":"Gail P."},{"family":"Larson","given":"Eric B."},{"family":"McCarty","given":"Catherine A."},{"family":"Masys","given":"Daniel R."},{"family":"Roden","given":"Dan M."},{"family":"Andrade","given":"Mariza","non-dropping-particle":"de"},{"family":"Ritchie","given":"Marylyn D."},{"family":"Crawford","given":"Dana C."}],"issued":{"date-parts":[["2014"]]}}}],"schema":"https://github.com/citation-style-language/schema/raw/master/csl-citation.json"} </w:instrText>
      </w:r>
      <w:r w:rsidR="00CC0C65">
        <w:rPr>
          <w:color w:val="202020"/>
        </w:rPr>
        <w:fldChar w:fldCharType="separate"/>
      </w:r>
      <w:r w:rsidR="000C277B">
        <w:rPr>
          <w:noProof/>
          <w:color w:val="202020"/>
        </w:rPr>
        <w:t>(83)</w:t>
      </w:r>
      <w:r w:rsidR="00CC0C65">
        <w:rPr>
          <w:color w:val="202020"/>
        </w:rPr>
        <w:fldChar w:fldCharType="end"/>
      </w:r>
      <w:r w:rsidR="00621B06">
        <w:rPr>
          <w:color w:val="202020"/>
        </w:rPr>
        <w:t xml:space="preserve">. </w:t>
      </w:r>
      <w:r w:rsidR="00621B06">
        <w:rPr>
          <w:color w:val="202020"/>
          <w:highlight w:val="white"/>
        </w:rPr>
        <w:t xml:space="preserve">Desempenha, portanto, um papel crítico na secreção </w:t>
      </w:r>
      <w:r w:rsidR="000D0759">
        <w:rPr>
          <w:color w:val="202020"/>
          <w:highlight w:val="white"/>
        </w:rPr>
        <w:t>hormonal da</w:t>
      </w:r>
      <w:r w:rsidR="00621B06">
        <w:rPr>
          <w:color w:val="202020"/>
          <w:highlight w:val="white"/>
        </w:rPr>
        <w:t xml:space="preserve"> tireoide.</w:t>
      </w:r>
    </w:p>
    <w:p w14:paraId="03E654D2" w14:textId="11D6B41F" w:rsidR="00485D37" w:rsidRDefault="00485D37" w:rsidP="00B53381">
      <w:pPr>
        <w:spacing w:line="360" w:lineRule="auto"/>
        <w:jc w:val="both"/>
        <w:rPr>
          <w:color w:val="202020"/>
        </w:rPr>
      </w:pPr>
      <w:r>
        <w:rPr>
          <w:color w:val="202020"/>
          <w:highlight w:val="white"/>
        </w:rPr>
        <w:t xml:space="preserve">     </w:t>
      </w:r>
      <w:r w:rsidR="00621B06">
        <w:rPr>
          <w:color w:val="202020"/>
          <w:highlight w:val="white"/>
        </w:rPr>
        <w:t xml:space="preserve">Como a ação dessa enzima está diretamente associada </w:t>
      </w:r>
      <w:r w:rsidR="00273343">
        <w:rPr>
          <w:color w:val="202020"/>
          <w:highlight w:val="white"/>
        </w:rPr>
        <w:t xml:space="preserve">à </w:t>
      </w:r>
      <w:r w:rsidR="00621B06">
        <w:rPr>
          <w:color w:val="202020"/>
          <w:highlight w:val="white"/>
        </w:rPr>
        <w:t>degradação de AMPc, segundo mensageiro intracelular do TSH, é plausível a relação entre variantes des</w:t>
      </w:r>
      <w:r w:rsidR="00273343">
        <w:rPr>
          <w:color w:val="202020"/>
          <w:highlight w:val="white"/>
        </w:rPr>
        <w:t>s</w:t>
      </w:r>
      <w:r w:rsidR="00621B06">
        <w:rPr>
          <w:color w:val="202020"/>
          <w:highlight w:val="white"/>
        </w:rPr>
        <w:t>e gene e níveis de TSH e HT</w:t>
      </w:r>
      <w:r w:rsidR="00E50372">
        <w:rPr>
          <w:color w:val="202020"/>
        </w:rPr>
        <w:t xml:space="preserve"> </w:t>
      </w:r>
      <w:r w:rsidR="00E50372">
        <w:rPr>
          <w:color w:val="202020"/>
        </w:rPr>
        <w:fldChar w:fldCharType="begin"/>
      </w:r>
      <w:r w:rsidR="00344DCD">
        <w:rPr>
          <w:color w:val="202020"/>
        </w:rPr>
        <w:instrText xml:space="preserve"> ADDIN ZOTERO_ITEM CSL_CITATION {"citationID":"FF4pZFFc","properties":{"unsorted":true,"formattedCitation":"(84,85,9)","plainCitation":"(84,85,9)","noteIndex":0},"citationItems":[{"id":993,"uris":["http://zotero.org/users/7110448/items/FN94IQVN"],"itemData":{"id":993,"type":"article-journal","abstract":"cDNA encoding a novel phosphodiesterase (PDE) was isolated from a human fetal lung cDNA library and designated PDE10A. The deduced amino acid sequence contains 779 amino acids, including a putative cGMP binding sequence in the amino-terminal portion of the molecule and a catalytic domain that is 16-47% identical in amino acid sequence to those of other PDE families. Recombinant PDE10A transfected and expressed in COS-7 cells hydrolyzed cAMP and cGMP with Km values of 0.26 and 7.2 microM, respectively, and Vmax with cGMP was almost twice that with cAMP. Of the PDE inhibitors tested, dipyridamole was most effective, with IC50 values of 1.2 and 0.45 microM for inhibition of cAMP and cGMP hydrolysis, respectively. cGMP inhibited hydrolysis of cAMP, and cAMP inhibited cGMP hydrolysis with IC50 values of 14 and 0.39 microM, respectively. Thus, PDE10A exhibited properties of a cAMP PDE and a cAMP-inhibited cGMP PDE. PDE10A transcripts were particularly abundant in the putamen and caudate nucleus regions of brain and in thyroid and testis, and in much lower amounts in other tissues. The PDE10A gene was located on chromosome 6q26 by fluorescent in situ hybridization analysis. PDE10A represents a new member of the PDE superfamily, exhibiting unique kinetic properties and inhibitor sensitivity.","container-title":"The Journal of Biological Chemistry","DOI":"10.1074/jbc.274.26.18438","ISSN":"0021-9258","issue":"26","journalAbbreviation":"J Biol Chem","language":"eng","note":"PMID: 10373451","page":"18438-18445","source":"PubMed","title":"Cloning and characterization of a novel human phosphodiesterase that hydrolyzes both cAMP and cGMP (PDE10A)","volume":"274","author":[{"family":"Fujishige","given":"K."},{"family":"Kotera","given":"J."},{"family":"Michibata","given":"H."},{"family":"Yuasa","given":"K."},{"family":"Takebayashi","given":"S."},{"family":"Okumura","given":"K."},{"family":"Omori","given":"K."}],"issued":{"date-parts":[["1999",6,25]]}},"label":"page"},{"id":996,"uris":["http://zotero.org/users/7110448/items/PBU79AHW"],"itemData":{"id":996,"type":"article-journal","abstract":"BACKGROUND: Thyroid hormones have important roles in growth, development and control of metabolism, and their dysregulation can lead to disease.\nOBJECTIVES: To identify genes contributing to hyperthyrotropinaemia.\nDESIGN, SETTING, PARTICIPANTS: Linkage and association analyses using 1258 individuals from three Alpine villages.\nOUTCOME MEASURES: The study applied two different upper limits of the reference range (URR) for serum thyroid stimulating hormone (TSH) values (TSH ≥4.6 mU/l and TSH &gt;3.0 mU/l), along with normal or low fT4 (free thyroxine) values or thyroid medical treatment to define two groups of individuals for analysis: one hyperthyrotropinaemic or high-TSH (H-TSH) (TSH ≥4.6 mU/l) group; and a larger group (TSH &gt;3.0 mU/l) called hyperthyrotropinaemic and upper reference range TSH (H+URR-TSH).\nRESULTS: Non-parametric genome-wide linkage analysis was performed on pedigrees generated from the two groups. Linkage analysis in the H+URR-TSH group revealed a significant peak on chromosome 3q28-q29 (LOD 3.34) and a suggestive linkage peak on chromosome 6q26-27 (LOD 2.66). Analysis in the smaller hyperthyrotropinaemic (H-TSH) group supported linkage to chromosome 6q26-27. Single SNP and gene based SNP association analyses under the linkage peaks identified the PDE10A and DACT2 genes as candidates at the chromosome 6 locus.\nCONCLUSIONS: PDE10A or DACT2 were identified as candidate genes contributing to hyperthyrotropinaemia (and possibly hypothyroidism) in this sample. Studies in additional populations support association of variants at this locus with TSH values, especially in the PDE10A gene. Genetic linkage in families with hyperthyrotropinaemia suggests the presence of functional variants that contribute to pathological disruption of the hypothalamus-pituitary-thyroid axis.","container-title":"Journal of Medical Genetics","DOI":"10.1136/jmg.2010.088583","ISSN":"1468-6244","issue":"8","journalAbbreviation":"J Med Genet","language":"eng","note":"PMID: 21690246","page":"549-556","source":"PubMed","title":"Linkage and association analysis of hyperthyrotropinaemia in an Alpine population reveal two novel loci on chromosomes 3q28-29 and 6q26-27","volume":"48","author":[{"family":"Volpato","given":"Claudia B."},{"family":"De Grandi","given":"Alessandro"},{"family":"Gögele","given":"Martin"},{"family":"Taliun","given":"Daniel"},{"family":"Fuchsberger","given":"Christian"},{"family":"Facheris","given":"Maurizio F."},{"family":"Minelli","given":"Cosetta"},{"family":"Pattaro","given":"Cristian"},{"family":"Pramstaller","given":"Peter P."},{"family":"Hicks","given":"Andrew A."}],"issued":{"date-parts":[["2011",8]]}},"label":"page"},{"id":93,"uris":["http://zotero.org/users/7110448/items/CK8FU3ZB"],"itemData":{"id":93,"type":"article-journal","abstract":"Abstract\n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P"},{"family":"Medici","given":"Marco"}],"issued":{"date-parts":[["2020",6,1]]}},"label":"page"}],"schema":"https://github.com/citation-style-language/schema/raw/master/csl-citation.json"} </w:instrText>
      </w:r>
      <w:r w:rsidR="00E50372">
        <w:rPr>
          <w:color w:val="202020"/>
        </w:rPr>
        <w:fldChar w:fldCharType="separate"/>
      </w:r>
      <w:r w:rsidR="000C277B">
        <w:rPr>
          <w:noProof/>
          <w:color w:val="202020"/>
        </w:rPr>
        <w:t>(84,85,9)</w:t>
      </w:r>
      <w:r w:rsidR="00E50372">
        <w:rPr>
          <w:color w:val="202020"/>
        </w:rPr>
        <w:fldChar w:fldCharType="end"/>
      </w:r>
      <w:r w:rsidR="00621B06">
        <w:rPr>
          <w:color w:val="202020"/>
        </w:rPr>
        <w:t xml:space="preserve">. </w:t>
      </w:r>
    </w:p>
    <w:p w14:paraId="5B97FD99" w14:textId="70E8BCA2" w:rsidR="000D0759" w:rsidRDefault="000D0759" w:rsidP="00B53381">
      <w:pPr>
        <w:spacing w:line="360" w:lineRule="auto"/>
        <w:jc w:val="both"/>
        <w:rPr>
          <w:color w:val="202020"/>
        </w:rPr>
      </w:pPr>
    </w:p>
    <w:p w14:paraId="52E4205D" w14:textId="7AA42439" w:rsidR="00E50372" w:rsidRPr="00B53381" w:rsidRDefault="00E50372" w:rsidP="00273343">
      <w:pPr>
        <w:ind w:left="567" w:hanging="567"/>
        <w:rPr>
          <w:b/>
          <w:color w:val="3B3838"/>
          <w:highlight w:val="white"/>
        </w:rPr>
      </w:pPr>
      <w:r w:rsidRPr="00B53381">
        <w:rPr>
          <w:b/>
          <w:color w:val="3B3838"/>
          <w:highlight w:val="white"/>
        </w:rPr>
        <w:t>2.2</w:t>
      </w:r>
      <w:r w:rsidRPr="00B53381">
        <w:rPr>
          <w:b/>
          <w:color w:val="000000" w:themeColor="text1"/>
          <w:highlight w:val="white"/>
        </w:rPr>
        <w:t>.</w:t>
      </w:r>
      <w:r w:rsidR="00B53006">
        <w:rPr>
          <w:b/>
          <w:color w:val="000000" w:themeColor="text1"/>
          <w:highlight w:val="white"/>
        </w:rPr>
        <w:t>6</w:t>
      </w:r>
      <w:r w:rsidRPr="00B53381">
        <w:rPr>
          <w:b/>
          <w:color w:val="000000" w:themeColor="text1"/>
          <w:highlight w:val="white"/>
        </w:rPr>
        <w:t xml:space="preserve"> </w:t>
      </w:r>
      <w:r w:rsidR="00841744" w:rsidRPr="00B53381">
        <w:rPr>
          <w:b/>
          <w:color w:val="000000" w:themeColor="text1"/>
          <w:highlight w:val="white"/>
        </w:rPr>
        <w:t xml:space="preserve">Genes Implicados </w:t>
      </w:r>
      <w:r w:rsidR="00841744" w:rsidRPr="00841744">
        <w:rPr>
          <w:b/>
          <w:color w:val="000000" w:themeColor="text1"/>
          <w:highlight w:val="white"/>
        </w:rPr>
        <w:t>na</w:t>
      </w:r>
      <w:r w:rsidR="00841744" w:rsidRPr="00B53381">
        <w:rPr>
          <w:b/>
          <w:color w:val="000000" w:themeColor="text1"/>
          <w:highlight w:val="white"/>
        </w:rPr>
        <w:t xml:space="preserve"> Bio</w:t>
      </w:r>
      <w:r w:rsidR="00BC57AE">
        <w:rPr>
          <w:b/>
          <w:color w:val="000000" w:themeColor="text1"/>
          <w:highlight w:val="white"/>
        </w:rPr>
        <w:t>s</w:t>
      </w:r>
      <w:r w:rsidR="00841744" w:rsidRPr="00B53381">
        <w:rPr>
          <w:b/>
          <w:color w:val="000000" w:themeColor="text1"/>
          <w:highlight w:val="white"/>
        </w:rPr>
        <w:t xml:space="preserve">síntese, Transporte </w:t>
      </w:r>
      <w:r w:rsidR="00841744" w:rsidRPr="00841744">
        <w:rPr>
          <w:b/>
          <w:color w:val="000000" w:themeColor="text1"/>
          <w:highlight w:val="white"/>
        </w:rPr>
        <w:t>e</w:t>
      </w:r>
      <w:r w:rsidR="00841744" w:rsidRPr="00B53381">
        <w:rPr>
          <w:b/>
          <w:color w:val="000000" w:themeColor="text1"/>
          <w:highlight w:val="white"/>
        </w:rPr>
        <w:t xml:space="preserve"> Metabolismo Periférico </w:t>
      </w:r>
      <w:r w:rsidR="00841744" w:rsidRPr="00841744">
        <w:rPr>
          <w:b/>
          <w:color w:val="000000" w:themeColor="text1"/>
          <w:highlight w:val="white"/>
        </w:rPr>
        <w:t>do</w:t>
      </w:r>
      <w:r w:rsidR="00841744" w:rsidRPr="00B53381">
        <w:rPr>
          <w:b/>
          <w:color w:val="000000" w:themeColor="text1"/>
          <w:highlight w:val="white"/>
        </w:rPr>
        <w:t>s</w:t>
      </w:r>
      <w:r w:rsidRPr="00B53381">
        <w:rPr>
          <w:b/>
          <w:color w:val="000000" w:themeColor="text1"/>
          <w:highlight w:val="white"/>
        </w:rPr>
        <w:t xml:space="preserve"> HT</w:t>
      </w:r>
    </w:p>
    <w:p w14:paraId="3142FF69" w14:textId="610FC1A8" w:rsidR="00485D37" w:rsidRDefault="00485D37" w:rsidP="00273343">
      <w:pPr>
        <w:spacing w:line="360" w:lineRule="auto"/>
        <w:rPr>
          <w:color w:val="3B3838"/>
          <w:highlight w:val="white"/>
        </w:rPr>
      </w:pPr>
    </w:p>
    <w:p w14:paraId="1B258E4F" w14:textId="2530608A" w:rsidR="0084323A" w:rsidRDefault="00485D37" w:rsidP="00B53381">
      <w:pPr>
        <w:spacing w:line="360" w:lineRule="auto"/>
        <w:jc w:val="both"/>
        <w:rPr>
          <w:color w:val="3B3838"/>
        </w:rPr>
      </w:pPr>
      <w:r>
        <w:rPr>
          <w:color w:val="3B3838"/>
          <w:highlight w:val="white"/>
        </w:rPr>
        <w:t xml:space="preserve">     </w:t>
      </w:r>
      <w:r w:rsidR="00E50372">
        <w:rPr>
          <w:color w:val="3B3838"/>
          <w:highlight w:val="white"/>
        </w:rPr>
        <w:t>GWAS tem revelado associação entre alguns</w:t>
      </w:r>
      <w:r w:rsidR="000D0759">
        <w:rPr>
          <w:color w:val="3B3838"/>
          <w:highlight w:val="white"/>
        </w:rPr>
        <w:t xml:space="preserve"> polimorfismos</w:t>
      </w:r>
      <w:r w:rsidR="00E50372">
        <w:rPr>
          <w:color w:val="3B3838"/>
          <w:highlight w:val="white"/>
        </w:rPr>
        <w:t xml:space="preserve"> de genes sabidamente envolvidos na síntese dos </w:t>
      </w:r>
      <w:r w:rsidR="000D0759">
        <w:rPr>
          <w:color w:val="3B3838"/>
          <w:highlight w:val="white"/>
        </w:rPr>
        <w:t>hormônios tireoidianos</w:t>
      </w:r>
      <w:r w:rsidR="00E50372">
        <w:rPr>
          <w:color w:val="3B3838"/>
          <w:highlight w:val="white"/>
        </w:rPr>
        <w:t xml:space="preserve"> (</w:t>
      </w:r>
      <w:r w:rsidR="00E50372">
        <w:rPr>
          <w:i/>
          <w:color w:val="3B3838"/>
          <w:highlight w:val="white"/>
        </w:rPr>
        <w:t>TPO, TG, CAPZB</w:t>
      </w:r>
      <w:r w:rsidR="00E50372">
        <w:rPr>
          <w:color w:val="3B3838"/>
          <w:highlight w:val="white"/>
        </w:rPr>
        <w:t>)</w:t>
      </w:r>
      <w:r w:rsidR="00BA1DDE">
        <w:rPr>
          <w:color w:val="3B3838"/>
          <w:highlight w:val="white"/>
        </w:rPr>
        <w:t xml:space="preserve"> </w:t>
      </w:r>
      <w:r w:rsidR="00BA1DDE">
        <w:rPr>
          <w:color w:val="3B3838"/>
          <w:highlight w:val="white"/>
        </w:rPr>
        <w:fldChar w:fldCharType="begin"/>
      </w:r>
      <w:r w:rsidR="00344DCD">
        <w:rPr>
          <w:color w:val="3B3838"/>
          <w:highlight w:val="white"/>
        </w:rPr>
        <w:instrText xml:space="preserve"> ADDIN ZOTERO_ITEM CSL_CITATION {"citationID":"nmP6VeoO","properties":{"unsorted":true,"formattedCitation":"(82,18)","plainCitation":"(82,18)","noteIndex":0},"citationItems":[{"id":1814,"uris":["http://zotero.org/users/7110448/items/PNRGMJ3I"],"itemData":{"id":1814,"type":"article-journal","abstract":"To search for sequence variants conferring risk of nonmedullary thyroid cancer, we focused our analysis on 22 SNPs with a P &lt; 5 × 10(-8) in a genome-wide association study on levels of thyroid stimulating hormone (TSH) in 27,758 Icelanders. Of those, rs965513 has previously been shown to associate with thyroid cancer. The remaining 21 SNPs were genotyped in 561 Icelandic individuals with thyroid cancer (cases) and up to 40,013 controls. Variants suggestively associated with thyroid cancer (P &lt; 0.05) were genotyped in an additional 595 non-Icelandic cases and 2,604 controls. After combining the results, three variants were shown to associate with thyroid cancer: rs966423 on 2q35 (OR = 1.34; P(combined) = 1.3 × 10(-9)), rs2439302 on 8p12 (OR = 1.36; P(combined) = 2.0 × 10(-9)) and rs116909374 on 14q13.3 (OR = 2.09; P(combined) = 4.6 × 10(-11)), a region previously reported to contain an uncorrelated variant conferring risk of thyroid cancer. A strong association (P = 9.1 × 10(-91)) was observed between rs2439302 on 8p12 and expression of NRG1, which encodes the signaling protein neuregulin 1, in blood.","container-title":"Nature Genetics","DOI":"10.1038/ng.1046","ISSN":"1546-1718","issue":"3","journalAbbreviation":"Nat Genet","language":"eng","note":"PMID: 22267200\nPMCID: PMC3655412","page":"319-322","source":"PubMed","title":"Discovery of common variants associated with low TSH levels and thyroid cancer risk","volume":"44","author":[{"family":"Gudmundsson","given":"Julius"},{"family":"Sulem","given":"Patrick"},{"family":"Gudbjartsson","given":"Daniel F."},{"family":"Jonasson","given":"Jon G."},{"family":"Masson","given":"Gisli"},{"family":"He","given":"Huiling"},{"family":"Jonasdottir","given":"Aslaug"},{"family":"Sigurdsson","given":"Asgeir"},{"family":"Stacey","given":"Simon N."},{"family":"Johannsdottir","given":"Hrefna"},{"family":"Helgadottir","given":"Hafdis Th"},{"family":"Li","given":"Wei"},{"family":"Nagy","given":"Rebecca"},{"family":"Ringel","given":"Matthew D."},{"family":"Kloos","given":"Richard T."},{"family":"Visser","given":"Marieke C. H.","non-dropping-particle":"de"},{"family":"Plantinga","given":"Theo S."},{"family":"Heijer","given":"Martin","non-dropping-particle":"den"},{"family":"Aguillo","given":"Esperanza"},{"family":"Panadero","given":"Angeles"},{"family":"Prats","given":"Enrique"},{"family":"Garcia-Castaño","given":"Almudena"},{"family":"De Juan","given":"Ana"},{"family":"Rivera","given":"Fernando"},{"family":"Walters","given":"G. Bragi"},{"family":"Bjarnason","given":"Hjordis"},{"family":"Tryggvadottir","given":"Laufey"},{"family":"Eyjolfsson","given":"Gudmundur I."},{"family":"Bjornsdottir","given":"Unnur S."},{"family":"Holm","given":"Hilma"},{"family":"Olafsson","given":"Isleifur"},{"family":"Kristjansson","given":"Kristleifur"},{"family":"Kristvinsson","given":"Hoskuldur"},{"family":"Magnusson","given":"Olafur T."},{"family":"Thorleifsson","given":"Gudmar"},{"family":"Gulcher","given":"Jeffrey R."},{"family":"Kong","given":"Augustine"},{"family":"Kiemeney","given":"Lambertus A. L. M."},{"family":"Jonsson","given":"Thorvaldur"},{"family":"Hjartarson","given":"Hannes"},{"family":"Mayordomo","given":"Jose I."},{"family":"Netea-Maier","given":"Romana T."},{"family":"Chapelle","given":"Albert","non-dropping-particle":"de la"},{"family":"Hrafnkelsson","given":"Jon"},{"family":"Thorsteinsdottir","given":"Unnur"},{"family":"Rafnar","given":"Thorunn"},{"family":"Stefansson","given":"Kari"}],"issued":{"date-parts":[["2012",1,22]]}},"label":"page"},{"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J."},{"family":"Medici","given":"Marco"}],"issued":{"date-parts":[["2018",12]]}},"label":"page"}],"schema":"https://github.com/citation-style-language/schema/raw/master/csl-citation.json"} </w:instrText>
      </w:r>
      <w:r w:rsidR="00BA1DDE">
        <w:rPr>
          <w:color w:val="3B3838"/>
          <w:highlight w:val="white"/>
        </w:rPr>
        <w:fldChar w:fldCharType="separate"/>
      </w:r>
      <w:r w:rsidR="000C277B">
        <w:rPr>
          <w:noProof/>
          <w:color w:val="3B3838"/>
          <w:highlight w:val="white"/>
        </w:rPr>
        <w:t>(82,18)</w:t>
      </w:r>
      <w:r w:rsidR="00BA1DDE">
        <w:rPr>
          <w:color w:val="3B3838"/>
          <w:highlight w:val="white"/>
        </w:rPr>
        <w:fldChar w:fldCharType="end"/>
      </w:r>
      <w:r w:rsidR="00E50372">
        <w:rPr>
          <w:color w:val="3B3838"/>
          <w:highlight w:val="white"/>
        </w:rPr>
        <w:t xml:space="preserve">, no transporte </w:t>
      </w:r>
      <w:r w:rsidR="00273343">
        <w:rPr>
          <w:color w:val="3B3838"/>
          <w:highlight w:val="white"/>
        </w:rPr>
        <w:t>dess</w:t>
      </w:r>
      <w:r w:rsidR="000D0759">
        <w:rPr>
          <w:color w:val="3B3838"/>
          <w:highlight w:val="white"/>
        </w:rPr>
        <w:t>es hormônios para o interior das células</w:t>
      </w:r>
      <w:r w:rsidR="00273343">
        <w:rPr>
          <w:color w:val="3B3838"/>
          <w:highlight w:val="white"/>
        </w:rPr>
        <w:t>-</w:t>
      </w:r>
      <w:r w:rsidR="000D0759">
        <w:rPr>
          <w:color w:val="3B3838"/>
          <w:highlight w:val="white"/>
        </w:rPr>
        <w:t>alvo</w:t>
      </w:r>
      <w:r w:rsidR="00E50372">
        <w:rPr>
          <w:color w:val="3B3838"/>
          <w:highlight w:val="white"/>
        </w:rPr>
        <w:t xml:space="preserve"> (</w:t>
      </w:r>
      <w:r w:rsidR="00E50372">
        <w:rPr>
          <w:i/>
          <w:color w:val="3B3838"/>
          <w:highlight w:val="white"/>
        </w:rPr>
        <w:t>MCT8</w:t>
      </w:r>
      <w:r w:rsidR="00BA1DDE">
        <w:rPr>
          <w:i/>
          <w:color w:val="3B3838"/>
          <w:highlight w:val="white"/>
        </w:rPr>
        <w:t xml:space="preserve">, SLC17A4 e </w:t>
      </w:r>
      <w:r w:rsidR="00E50372">
        <w:rPr>
          <w:i/>
          <w:color w:val="3B3838"/>
          <w:highlight w:val="white"/>
        </w:rPr>
        <w:t>OATP1B1</w:t>
      </w:r>
      <w:r w:rsidR="00E50372">
        <w:rPr>
          <w:color w:val="3B3838"/>
          <w:highlight w:val="white"/>
        </w:rPr>
        <w:t>)</w:t>
      </w:r>
      <w:r w:rsidR="00BA1DDE">
        <w:rPr>
          <w:color w:val="3B3838"/>
          <w:highlight w:val="white"/>
        </w:rPr>
        <w:t xml:space="preserve"> </w:t>
      </w:r>
      <w:r w:rsidR="00126368">
        <w:rPr>
          <w:color w:val="3B3838"/>
          <w:highlight w:val="white"/>
        </w:rPr>
        <w:fldChar w:fldCharType="begin"/>
      </w:r>
      <w:r w:rsidR="00344DCD">
        <w:rPr>
          <w:color w:val="3B3838"/>
          <w:highlight w:val="white"/>
        </w:rPr>
        <w:instrText xml:space="preserve"> ADDIN ZOTERO_ITEM CSL_CITATION {"citationID":"nP23ohAA","properties":{"formattedCitation":"(18)","plainCitation":"(18)","noteIndex":0},"citationItems":[{"id":99,"uris":["http://zotero.org/users/7110448/items/3VVWNZR7"],"itemData":{"id":99,"type":"article-journal","container-title":"Nature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J."},{"family":"Medici","given":"Marco"}],"issued":{"date-parts":[["2018",12]]}}}],"schema":"https://github.com/citation-style-language/schema/raw/master/csl-citation.json"} </w:instrText>
      </w:r>
      <w:r w:rsidR="00126368">
        <w:rPr>
          <w:color w:val="3B3838"/>
          <w:highlight w:val="white"/>
        </w:rPr>
        <w:fldChar w:fldCharType="separate"/>
      </w:r>
      <w:r w:rsidR="00126368">
        <w:rPr>
          <w:noProof/>
          <w:color w:val="3B3838"/>
          <w:highlight w:val="white"/>
        </w:rPr>
        <w:t>(18)</w:t>
      </w:r>
      <w:r w:rsidR="00126368">
        <w:rPr>
          <w:color w:val="3B3838"/>
          <w:highlight w:val="white"/>
        </w:rPr>
        <w:fldChar w:fldCharType="end"/>
      </w:r>
      <w:r w:rsidR="00273343">
        <w:rPr>
          <w:color w:val="3B3838"/>
          <w:highlight w:val="white"/>
        </w:rPr>
        <w:t xml:space="preserve"> e</w:t>
      </w:r>
      <w:r w:rsidR="00E50372">
        <w:rPr>
          <w:color w:val="3B3838"/>
          <w:highlight w:val="white"/>
        </w:rPr>
        <w:t xml:space="preserve"> no metabolismo </w:t>
      </w:r>
      <w:r w:rsidR="008621F2">
        <w:rPr>
          <w:color w:val="3B3838"/>
          <w:highlight w:val="white"/>
        </w:rPr>
        <w:t>des</w:t>
      </w:r>
      <w:r w:rsidR="00273343">
        <w:rPr>
          <w:color w:val="3B3838"/>
          <w:highlight w:val="white"/>
        </w:rPr>
        <w:t>s</w:t>
      </w:r>
      <w:r w:rsidR="008621F2">
        <w:rPr>
          <w:color w:val="3B3838"/>
          <w:highlight w:val="white"/>
        </w:rPr>
        <w:t xml:space="preserve">es hormônios </w:t>
      </w:r>
      <w:r w:rsidR="00E50372">
        <w:rPr>
          <w:color w:val="3B3838"/>
          <w:highlight w:val="white"/>
        </w:rPr>
        <w:t xml:space="preserve"> (</w:t>
      </w:r>
      <w:r w:rsidR="00E50372">
        <w:rPr>
          <w:i/>
          <w:color w:val="3B3838"/>
          <w:highlight w:val="white"/>
        </w:rPr>
        <w:t>DIO1, DIO2 e DIO3</w:t>
      </w:r>
      <w:r w:rsidR="00E50372">
        <w:rPr>
          <w:i/>
          <w:color w:val="3B3838"/>
        </w:rPr>
        <w:t xml:space="preserve">) </w:t>
      </w:r>
      <w:r w:rsidR="00126368" w:rsidRPr="00126368">
        <w:rPr>
          <w:iCs/>
          <w:color w:val="3B3838"/>
        </w:rPr>
        <w:fldChar w:fldCharType="begin"/>
      </w:r>
      <w:r w:rsidR="00344DCD">
        <w:rPr>
          <w:iCs/>
          <w:color w:val="3B3838"/>
        </w:rPr>
        <w:instrText xml:space="preserve"> ADDIN ZOTERO_ITEM CSL_CITATION {"citationID":"7t0whpS2","properties":{"unsorted":true,"formattedCitation":"(73,17,18)","plainCitation":"(73,17,18)","noteIndex":0},"citationItems":[{"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P."},{"family":"Naitza","given":"Silvia"}],"issued":{"date-parts":[["2013"]]}},"label":"page"},{"id":205,"uris":["http://zotero.org/users/7110448/items/JCFSMWBQ"],"itemData":{"id":205,"type":"article-journal","abstract":"Abstract\n            \n              Normal thyroid function is essential for health, but its genetic architecture remains poorly understood. Here, for the heritable thyroid traits thyrotropin (TSH) and free thyroxine (FT4), we analyse whole-genome sequence data from the UK10K project (\n              N\n              =2,287). Using additional whole-genome sequence and deeply imputed data sets, we report meta-analysis results for common variants (MAF≥1%) associated with TSH and FT4 (\n              N\n              =16,335). For TSH, we identify a novel variant in\n              SYN2\n              (MAF=23.5%,\n              P\n              =6.15 × 10\n              −9\n              ) and a new independent variant in\n              PDE8B\n              (MAF=10.4%,\n              P\n              =5.94 × 10\n              −14\n              ). For FT4, we report a low-frequency variant near\n              B4GALT6/SLC25A52\n              (MAF=3.2%,\n              P\n              =1.27 × 10\n              −9\n              ) tagging a rare\n              TTR\n              variant (MAF=0.4%,\n              P\n              =2.14 × 10\n              −11\n              ). All common variants explain ≥20% of the variance in TSH and FT4. Analysis of rare variants (MAF&lt;1%) using sequence kernel association testing reveals a novel association with FT4 in\n              NRG1.\n              Our results demonstrate that increased coverage in whole-genome sequence association studies identifies novel variants associated with thyroid function.","container-title":"Nature Communications","DOI":"10.1038/ncomms6681","ISSN":"2041-1723","issue":"1","journalAbbreviation":"Nat Commun","language":"en","page":"5681","source":"DOI.org (Crossref)","title":"Whole-genome sequence-based analysis of thyroid function","volume":"6","author":[{"literal":"The UK10K Consortium"},{"family":"Taylor","given":"Peter N."},{"family":"Porcu","given":"Eleonora"},{"family":"Chew","given":"Shelby"},{"family":"Campbell","given":"Purdey J."},{"family":"Traglia","given":"Michela"},{"family":"Brown","given":"Suzanne J."},{"family":"Mullin","given":"Benjamin H."},{"family":"Shihab","given":"Hashem A."},{"family":"Min","given":"Josine"},{"family":"Walter","given":"Klaudia"},{"family":"Memari","given":"Yasin"},{"family":"Huang","given":"Jie"},{"family":"Barnes","given":"Michael R."},{"family":"Beilby","given":"John P."},{"family":"Charoen","given":"Pimphen"},{"family":"Danecek","given":"Petr"},{"family":"Dudbridge","given":"Frank"},{"family":"Forgetta","given":"Vincenzo"},{"family":"Greenwood","given":"Celia"},{"family":"Grundberg","given":"Elin"},{"family":"Johnson","given":"Andrew D."},{"family":"Hui","given":"Jennie"},{"family":"Lim","given":"Ee M."},{"family":"McCarthy","given":"Shane"},{"family":"Muddyman","given":"Dawn"},{"family":"Panicker","given":"Vijay"},{"family":"Perry","given":"John R.B."},{"family":"Bell","given":"Jordana T."},{"family":"Yuan","given":"Wei"},{"family":"Relton","given":"Caroline"},{"family":"Gaunt","given":"Tom"},{"family":"Schlessinger","given":"David"},{"family":"Abecasis","given":"Goncalo"},{"family":"Cucca","given":"Francesco"},{"family":"Surdulescu","given":"Gabriela L."},{"family":"Woltersdorf","given":"Wolfram"},{"family":"Zeggini","given":"Eleftheria"},{"family":"Zheng","given":"Hou-Feng"},{"family":"Toniolo","given":"Daniela"},{"family":"Dayan","given":"Colin M."},{"family":"Naitza","given":"Silvia"},{"family":"Walsh","given":"John P."},{"family":"Spector","given":"Tim"},{"family":"Davey Smith","given":"George"},{"family":"Durbin","given":"Richard"},{"family":"Brent Richards","given":"J."},{"family":"Sanna","given":"Serena"},{"family":"Soranzo","given":"Nicole"},{"family":"Timpson","given":"Nicholas J."},{"family":"Wilson","given":"Scott G."}],"issued":{"date-parts":[["2015",5,5]]}},"label":"page"},{"id":99,"uris":["http://zotero.org/users/7110448/items/3VVWNZR7"],"itemData":{"id":99,"type":"article-journal","container-title":"Nature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J."},{"family":"Medici","given":"Marco"}],"issued":{"date-parts":[["2018",12]]}},"label":"page"}],"schema":"https://github.com/citation-style-language/schema/raw/master/csl-citation.json"} </w:instrText>
      </w:r>
      <w:r w:rsidR="00126368" w:rsidRPr="00126368">
        <w:rPr>
          <w:iCs/>
          <w:color w:val="3B3838"/>
        </w:rPr>
        <w:fldChar w:fldCharType="separate"/>
      </w:r>
      <w:r w:rsidR="000C277B">
        <w:rPr>
          <w:iCs/>
          <w:noProof/>
          <w:color w:val="3B3838"/>
        </w:rPr>
        <w:t>(73,17,18)</w:t>
      </w:r>
      <w:r w:rsidR="00126368" w:rsidRPr="00126368">
        <w:rPr>
          <w:iCs/>
          <w:color w:val="3B3838"/>
        </w:rPr>
        <w:fldChar w:fldCharType="end"/>
      </w:r>
      <w:r w:rsidR="00126368" w:rsidRPr="00126368">
        <w:rPr>
          <w:iCs/>
          <w:color w:val="3B3838"/>
        </w:rPr>
        <w:t>.</w:t>
      </w:r>
      <w:r w:rsidR="00126368">
        <w:rPr>
          <w:i/>
          <w:color w:val="3B3838"/>
        </w:rPr>
        <w:t xml:space="preserve"> </w:t>
      </w:r>
      <w:r w:rsidR="0084323A">
        <w:rPr>
          <w:color w:val="3B3838"/>
          <w:highlight w:val="white"/>
        </w:rPr>
        <w:t>Os</w:t>
      </w:r>
      <w:r w:rsidR="008621F2">
        <w:rPr>
          <w:color w:val="3B3838"/>
          <w:highlight w:val="white"/>
        </w:rPr>
        <w:t xml:space="preserve"> polimorfismos</w:t>
      </w:r>
      <w:r w:rsidR="0084323A">
        <w:rPr>
          <w:color w:val="3B3838"/>
          <w:highlight w:val="white"/>
        </w:rPr>
        <w:t xml:space="preserve"> de genes envolvidos na síntese dos</w:t>
      </w:r>
      <w:r w:rsidR="008621F2">
        <w:rPr>
          <w:color w:val="3B3838"/>
          <w:highlight w:val="white"/>
        </w:rPr>
        <w:t xml:space="preserve"> hormônios tireoidianos </w:t>
      </w:r>
      <w:r w:rsidR="0084323A">
        <w:rPr>
          <w:color w:val="3B3838"/>
          <w:highlight w:val="white"/>
        </w:rPr>
        <w:t xml:space="preserve">foram associados ao nível de TSH, enquanto que aqueles envolvidos no transporte e metabolismo </w:t>
      </w:r>
      <w:r w:rsidR="008621F2">
        <w:rPr>
          <w:color w:val="3B3838"/>
          <w:highlight w:val="white"/>
        </w:rPr>
        <w:t>des</w:t>
      </w:r>
      <w:r w:rsidR="00273343">
        <w:rPr>
          <w:color w:val="3B3838"/>
          <w:highlight w:val="white"/>
        </w:rPr>
        <w:t>s</w:t>
      </w:r>
      <w:r w:rsidR="008621F2">
        <w:rPr>
          <w:color w:val="3B3838"/>
          <w:highlight w:val="white"/>
        </w:rPr>
        <w:t>es hormônios</w:t>
      </w:r>
      <w:r w:rsidR="0084323A">
        <w:rPr>
          <w:color w:val="3B3838"/>
          <w:highlight w:val="white"/>
        </w:rPr>
        <w:t>, ao nível de T4l</w:t>
      </w:r>
      <w:r w:rsidR="0084323A">
        <w:rPr>
          <w:color w:val="3B3838"/>
        </w:rPr>
        <w:t xml:space="preserve"> </w:t>
      </w:r>
      <w:r w:rsidR="0084323A">
        <w:rPr>
          <w:color w:val="3B3838"/>
        </w:rPr>
        <w:fldChar w:fldCharType="begin"/>
      </w:r>
      <w:r w:rsidR="00344DCD">
        <w:rPr>
          <w:color w:val="3B3838"/>
        </w:rPr>
        <w:instrText xml:space="preserve"> ADDIN ZOTERO_ITEM CSL_CITATION {"citationID":"Ygyrbv6l","properties":{"formattedCitation":"(9)","plainCitation":"(9)","noteIndex":0},"citationItems":[{"id":93,"uris":["http://zotero.org/users/7110448/items/CK8FU3ZB"],"itemData":{"id":93,"type":"article-journal","abstract":"Abstract\n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P"},{"family":"Medici","given":"Marco"}],"issued":{"date-parts":[["2020",6,1]]}}}],"schema":"https://github.com/citation-style-language/schema/raw/master/csl-citation.json"} </w:instrText>
      </w:r>
      <w:r w:rsidR="0084323A">
        <w:rPr>
          <w:color w:val="3B3838"/>
        </w:rPr>
        <w:fldChar w:fldCharType="separate"/>
      </w:r>
      <w:r w:rsidR="0084323A">
        <w:rPr>
          <w:noProof/>
          <w:color w:val="3B3838"/>
        </w:rPr>
        <w:t>(9)</w:t>
      </w:r>
      <w:r w:rsidR="0084323A">
        <w:rPr>
          <w:color w:val="3B3838"/>
        </w:rPr>
        <w:fldChar w:fldCharType="end"/>
      </w:r>
      <w:r w:rsidR="0084323A">
        <w:rPr>
          <w:color w:val="3B3838"/>
        </w:rPr>
        <w:t xml:space="preserve">. </w:t>
      </w:r>
    </w:p>
    <w:p w14:paraId="36CDF301" w14:textId="4BF44727" w:rsidR="0084323A" w:rsidRDefault="00485D37" w:rsidP="00E50372">
      <w:pPr>
        <w:spacing w:before="30" w:line="360" w:lineRule="auto"/>
        <w:jc w:val="both"/>
        <w:rPr>
          <w:color w:val="3B3838"/>
        </w:rPr>
      </w:pPr>
      <w:r>
        <w:rPr>
          <w:color w:val="3B3838"/>
          <w:highlight w:val="white"/>
        </w:rPr>
        <w:t xml:space="preserve">     </w:t>
      </w:r>
      <w:r w:rsidR="0084323A">
        <w:rPr>
          <w:color w:val="3B3838"/>
          <w:highlight w:val="white"/>
        </w:rPr>
        <w:t>Curiosamente, variantes de genes com desconhecida função na fisiologia da tireoide (</w:t>
      </w:r>
      <w:r w:rsidR="0084323A">
        <w:rPr>
          <w:i/>
          <w:color w:val="3B3838"/>
          <w:highlight w:val="white"/>
        </w:rPr>
        <w:t>SLC17A4</w:t>
      </w:r>
      <w:r w:rsidR="0084323A">
        <w:rPr>
          <w:color w:val="3B3838"/>
          <w:highlight w:val="white"/>
        </w:rPr>
        <w:t xml:space="preserve"> e </w:t>
      </w:r>
      <w:r w:rsidR="0084323A">
        <w:rPr>
          <w:i/>
          <w:color w:val="3B3838"/>
          <w:highlight w:val="white"/>
        </w:rPr>
        <w:t>AADAT</w:t>
      </w:r>
      <w:r w:rsidR="0084323A">
        <w:rPr>
          <w:color w:val="3B3838"/>
          <w:highlight w:val="white"/>
        </w:rPr>
        <w:t>) também t</w:t>
      </w:r>
      <w:r w:rsidR="00273343">
        <w:rPr>
          <w:color w:val="3B3838"/>
          <w:highlight w:val="white"/>
        </w:rPr>
        <w:t>ê</w:t>
      </w:r>
      <w:r w:rsidR="0084323A">
        <w:rPr>
          <w:color w:val="3B3838"/>
          <w:highlight w:val="white"/>
        </w:rPr>
        <w:t>m sido reveladas em GWAS e tem ampliado a compreensão da arquitetura genética do eixo HHT</w:t>
      </w:r>
      <w:r w:rsidR="0084323A">
        <w:rPr>
          <w:color w:val="3B3838"/>
        </w:rPr>
        <w:t xml:space="preserve"> </w:t>
      </w:r>
      <w:r w:rsidR="0084323A">
        <w:rPr>
          <w:color w:val="3B3838"/>
        </w:rPr>
        <w:fldChar w:fldCharType="begin"/>
      </w:r>
      <w:r w:rsidR="00344DCD">
        <w:rPr>
          <w:color w:val="3B3838"/>
        </w:rPr>
        <w:instrText xml:space="preserve"> ADDIN ZOTERO_ITEM CSL_CITATION {"citationID":"UvHQMQju","properties":{"unsorted":true,"formattedCitation":"(18,9)","plainCitation":"(18,9)","noteIndex":0},"citationItems":[{"id":99,"uris":["http://zotero.org/users/7110448/items/3VVWNZR7"],"itemData":{"id":99,"type":"article-journal","container-title":"Nature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J."},{"family":"Medici","given":"Marco"}],"issued":{"date-parts":[["2018",12]]}},"label":"page"},{"id":93,"uris":["http://zotero.org/users/7110448/items/CK8FU3ZB"],"itemData":{"id":93,"type":"article-journal","abstract":"Abstract\n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P"},{"family":"Medici","given":"Marco"}],"issued":{"date-parts":[["2020",6,1]]}},"label":"page"}],"schema":"https://github.com/citation-style-language/schema/raw/master/csl-citation.json"} </w:instrText>
      </w:r>
      <w:r w:rsidR="0084323A">
        <w:rPr>
          <w:color w:val="3B3838"/>
        </w:rPr>
        <w:fldChar w:fldCharType="separate"/>
      </w:r>
      <w:r w:rsidR="0084323A">
        <w:rPr>
          <w:noProof/>
          <w:color w:val="3B3838"/>
        </w:rPr>
        <w:t>(18,9)</w:t>
      </w:r>
      <w:r w:rsidR="0084323A">
        <w:rPr>
          <w:color w:val="3B3838"/>
        </w:rPr>
        <w:fldChar w:fldCharType="end"/>
      </w:r>
      <w:r w:rsidR="0084323A">
        <w:rPr>
          <w:color w:val="3B3838"/>
        </w:rPr>
        <w:t xml:space="preserve">. </w:t>
      </w:r>
    </w:p>
    <w:p w14:paraId="6E5C7BD8" w14:textId="72ACB475" w:rsidR="00485D37" w:rsidRDefault="00485D37" w:rsidP="00E50372">
      <w:pPr>
        <w:spacing w:before="30" w:line="360" w:lineRule="auto"/>
        <w:jc w:val="both"/>
        <w:rPr>
          <w:color w:val="3B3838"/>
        </w:rPr>
      </w:pPr>
    </w:p>
    <w:p w14:paraId="719AE35C" w14:textId="71B64321" w:rsidR="0084323A" w:rsidRPr="00451B99" w:rsidRDefault="0084323A" w:rsidP="0084323A">
      <w:pPr>
        <w:spacing w:line="360" w:lineRule="auto"/>
        <w:rPr>
          <w:color w:val="3B3838"/>
          <w:highlight w:val="white"/>
          <w:u w:val="single"/>
        </w:rPr>
      </w:pPr>
      <w:r w:rsidRPr="00451B99">
        <w:rPr>
          <w:color w:val="3B3838"/>
          <w:highlight w:val="white"/>
          <w:u w:val="single"/>
        </w:rPr>
        <w:t>DESIODASES</w:t>
      </w:r>
    </w:p>
    <w:p w14:paraId="3F1AFD73" w14:textId="51D045D0" w:rsidR="00141E2A" w:rsidRDefault="00141E2A" w:rsidP="0084323A">
      <w:pPr>
        <w:spacing w:line="360" w:lineRule="auto"/>
        <w:rPr>
          <w:color w:val="3B3838"/>
          <w:highlight w:val="white"/>
        </w:rPr>
      </w:pPr>
    </w:p>
    <w:p w14:paraId="794D2397" w14:textId="683AD55D" w:rsidR="00485D37" w:rsidRDefault="00485D37" w:rsidP="0084323A">
      <w:pPr>
        <w:spacing w:before="30" w:line="360" w:lineRule="auto"/>
        <w:jc w:val="both"/>
        <w:rPr>
          <w:color w:val="3B3838"/>
        </w:rPr>
      </w:pPr>
      <w:r>
        <w:rPr>
          <w:color w:val="3B3838"/>
          <w:highlight w:val="white"/>
        </w:rPr>
        <w:t xml:space="preserve">     </w:t>
      </w:r>
      <w:r w:rsidR="0084323A">
        <w:rPr>
          <w:color w:val="3B3838"/>
          <w:highlight w:val="white"/>
        </w:rPr>
        <w:t xml:space="preserve">Os </w:t>
      </w:r>
      <w:r w:rsidR="00385E6B">
        <w:rPr>
          <w:color w:val="3B3838"/>
          <w:highlight w:val="white"/>
        </w:rPr>
        <w:t>hormônios tireoidianos (HT)</w:t>
      </w:r>
      <w:r w:rsidR="0084323A">
        <w:rPr>
          <w:color w:val="3B3838"/>
          <w:highlight w:val="white"/>
        </w:rPr>
        <w:t xml:space="preserve"> controlam </w:t>
      </w:r>
      <w:proofErr w:type="spellStart"/>
      <w:r w:rsidR="0084323A">
        <w:rPr>
          <w:color w:val="3B3838"/>
          <w:highlight w:val="white"/>
        </w:rPr>
        <w:t>orquestra</w:t>
      </w:r>
      <w:r w:rsidR="006333CC">
        <w:rPr>
          <w:color w:val="3B3838"/>
          <w:highlight w:val="white"/>
        </w:rPr>
        <w:t>da</w:t>
      </w:r>
      <w:r w:rsidR="0084323A">
        <w:rPr>
          <w:color w:val="3B3838"/>
          <w:highlight w:val="white"/>
        </w:rPr>
        <w:t>mente</w:t>
      </w:r>
      <w:proofErr w:type="spellEnd"/>
      <w:r w:rsidR="0084323A">
        <w:rPr>
          <w:color w:val="3B3838"/>
          <w:highlight w:val="white"/>
        </w:rPr>
        <w:t xml:space="preserve"> diversos processos e sistemas orgânicos. Embora os níveis de HT circulantes sejam estáveis, a sinalização celular é customizada por transportadores de membrana, desiodação intracelular e transcrição do gene</w:t>
      </w:r>
      <w:r w:rsidR="00385E6B">
        <w:rPr>
          <w:color w:val="3B3838"/>
          <w:highlight w:val="white"/>
        </w:rPr>
        <w:t>s</w:t>
      </w:r>
      <w:r w:rsidR="0084323A">
        <w:rPr>
          <w:color w:val="3B3838"/>
          <w:highlight w:val="white"/>
        </w:rPr>
        <w:t xml:space="preserve"> mediad</w:t>
      </w:r>
      <w:r w:rsidR="00385E6B">
        <w:rPr>
          <w:color w:val="3B3838"/>
          <w:highlight w:val="white"/>
        </w:rPr>
        <w:t>a</w:t>
      </w:r>
      <w:r w:rsidR="0084323A">
        <w:rPr>
          <w:color w:val="3B3838"/>
          <w:highlight w:val="white"/>
        </w:rPr>
        <w:t xml:space="preserve"> pelo receptor </w:t>
      </w:r>
      <w:r w:rsidR="00C24955">
        <w:rPr>
          <w:color w:val="3B3838"/>
        </w:rPr>
        <w:t>(TR)</w:t>
      </w:r>
      <w:r w:rsidR="0084323A">
        <w:rPr>
          <w:color w:val="3B3838"/>
        </w:rPr>
        <w:t xml:space="preserve"> </w:t>
      </w:r>
      <w:r w:rsidR="0084323A">
        <w:rPr>
          <w:color w:val="3B3838"/>
        </w:rPr>
        <w:fldChar w:fldCharType="begin"/>
      </w:r>
      <w:r w:rsidR="00344DCD">
        <w:rPr>
          <w:color w:val="3B3838"/>
        </w:rPr>
        <w:instrText xml:space="preserve"> ADDIN ZOTERO_ITEM CSL_CITATION {"citationID":"6Rk9r5XC","properties":{"unsorted":true,"formattedCitation":"(86,4)","plainCitation":"(86,4)","noteIndex":0},"citationItems":[{"id":41,"uris":["http://zotero.org/users/7110448/items/5P3LGRGZ"],"itemData":{"id":41,"type":"article-journal","abstract":"Cells are not passive bystanders in the process of hormonal signaling and instead can actively customize hormonal action. Thyroid hormone gains access to the intracellular environment via membrane transporters, and while diffusing from the plasma membrane to the nucleus, thyroid hormone signaling is modified via the action of the deiodinases. Although the type 2 deiodinase (D2) converts the prohormone T4 to the biologically active T3, the type 3 deiodinase (D3) converts it to reverse T3, an inactive metabolite. D3 also inactivates T3 to T2, terminating thyroid hormone action. Therefore, D2 confers cells with the capacity to produce extra amounts of T3 and thus enhances thyroid hormone signaling. In contrast expression of D3 results in the opposite action. The Dio2 and Dio3 genes undergo transcriptional regulation throughout embryonic development, childhood, and adult life. In addition, the D2 protein is unique in that it can be switched off and on via an ubiquitin regulated mechanism, triggered by catalysis of T4. Induction of D2 enhances local thyroid hormone signaling and energy expenditure during activation of brown adipose tissue by cold exposure or high-fat diet. On the other hand, induction of D3 in myocardium and brain during ischemia and hypoxia decreases energy expenditure as part of a homeostatic mechanism to slow down cell metabolism in the face of limited O2 supply.","container-title":"Endocrinology","DOI":"10.1210/en.2011-1104","ISSN":"0013-7227, 1945-7170","issue":"9","language":"en","page":"3306-3311","source":"DOI.org (Crossref)","title":"Minireview: Cracking the Metabolic Code for Thyroid Hormone Signaling","title-short":"Minireview","volume":"152","author":[{"family":"Bianco","given":"Antonio C."}],"issued":{"date-parts":[["2011",9,1]]}},"label":"page"},{"id":46,"uris":["http://zotero.org/users/7110448/items/DFR4WKE9"],"itemData":{"id":46,"type":"article-journal","container-title":"Endocrine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C"}],"issued":{"date-parts":[["2019",8,1]]}},"label":"page"}],"schema":"https://github.com/citation-style-language/schema/raw/master/csl-citation.json"} </w:instrText>
      </w:r>
      <w:r w:rsidR="0084323A">
        <w:rPr>
          <w:color w:val="3B3838"/>
        </w:rPr>
        <w:fldChar w:fldCharType="separate"/>
      </w:r>
      <w:r w:rsidR="003F06DE">
        <w:rPr>
          <w:noProof/>
          <w:color w:val="3B3838"/>
        </w:rPr>
        <w:t>(86,4)</w:t>
      </w:r>
      <w:r w:rsidR="0084323A">
        <w:rPr>
          <w:color w:val="3B3838"/>
        </w:rPr>
        <w:fldChar w:fldCharType="end"/>
      </w:r>
      <w:r w:rsidR="0084323A">
        <w:rPr>
          <w:color w:val="3B3838"/>
        </w:rPr>
        <w:t xml:space="preserve">. </w:t>
      </w:r>
      <w:r w:rsidR="0084323A">
        <w:rPr>
          <w:color w:val="3B3838"/>
          <w:highlight w:val="white"/>
        </w:rPr>
        <w:t>No interior celular, os HT podem ser ativados ou inativados pelas desiodases tipo 1, 2 ou 3, de acordo com a demanda local. A ativação ocorre pela conversão do T4 em T3, via desiodação do anel externo, e inativação pela conversão de T3 em T3r e T2, via desiodação do anel interno</w:t>
      </w:r>
      <w:r w:rsidR="0084323A">
        <w:rPr>
          <w:color w:val="3B3838"/>
        </w:rPr>
        <w:t xml:space="preserve"> </w:t>
      </w:r>
      <w:r w:rsidR="0084323A">
        <w:rPr>
          <w:color w:val="3B3838"/>
        </w:rPr>
        <w:fldChar w:fldCharType="begin"/>
      </w:r>
      <w:r w:rsidR="00344DCD">
        <w:rPr>
          <w:color w:val="3B3838"/>
        </w:rPr>
        <w:instrText xml:space="preserve"> ADDIN ZOTERO_ITEM CSL_CITATION {"citationID":"k7xa7O3s","properties":{"unsorted":true,"formattedCitation":"(86,4)","plainCitation":"(86,4)","noteIndex":0},"citationItems":[{"id":41,"uris":["http://zotero.org/users/7110448/items/5P3LGRGZ"],"itemData":{"id":41,"type":"article-journal","abstract":"Cells are not passive bystanders in the process of hormonal signaling and instead can actively customize hormonal action. Thyroid hormone gains access to the intracellular environment via membrane transporters, and while diffusing from the plasma membrane to the nucleus, thyroid hormone signaling is modified via the action of the deiodinases. Although the type 2 deiodinase (D2) converts the prohormone T4 to the biologically active T3, the type 3 deiodinase (D3) converts it to reverse T3, an inactive metabolite. D3 also inactivates T3 to T2, terminating thyroid hormone action. Therefore, D2 confers cells with the capacity to produce extra amounts of T3 and thus enhances thyroid hormone signaling. In contrast expression of D3 results in the opposite action. The Dio2 and Dio3 genes undergo transcriptional regulation throughout embryonic development, childhood, and adult life. In addition, the D2 protein is unique in that it can be switched off and on via an ubiquitin regulated mechanism, triggered by catalysis of T4. Induction of D2 enhances local thyroid hormone signaling and energy expenditure during activation of brown adipose tissue by cold exposure or high-fat diet. On the other hand, induction of D3 in myocardium and brain during ischemia and hypoxia decreases energy expenditure as part of a homeostatic mechanism to slow down cell metabolism in the face of limited O2 supply.","container-title":"Endocrinology","DOI":"10.1210/en.2011-1104","ISSN":"0013-7227, 1945-7170","issue":"9","language":"en","page":"3306-3311","source":"DOI.org (Crossref)","title":"Minireview: Cracking the Metabolic Code for Thyroid Hormone Signaling","title-short":"Minireview","volume":"152","author":[{"family":"Bianco","given":"Antonio C."}],"issued":{"date-parts":[["2011",9,1]]}},"label":"page"},{"id":46,"uris":["http://zotero.org/users/7110448/items/DFR4WKE9"],"itemData":{"id":46,"type":"article-journal","container-title":"Endocrine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C"}],"issued":{"date-parts":[["2019",8,1]]}},"label":"page"}],"schema":"https://github.com/citation-style-language/schema/raw/master/csl-citation.json"} </w:instrText>
      </w:r>
      <w:r w:rsidR="0084323A">
        <w:rPr>
          <w:color w:val="3B3838"/>
        </w:rPr>
        <w:fldChar w:fldCharType="separate"/>
      </w:r>
      <w:r w:rsidR="003F06DE">
        <w:rPr>
          <w:noProof/>
          <w:color w:val="3B3838"/>
        </w:rPr>
        <w:t>(86,4)</w:t>
      </w:r>
      <w:r w:rsidR="0084323A">
        <w:rPr>
          <w:color w:val="3B3838"/>
        </w:rPr>
        <w:fldChar w:fldCharType="end"/>
      </w:r>
      <w:r w:rsidR="0084323A">
        <w:rPr>
          <w:color w:val="3B3838"/>
        </w:rPr>
        <w:t xml:space="preserve">. </w:t>
      </w:r>
    </w:p>
    <w:p w14:paraId="55073BC2" w14:textId="5BC0212C" w:rsidR="005601CE" w:rsidRDefault="00485D37" w:rsidP="0084323A">
      <w:pPr>
        <w:spacing w:before="30" w:line="360" w:lineRule="auto"/>
        <w:jc w:val="both"/>
        <w:rPr>
          <w:color w:val="3B3838"/>
        </w:rPr>
      </w:pPr>
      <w:r>
        <w:rPr>
          <w:color w:val="3B3838"/>
        </w:rPr>
        <w:t xml:space="preserve">     </w:t>
      </w:r>
      <w:r w:rsidR="0084323A">
        <w:rPr>
          <w:color w:val="3B3838"/>
          <w:highlight w:val="white"/>
        </w:rPr>
        <w:t>As desiodases são enzimas que cont</w:t>
      </w:r>
      <w:r w:rsidR="00273343">
        <w:rPr>
          <w:color w:val="3B3838"/>
          <w:highlight w:val="white"/>
        </w:rPr>
        <w:t>ê</w:t>
      </w:r>
      <w:r w:rsidR="0084323A">
        <w:rPr>
          <w:color w:val="3B3838"/>
          <w:highlight w:val="white"/>
        </w:rPr>
        <w:t>m</w:t>
      </w:r>
      <w:r w:rsidR="00273343">
        <w:rPr>
          <w:color w:val="3B3838"/>
          <w:highlight w:val="white"/>
        </w:rPr>
        <w:t>,</w:t>
      </w:r>
      <w:r w:rsidR="0084323A">
        <w:rPr>
          <w:color w:val="3B3838"/>
          <w:highlight w:val="white"/>
        </w:rPr>
        <w:t xml:space="preserve"> no seu centro ativo</w:t>
      </w:r>
      <w:r w:rsidR="00273343">
        <w:rPr>
          <w:color w:val="3B3838"/>
          <w:highlight w:val="white"/>
        </w:rPr>
        <w:t>,</w:t>
      </w:r>
      <w:r w:rsidR="0084323A">
        <w:rPr>
          <w:color w:val="3B3838"/>
          <w:highlight w:val="white"/>
        </w:rPr>
        <w:t xml:space="preserve"> o aminoácido selenocisteína que garante eficácia nas reações de oxidação e </w:t>
      </w:r>
      <w:r w:rsidR="00273343">
        <w:rPr>
          <w:color w:val="3B3838"/>
          <w:highlight w:val="white"/>
        </w:rPr>
        <w:t xml:space="preserve">de </w:t>
      </w:r>
      <w:r w:rsidR="0084323A">
        <w:rPr>
          <w:color w:val="3B3838"/>
          <w:highlight w:val="white"/>
        </w:rPr>
        <w:t>redução, como a desiodação</w:t>
      </w:r>
      <w:r w:rsidR="003E0EBE">
        <w:rPr>
          <w:color w:val="3B3838"/>
          <w:highlight w:val="white"/>
        </w:rPr>
        <w:t xml:space="preserve"> </w:t>
      </w:r>
      <w:r w:rsidR="0084323A">
        <w:rPr>
          <w:color w:val="3B3838"/>
          <w:highlight w:val="white"/>
        </w:rPr>
        <w:t xml:space="preserve">(99). Sua </w:t>
      </w:r>
      <w:r w:rsidR="0084323A">
        <w:rPr>
          <w:color w:val="3B3838"/>
          <w:highlight w:val="white"/>
        </w:rPr>
        <w:lastRenderedPageBreak/>
        <w:t>estrutura é formada por membrana dimérica composta por um segmento N-terminal</w:t>
      </w:r>
      <w:r w:rsidR="00846E3F">
        <w:rPr>
          <w:color w:val="3B3838"/>
          <w:highlight w:val="white"/>
        </w:rPr>
        <w:t>,</w:t>
      </w:r>
      <w:r w:rsidR="0084323A">
        <w:rPr>
          <w:color w:val="3B3838"/>
          <w:highlight w:val="white"/>
        </w:rPr>
        <w:t xml:space="preserve"> conectado ao domínio globular que abriga o centro ativo</w:t>
      </w:r>
      <w:r w:rsidR="0084323A">
        <w:rPr>
          <w:color w:val="3B3838"/>
        </w:rPr>
        <w:t xml:space="preserve"> </w:t>
      </w:r>
      <w:r w:rsidR="0084323A">
        <w:rPr>
          <w:color w:val="3B3838"/>
        </w:rPr>
        <w:fldChar w:fldCharType="begin"/>
      </w:r>
      <w:r w:rsidR="00344DCD">
        <w:rPr>
          <w:color w:val="3B3838"/>
        </w:rPr>
        <w:instrText xml:space="preserve"> ADDIN ZOTERO_ITEM CSL_CITATION {"citationID":"uXghNnww","properties":{"unsorted":true,"formattedCitation":"(86,4)","plainCitation":"(86,4)","noteIndex":0},"citationItems":[{"id":41,"uris":["http://zotero.org/users/7110448/items/5P3LGRGZ"],"itemData":{"id":41,"type":"article-journal","abstract":"Cells are not passive bystanders in the process of hormonal signaling and instead can actively customize hormonal action. Thyroid hormone gains access to the intracellular environment via membrane transporters, and while diffusing from the plasma membrane to the nucleus, thyroid hormone signaling is modified via the action of the deiodinases. Although the type 2 deiodinase (D2) converts the prohormone T4 to the biologically active T3, the type 3 deiodinase (D3) converts it to reverse T3, an inactive metabolite. D3 also inactivates T3 to T2, terminating thyroid hormone action. Therefore, D2 confers cells with the capacity to produce extra amounts of T3 and thus enhances thyroid hormone signaling. In contrast expression of D3 results in the opposite action. The Dio2 and Dio3 genes undergo transcriptional regulation throughout embryonic development, childhood, and adult life. In addition, the D2 protein is unique in that it can be switched off and on via an ubiquitin regulated mechanism, triggered by catalysis of T4. Induction of D2 enhances local thyroid hormone signaling and energy expenditure during activation of brown adipose tissue by cold exposure or high-fat diet. On the other hand, induction of D3 in myocardium and brain during ischemia and hypoxia decreases energy expenditure as part of a homeostatic mechanism to slow down cell metabolism in the face of limited O2 supply.","container-title":"Endocrinology","DOI":"10.1210/en.2011-1104","ISSN":"0013-7227, 1945-7170","issue":"9","language":"en","page":"3306-3311","source":"DOI.org (Crossref)","title":"Minireview: Cracking the Metabolic Code for Thyroid Hormone Signaling","title-short":"Minireview","volume":"152","author":[{"family":"Bianco","given":"Antonio C."}],"issued":{"date-parts":[["2011",9,1]]}},"label":"page"},{"id":46,"uris":["http://zotero.org/users/7110448/items/DFR4WKE9"],"itemData":{"id":46,"type":"article-journal","container-title":"Endocrine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C"}],"issued":{"date-parts":[["2019",8,1]]}},"label":"page"}],"schema":"https://github.com/citation-style-language/schema/raw/master/csl-citation.json"} </w:instrText>
      </w:r>
      <w:r w:rsidR="0084323A">
        <w:rPr>
          <w:color w:val="3B3838"/>
        </w:rPr>
        <w:fldChar w:fldCharType="separate"/>
      </w:r>
      <w:r w:rsidR="003F06DE">
        <w:rPr>
          <w:noProof/>
          <w:color w:val="3B3838"/>
        </w:rPr>
        <w:t>(86,4)</w:t>
      </w:r>
      <w:r w:rsidR="0084323A">
        <w:rPr>
          <w:color w:val="3B3838"/>
        </w:rPr>
        <w:fldChar w:fldCharType="end"/>
      </w:r>
      <w:r w:rsidR="0084323A">
        <w:rPr>
          <w:color w:val="3B3838"/>
        </w:rPr>
        <w:t xml:space="preserve">. </w:t>
      </w:r>
    </w:p>
    <w:p w14:paraId="1CC06857" w14:textId="04CB4A8D" w:rsidR="005601CE" w:rsidRPr="005637B7" w:rsidRDefault="005601CE" w:rsidP="005601CE">
      <w:pPr>
        <w:numPr>
          <w:ilvl w:val="0"/>
          <w:numId w:val="3"/>
        </w:numPr>
        <w:pBdr>
          <w:top w:val="nil"/>
          <w:left w:val="nil"/>
          <w:bottom w:val="nil"/>
          <w:right w:val="nil"/>
          <w:between w:val="nil"/>
        </w:pBdr>
        <w:shd w:val="clear" w:color="auto" w:fill="FFFFFF"/>
        <w:spacing w:before="280" w:after="280" w:line="360" w:lineRule="auto"/>
        <w:rPr>
          <w:color w:val="2A2A2A"/>
        </w:rPr>
      </w:pPr>
      <w:r>
        <w:rPr>
          <w:color w:val="2A2A2A"/>
        </w:rPr>
        <w:t xml:space="preserve">Gene </w:t>
      </w:r>
      <w:r>
        <w:rPr>
          <w:i/>
          <w:color w:val="2A2A2A"/>
        </w:rPr>
        <w:t>DIO1</w:t>
      </w:r>
    </w:p>
    <w:p w14:paraId="568BD500" w14:textId="69914A2E" w:rsidR="005601CE" w:rsidRDefault="00485D37" w:rsidP="005601CE">
      <w:pPr>
        <w:spacing w:line="360" w:lineRule="auto"/>
        <w:jc w:val="both"/>
        <w:rPr>
          <w:color w:val="2A2A2A"/>
        </w:rPr>
      </w:pPr>
      <w:r>
        <w:rPr>
          <w:color w:val="2A2A2A"/>
        </w:rPr>
        <w:t xml:space="preserve">     </w:t>
      </w:r>
      <w:r w:rsidR="005601CE">
        <w:rPr>
          <w:color w:val="2A2A2A"/>
        </w:rPr>
        <w:t xml:space="preserve">O gene </w:t>
      </w:r>
      <w:r w:rsidR="005601CE" w:rsidRPr="00C24955">
        <w:rPr>
          <w:i/>
          <w:iCs/>
          <w:color w:val="2A2A2A"/>
        </w:rPr>
        <w:t>DIO1</w:t>
      </w:r>
      <w:r w:rsidR="005601CE">
        <w:rPr>
          <w:color w:val="2A2A2A"/>
        </w:rPr>
        <w:t xml:space="preserve"> está </w:t>
      </w:r>
      <w:r w:rsidR="00846E3F">
        <w:rPr>
          <w:color w:val="2A2A2A"/>
        </w:rPr>
        <w:t xml:space="preserve">situado </w:t>
      </w:r>
      <w:r w:rsidR="005601CE">
        <w:rPr>
          <w:color w:val="2A2A2A"/>
        </w:rPr>
        <w:t xml:space="preserve">no </w:t>
      </w:r>
      <w:proofErr w:type="spellStart"/>
      <w:r w:rsidR="009F4F33" w:rsidRPr="00E247D1">
        <w:rPr>
          <w:i/>
          <w:color w:val="2A2A2A"/>
        </w:rPr>
        <w:t>l</w:t>
      </w:r>
      <w:r w:rsidR="00846E3F" w:rsidRPr="00E247D1">
        <w:rPr>
          <w:i/>
          <w:color w:val="2A2A2A"/>
        </w:rPr>
        <w:t>o</w:t>
      </w:r>
      <w:r w:rsidR="009F4F33" w:rsidRPr="00E247D1">
        <w:rPr>
          <w:i/>
          <w:color w:val="2A2A2A"/>
        </w:rPr>
        <w:t>cus</w:t>
      </w:r>
      <w:proofErr w:type="spellEnd"/>
      <w:r w:rsidR="005601CE" w:rsidRPr="00E247D1">
        <w:rPr>
          <w:i/>
          <w:color w:val="2A2A2A"/>
        </w:rPr>
        <w:t xml:space="preserve"> </w:t>
      </w:r>
      <w:r w:rsidR="005601CE">
        <w:rPr>
          <w:color w:val="2A2A2A"/>
        </w:rPr>
        <w:t>1p32.3, é expresso no fígado e rins e codifica a desiodase tipo 1</w:t>
      </w:r>
      <w:r w:rsidR="00141E2A">
        <w:rPr>
          <w:color w:val="2A2A2A"/>
        </w:rPr>
        <w:t xml:space="preserve"> (DIO1)</w:t>
      </w:r>
      <w:r w:rsidR="005601CE">
        <w:rPr>
          <w:color w:val="2A2A2A"/>
        </w:rPr>
        <w:t xml:space="preserve">. Essa enzima está localizada na membrana celular e contribui de maneira preponderante com a concentração plasmática de T3 </w:t>
      </w:r>
      <w:r w:rsidR="005601CE">
        <w:rPr>
          <w:color w:val="2A2A2A"/>
        </w:rPr>
        <w:fldChar w:fldCharType="begin"/>
      </w:r>
      <w:r w:rsidR="00344DCD">
        <w:rPr>
          <w:color w:val="2A2A2A"/>
        </w:rPr>
        <w:instrText xml:space="preserve"> ADDIN ZOTERO_ITEM CSL_CITATION {"citationID":"YXWlHGw3","properties":{"unsorted":true,"formattedCitation":"(86,4)","plainCitation":"(86,4)","noteIndex":0},"citationItems":[{"id":41,"uris":["http://zotero.org/users/7110448/items/5P3LGRGZ"],"itemData":{"id":41,"type":"article-journal","abstract":"Cells are not passive bystanders in the process of hormonal signaling and instead can actively customize hormonal action. Thyroid hormone gains access to the intracellular environment via membrane transporters, and while diffusing from the plasma membrane to the nucleus, thyroid hormone signaling is modified via the action of the deiodinases. Although the type 2 deiodinase (D2) converts the prohormone T4 to the biologically active T3, the type 3 deiodinase (D3) converts it to reverse T3, an inactive metabolite. D3 also inactivates T3 to T2, terminating thyroid hormone action. Therefore, D2 confers cells with the capacity to produce extra amounts of T3 and thus enhances thyroid hormone signaling. In contrast expression of D3 results in the opposite action. The Dio2 and Dio3 genes undergo transcriptional regulation throughout embryonic development, childhood, and adult life. In addition, the D2 protein is unique in that it can be switched off and on via an ubiquitin regulated mechanism, triggered by catalysis of T4. Induction of D2 enhances local thyroid hormone signaling and energy expenditure during activation of brown adipose tissue by cold exposure or high-fat diet. On the other hand, induction of D3 in myocardium and brain during ischemia and hypoxia decreases energy expenditure as part of a homeostatic mechanism to slow down cell metabolism in the face of limited O2 supply.","container-title":"Endocrinology","DOI":"10.1210/en.2011-1104","ISSN":"0013-7227, 1945-7170","issue":"9","language":"en","page":"3306-3311","source":"DOI.org (Crossref)","title":"Minireview: Cracking the Metabolic Code for Thyroid Hormone Signaling","title-short":"Minireview","volume":"152","author":[{"family":"Bianco","given":"Antonio C."}],"issued":{"date-parts":[["2011",9,1]]}},"label":"page"},{"id":46,"uris":["http://zotero.org/users/7110448/items/DFR4WKE9"],"itemData":{"id":46,"type":"article-journal","container-title":"Endocrine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C"}],"issued":{"date-parts":[["2019",8,1]]}},"label":"page"}],"schema":"https://github.com/citation-style-language/schema/raw/master/csl-citation.json"} </w:instrText>
      </w:r>
      <w:r w:rsidR="005601CE">
        <w:rPr>
          <w:color w:val="2A2A2A"/>
        </w:rPr>
        <w:fldChar w:fldCharType="separate"/>
      </w:r>
      <w:r w:rsidR="003F06DE">
        <w:rPr>
          <w:noProof/>
          <w:color w:val="2A2A2A"/>
        </w:rPr>
        <w:t>(86,4)</w:t>
      </w:r>
      <w:r w:rsidR="005601CE">
        <w:rPr>
          <w:color w:val="2A2A2A"/>
        </w:rPr>
        <w:fldChar w:fldCharType="end"/>
      </w:r>
      <w:r w:rsidR="005601CE">
        <w:rPr>
          <w:color w:val="2A2A2A"/>
        </w:rPr>
        <w:t xml:space="preserve">. Por outro lado, sua baixa afinidade </w:t>
      </w:r>
      <w:r w:rsidR="00846E3F">
        <w:rPr>
          <w:color w:val="2A2A2A"/>
        </w:rPr>
        <w:t xml:space="preserve">com </w:t>
      </w:r>
      <w:r w:rsidR="005601CE">
        <w:rPr>
          <w:color w:val="2A2A2A"/>
        </w:rPr>
        <w:t xml:space="preserve">T4 e sua localização celular tornam o seu papel </w:t>
      </w:r>
      <w:r w:rsidR="00846E3F">
        <w:rPr>
          <w:color w:val="2A2A2A"/>
        </w:rPr>
        <w:t xml:space="preserve">menos relevante </w:t>
      </w:r>
      <w:r w:rsidR="005601CE">
        <w:rPr>
          <w:color w:val="2A2A2A"/>
        </w:rPr>
        <w:t>na sinalização local dos</w:t>
      </w:r>
      <w:r w:rsidR="00141E2A">
        <w:rPr>
          <w:color w:val="2A2A2A"/>
        </w:rPr>
        <w:t xml:space="preserve"> hormônios tireoidianos</w:t>
      </w:r>
      <w:r w:rsidR="005601CE">
        <w:rPr>
          <w:color w:val="2A2A2A"/>
        </w:rPr>
        <w:t xml:space="preserve"> </w:t>
      </w:r>
      <w:r w:rsidR="005601CE">
        <w:rPr>
          <w:color w:val="2A2A2A"/>
        </w:rPr>
        <w:fldChar w:fldCharType="begin"/>
      </w:r>
      <w:r w:rsidR="00344DCD">
        <w:rPr>
          <w:color w:val="2A2A2A"/>
        </w:rPr>
        <w:instrText xml:space="preserve"> ADDIN ZOTERO_ITEM CSL_CITATION {"citationID":"XV8x0nbm","properties":{"formattedCitation":"(4)","plainCitation":"(4)","noteIndex":0},"citationItems":[{"id":46,"uris":["http://zotero.org/users/7110448/items/DFR4WKE9"],"itemData":{"id":46,"type":"article-journal","container-title":"Endocrine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C"}],"issued":{"date-parts":[["2019",8,1]]}}}],"schema":"https://github.com/citation-style-language/schema/raw/master/csl-citation.json"} </w:instrText>
      </w:r>
      <w:r w:rsidR="005601CE">
        <w:rPr>
          <w:color w:val="2A2A2A"/>
        </w:rPr>
        <w:fldChar w:fldCharType="separate"/>
      </w:r>
      <w:r w:rsidR="005601CE">
        <w:rPr>
          <w:noProof/>
          <w:color w:val="2A2A2A"/>
        </w:rPr>
        <w:t>(4)</w:t>
      </w:r>
      <w:r w:rsidR="005601CE">
        <w:rPr>
          <w:color w:val="2A2A2A"/>
        </w:rPr>
        <w:fldChar w:fldCharType="end"/>
      </w:r>
      <w:r w:rsidR="005601CE">
        <w:rPr>
          <w:color w:val="2A2A2A"/>
        </w:rPr>
        <w:t>. A</w:t>
      </w:r>
      <w:r w:rsidR="00141E2A">
        <w:rPr>
          <w:color w:val="2A2A2A"/>
        </w:rPr>
        <w:t xml:space="preserve"> </w:t>
      </w:r>
      <w:r w:rsidR="005601CE">
        <w:rPr>
          <w:color w:val="2A2A2A"/>
        </w:rPr>
        <w:t>DIO1</w:t>
      </w:r>
      <w:r w:rsidR="00141E2A">
        <w:rPr>
          <w:color w:val="2A2A2A"/>
        </w:rPr>
        <w:t xml:space="preserve"> </w:t>
      </w:r>
      <w:r w:rsidR="005601CE">
        <w:rPr>
          <w:color w:val="2A2A2A"/>
        </w:rPr>
        <w:t xml:space="preserve">é capaz de desiodar o anel interno e </w:t>
      </w:r>
      <w:r w:rsidR="00846E3F">
        <w:rPr>
          <w:color w:val="2A2A2A"/>
        </w:rPr>
        <w:t xml:space="preserve">o </w:t>
      </w:r>
      <w:r w:rsidR="005601CE">
        <w:rPr>
          <w:color w:val="2A2A2A"/>
        </w:rPr>
        <w:t>externo, ativando e inativando o</w:t>
      </w:r>
      <w:r w:rsidR="00141E2A">
        <w:rPr>
          <w:color w:val="2A2A2A"/>
        </w:rPr>
        <w:t>s hormônios tireoidismos</w:t>
      </w:r>
      <w:r w:rsidR="005601CE">
        <w:rPr>
          <w:color w:val="2A2A2A"/>
        </w:rPr>
        <w:t xml:space="preserve">, produzindo T3 e T3r </w:t>
      </w:r>
      <w:r w:rsidR="005601CE">
        <w:rPr>
          <w:color w:val="2A2A2A"/>
        </w:rPr>
        <w:fldChar w:fldCharType="begin"/>
      </w:r>
      <w:r w:rsidR="00344DCD">
        <w:rPr>
          <w:color w:val="2A2A2A"/>
        </w:rPr>
        <w:instrText xml:space="preserve"> ADDIN ZOTERO_ITEM CSL_CITATION {"citationID":"uFnWxXcP","properties":{"formattedCitation":"(4)","plainCitation":"(4)","noteIndex":0},"citationItems":[{"id":46,"uris":["http://zotero.org/users/7110448/items/DFR4WKE9"],"itemData":{"id":46,"type":"article-journal","container-title":"Endocrine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C"}],"issued":{"date-parts":[["2019",8,1]]}}}],"schema":"https://github.com/citation-style-language/schema/raw/master/csl-citation.json"} </w:instrText>
      </w:r>
      <w:r w:rsidR="005601CE">
        <w:rPr>
          <w:color w:val="2A2A2A"/>
        </w:rPr>
        <w:fldChar w:fldCharType="separate"/>
      </w:r>
      <w:r w:rsidR="005601CE">
        <w:rPr>
          <w:noProof/>
          <w:color w:val="2A2A2A"/>
        </w:rPr>
        <w:t>(4)</w:t>
      </w:r>
      <w:r w:rsidR="005601CE">
        <w:rPr>
          <w:color w:val="2A2A2A"/>
        </w:rPr>
        <w:fldChar w:fldCharType="end"/>
      </w:r>
      <w:r w:rsidR="005601CE">
        <w:rPr>
          <w:color w:val="2A2A2A"/>
        </w:rPr>
        <w:t xml:space="preserve">. </w:t>
      </w:r>
    </w:p>
    <w:p w14:paraId="4E51029B" w14:textId="516CDB58" w:rsidR="005601CE" w:rsidRPr="005637B7" w:rsidRDefault="005601CE" w:rsidP="005601CE">
      <w:pPr>
        <w:numPr>
          <w:ilvl w:val="0"/>
          <w:numId w:val="3"/>
        </w:numPr>
        <w:pBdr>
          <w:top w:val="nil"/>
          <w:left w:val="nil"/>
          <w:bottom w:val="nil"/>
          <w:right w:val="nil"/>
          <w:between w:val="nil"/>
        </w:pBdr>
        <w:shd w:val="clear" w:color="auto" w:fill="FFFFFF"/>
        <w:spacing w:before="280" w:after="280" w:line="360" w:lineRule="auto"/>
        <w:rPr>
          <w:color w:val="2A2A2A"/>
        </w:rPr>
      </w:pPr>
      <w:r>
        <w:rPr>
          <w:color w:val="2A2A2A"/>
        </w:rPr>
        <w:t xml:space="preserve">Gene </w:t>
      </w:r>
      <w:r>
        <w:rPr>
          <w:i/>
          <w:color w:val="2A2A2A"/>
        </w:rPr>
        <w:t>DIO2</w:t>
      </w:r>
    </w:p>
    <w:p w14:paraId="3626CCBB" w14:textId="79D5B134" w:rsidR="00DD39CC" w:rsidRPr="00DD39CC" w:rsidRDefault="00485D37" w:rsidP="005601CE">
      <w:pPr>
        <w:spacing w:line="360" w:lineRule="auto"/>
        <w:jc w:val="both"/>
      </w:pPr>
      <w:r w:rsidRPr="00DD39CC">
        <w:rPr>
          <w:color w:val="222222"/>
        </w:rPr>
        <w:t xml:space="preserve">     </w:t>
      </w:r>
      <w:r w:rsidR="005601CE" w:rsidRPr="00DD39CC">
        <w:rPr>
          <w:color w:val="222222"/>
        </w:rPr>
        <w:t xml:space="preserve">O </w:t>
      </w:r>
      <w:r w:rsidR="005601CE" w:rsidRPr="007368F6">
        <w:rPr>
          <w:color w:val="222222"/>
        </w:rPr>
        <w:t xml:space="preserve">gene </w:t>
      </w:r>
      <w:r w:rsidR="005601CE" w:rsidRPr="007368F6">
        <w:rPr>
          <w:i/>
          <w:iCs/>
          <w:color w:val="222222"/>
        </w:rPr>
        <w:t>DIO2</w:t>
      </w:r>
      <w:r w:rsidR="00846E3F">
        <w:rPr>
          <w:i/>
          <w:iCs/>
          <w:color w:val="222222"/>
        </w:rPr>
        <w:t>,</w:t>
      </w:r>
      <w:r w:rsidR="005601CE" w:rsidRPr="00DD39CC">
        <w:rPr>
          <w:color w:val="222222"/>
        </w:rPr>
        <w:t xml:space="preserve"> </w:t>
      </w:r>
      <w:r w:rsidR="00846E3F">
        <w:rPr>
          <w:color w:val="222222"/>
        </w:rPr>
        <w:t>situ</w:t>
      </w:r>
      <w:r w:rsidR="00846E3F" w:rsidRPr="00DD39CC">
        <w:rPr>
          <w:color w:val="222222"/>
        </w:rPr>
        <w:t xml:space="preserve">ado </w:t>
      </w:r>
      <w:r w:rsidR="005601CE" w:rsidRPr="00DD39CC">
        <w:rPr>
          <w:color w:val="222222"/>
        </w:rPr>
        <w:t xml:space="preserve">no </w:t>
      </w:r>
      <w:proofErr w:type="spellStart"/>
      <w:r w:rsidR="005601CE" w:rsidRPr="00E247D1">
        <w:rPr>
          <w:i/>
          <w:color w:val="222222"/>
        </w:rPr>
        <w:t>l</w:t>
      </w:r>
      <w:r w:rsidR="00846E3F">
        <w:rPr>
          <w:i/>
          <w:color w:val="222222"/>
        </w:rPr>
        <w:t>o</w:t>
      </w:r>
      <w:r w:rsidR="00C24955" w:rsidRPr="00E247D1">
        <w:rPr>
          <w:i/>
          <w:color w:val="222222"/>
        </w:rPr>
        <w:t>cus</w:t>
      </w:r>
      <w:proofErr w:type="spellEnd"/>
      <w:r w:rsidR="005601CE" w:rsidRPr="00DD39CC">
        <w:rPr>
          <w:color w:val="222222"/>
        </w:rPr>
        <w:t xml:space="preserve"> 14q31.1</w:t>
      </w:r>
      <w:r w:rsidR="00846E3F">
        <w:rPr>
          <w:color w:val="222222"/>
        </w:rPr>
        <w:t>,</w:t>
      </w:r>
      <w:r w:rsidR="005601CE" w:rsidRPr="00DD39CC">
        <w:rPr>
          <w:color w:val="222222"/>
        </w:rPr>
        <w:t xml:space="preserve"> é expresso principalmente no cérebro, </w:t>
      </w:r>
      <w:r w:rsidR="00846E3F">
        <w:rPr>
          <w:color w:val="222222"/>
        </w:rPr>
        <w:t xml:space="preserve">na </w:t>
      </w:r>
      <w:r w:rsidR="005601CE" w:rsidRPr="00DD39CC">
        <w:rPr>
          <w:color w:val="222222"/>
        </w:rPr>
        <w:t xml:space="preserve">hipófise, </w:t>
      </w:r>
      <w:r w:rsidR="00846E3F">
        <w:rPr>
          <w:color w:val="222222"/>
        </w:rPr>
        <w:t xml:space="preserve">no </w:t>
      </w:r>
      <w:r w:rsidR="005601CE" w:rsidRPr="00DD39CC">
        <w:rPr>
          <w:color w:val="222222"/>
        </w:rPr>
        <w:t xml:space="preserve">tecido adiposo marrom e </w:t>
      </w:r>
      <w:r w:rsidR="00846E3F">
        <w:rPr>
          <w:color w:val="222222"/>
        </w:rPr>
        <w:t xml:space="preserve">no </w:t>
      </w:r>
      <w:r w:rsidR="005601CE" w:rsidRPr="00DD39CC">
        <w:rPr>
          <w:color w:val="222222"/>
        </w:rPr>
        <w:t>m</w:t>
      </w:r>
      <w:r w:rsidR="00141E2A">
        <w:rPr>
          <w:color w:val="222222"/>
        </w:rPr>
        <w:t>ú</w:t>
      </w:r>
      <w:r w:rsidR="005601CE" w:rsidRPr="00DD39CC">
        <w:rPr>
          <w:color w:val="222222"/>
        </w:rPr>
        <w:t>sculo</w:t>
      </w:r>
      <w:r w:rsidR="00846E3F">
        <w:rPr>
          <w:color w:val="222222"/>
        </w:rPr>
        <w:t xml:space="preserve"> </w:t>
      </w:r>
      <w:r w:rsidR="005601CE" w:rsidRPr="00DD39CC">
        <w:rPr>
          <w:color w:val="222222"/>
        </w:rPr>
        <w:t xml:space="preserve">esquelético </w:t>
      </w:r>
      <w:r w:rsidR="005601CE" w:rsidRPr="00DD39CC">
        <w:rPr>
          <w:color w:val="222222"/>
        </w:rPr>
        <w:fldChar w:fldCharType="begin"/>
      </w:r>
      <w:r w:rsidR="00344DCD">
        <w:rPr>
          <w:color w:val="222222"/>
        </w:rPr>
        <w:instrText xml:space="preserve"> ADDIN ZOTERO_ITEM CSL_CITATION {"citationID":"ZSi4EOz2","properties":{"formattedCitation":"(4)","plainCitation":"(4)","noteIndex":0},"citationItems":[{"id":46,"uris":["http://zotero.org/users/7110448/items/DFR4WKE9"],"itemData":{"id":46,"type":"article-journal","container-title":"Endocrine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C"}],"issued":{"date-parts":[["2019",8,1]]}}}],"schema":"https://github.com/citation-style-language/schema/raw/master/csl-citation.json"} </w:instrText>
      </w:r>
      <w:r w:rsidR="005601CE" w:rsidRPr="00DD39CC">
        <w:rPr>
          <w:color w:val="222222"/>
        </w:rPr>
        <w:fldChar w:fldCharType="separate"/>
      </w:r>
      <w:r w:rsidR="005601CE" w:rsidRPr="00DD39CC">
        <w:rPr>
          <w:noProof/>
          <w:color w:val="222222"/>
        </w:rPr>
        <w:t>(4)</w:t>
      </w:r>
      <w:r w:rsidR="005601CE" w:rsidRPr="00DD39CC">
        <w:rPr>
          <w:color w:val="222222"/>
        </w:rPr>
        <w:fldChar w:fldCharType="end"/>
      </w:r>
      <w:r w:rsidR="005601CE" w:rsidRPr="00DD39CC">
        <w:rPr>
          <w:color w:val="222222"/>
        </w:rPr>
        <w:t xml:space="preserve">. </w:t>
      </w:r>
      <w:r w:rsidR="00444CFD" w:rsidRPr="00DD39CC">
        <w:rPr>
          <w:color w:val="222222"/>
        </w:rPr>
        <w:t>Codifica a desiodase tipo 2</w:t>
      </w:r>
      <w:r w:rsidR="00141E2A">
        <w:rPr>
          <w:color w:val="222222"/>
        </w:rPr>
        <w:t xml:space="preserve"> (DIO2)</w:t>
      </w:r>
      <w:r w:rsidR="00444CFD" w:rsidRPr="00DD39CC">
        <w:rPr>
          <w:color w:val="222222"/>
        </w:rPr>
        <w:t>, enzima residente no retículo endoplasmático nas proximidades do compartimento nuclear. Tem maior afinidade por T4</w:t>
      </w:r>
      <w:r w:rsidR="00846E3F">
        <w:rPr>
          <w:color w:val="222222"/>
        </w:rPr>
        <w:t>,</w:t>
      </w:r>
      <w:r w:rsidR="00444CFD" w:rsidRPr="00DD39CC">
        <w:rPr>
          <w:color w:val="222222"/>
        </w:rPr>
        <w:t xml:space="preserve"> quando comparada a DIO1</w:t>
      </w:r>
      <w:r w:rsidR="00541115" w:rsidRPr="00DD39CC">
        <w:rPr>
          <w:color w:val="222222"/>
        </w:rPr>
        <w:t xml:space="preserve">. </w:t>
      </w:r>
      <w:r w:rsidR="00DD39CC" w:rsidRPr="00DD39CC">
        <w:rPr>
          <w:color w:val="222222"/>
        </w:rPr>
        <w:t>A atividade da DIO2 é regulada por estressores metabólicos, como frio e est</w:t>
      </w:r>
      <w:r w:rsidR="00141E2A">
        <w:rPr>
          <w:color w:val="222222"/>
        </w:rPr>
        <w:t>í</w:t>
      </w:r>
      <w:r w:rsidR="00DD39CC" w:rsidRPr="00DD39CC">
        <w:rPr>
          <w:color w:val="222222"/>
        </w:rPr>
        <w:t>mul</w:t>
      </w:r>
      <w:r w:rsidR="00DD39CC">
        <w:rPr>
          <w:color w:val="222222"/>
        </w:rPr>
        <w:t>o</w:t>
      </w:r>
      <w:r w:rsidR="00DD39CC" w:rsidRPr="00DD39CC">
        <w:rPr>
          <w:color w:val="222222"/>
        </w:rPr>
        <w:t xml:space="preserve"> adrenérgic</w:t>
      </w:r>
      <w:r w:rsidR="00DD39CC">
        <w:rPr>
          <w:color w:val="222222"/>
        </w:rPr>
        <w:t>o</w:t>
      </w:r>
      <w:r w:rsidR="00DD39CC" w:rsidRPr="00DD39CC">
        <w:rPr>
          <w:color w:val="222222"/>
        </w:rPr>
        <w:t>, via geração de AMPc intracelular</w:t>
      </w:r>
      <w:r w:rsidR="00DD39CC">
        <w:rPr>
          <w:color w:val="222222"/>
        </w:rPr>
        <w:t xml:space="preserve"> </w:t>
      </w:r>
      <w:r w:rsidR="00DD39CC" w:rsidRPr="00DD39CC">
        <w:rPr>
          <w:color w:val="222222"/>
        </w:rPr>
        <w:fldChar w:fldCharType="begin"/>
      </w:r>
      <w:r w:rsidR="003F06DE">
        <w:rPr>
          <w:color w:val="222222"/>
        </w:rPr>
        <w:instrText xml:space="preserve"> ADDIN ZOTERO_ITEM CSL_CITATION {"citationID":"XPBYL2Ul","properties":{"formattedCitation":"(87)","plainCitation":"(87)","noteIndex":0},"citationItems":[{"id":1974,"uris":["http://zotero.org/users/7110448/items/V7E62LY2"],"itemData":{"id":1974,"type":"article-journal","abstract":"Thyroid hormone action is an important determinant of energy and glucose metabolism. T4 metabolism is regulated by the deiodinases of which type 2 is expressed in humans in skeletal muscle and brown adipose tissue, where its transcription is stimulated by the beta-3 adrenergic pathway. We performed molecular scanning of the human type 2 deiodinase (DIO2) gene and evaluated a novel variant for associations with obesity and insulin resistance, assessing both the main effect and interaction with the Trp64Arg beta-3--adrenergic receptor (ADRB3) variant. Molecular scanning of DIO2 in 50 obese Caucasians demonstrated a Thr92Ala variant. Association studies in 972 nondiabetic patients, 135 of whom underwent euglycemic-hyperinsulinemic clamps, showed that subjects with the Thr92Ala variant had lower glucose disposal rate (0.54 plus minus 0.02 mg center dot min(-1) center dot kg(-1) fat-free mass Ala92 homozygotes vs. 0.44 plus minus 0.02 Ala92 heterozygotes vs. 0.42 plus minus 0.04 Thr92 homozygotes, P = 0.0088). Association analysis of the entire group showed significant evidence for a synergistic effect between the Thr92Ala DIO2 and Trp64Arg ADRB3 variants on BMI (both variants 34.3 plus minus 0.9 kg/m(2) vs. neither variant 33.1 plus minus 0.4 kg/m(2), P = 0.04 for interaction). To our knowledge, Thr92Ala is the first description of a missense mutation of DIO2. This variant strongly associates with insulin resistance and, in subjects with the Trp64Arg ADRB3 variant, an increased BMI, suggesting an interaction between these two common gene variants.","container-title":"Diabetes","DOI":"10.2337/diabetes.51.3.880","ISSN":"0012-1797","issue":"3","journalAbbreviation":"Diabetes","language":"eng","note":"PMID: 11872697","page":"880-883","source":"PubMed","title":"Association between a novel variant of the human type 2 deiodinase gene Thr92Ala and insulin resistance: evidence of interaction with the Trp64Arg variant of the beta-3-adrenergic receptor","title-short":"Association between a novel variant of the human type 2 deiodinase gene Thr92Ala and insulin resistance","volume":"51","author":[{"family":"Mentuccia","given":"Daniela"},{"family":"Proietti-Pannunzi","given":"Laura"},{"family":"Tanner","given":"Keith"},{"family":"Bacci","given":"Vincenzo"},{"family":"Pollin","given":"Toni I."},{"family":"Poehlman","given":"Eric T."},{"family":"Shuldiner","given":"Alan R."},{"family":"Celi","given":"Francesco S."}],"issued":{"date-parts":[["2002",3]]}}}],"schema":"https://github.com/citation-style-language/schema/raw/master/csl-citation.json"} </w:instrText>
      </w:r>
      <w:r w:rsidR="00DD39CC" w:rsidRPr="00DD39CC">
        <w:rPr>
          <w:color w:val="222222"/>
        </w:rPr>
        <w:fldChar w:fldCharType="separate"/>
      </w:r>
      <w:r w:rsidR="003F06DE">
        <w:rPr>
          <w:noProof/>
          <w:color w:val="222222"/>
        </w:rPr>
        <w:t>(87)</w:t>
      </w:r>
      <w:r w:rsidR="00DD39CC" w:rsidRPr="00DD39CC">
        <w:rPr>
          <w:color w:val="222222"/>
        </w:rPr>
        <w:fldChar w:fldCharType="end"/>
      </w:r>
      <w:r w:rsidR="00DD39CC">
        <w:rPr>
          <w:color w:val="222222"/>
        </w:rPr>
        <w:t xml:space="preserve">. </w:t>
      </w:r>
    </w:p>
    <w:p w14:paraId="06E0C854" w14:textId="05D3F801" w:rsidR="005637B7" w:rsidRPr="009342A3" w:rsidRDefault="00DD39CC" w:rsidP="00485D37">
      <w:pPr>
        <w:spacing w:line="360" w:lineRule="auto"/>
        <w:jc w:val="both"/>
        <w:rPr>
          <w:color w:val="222222"/>
        </w:rPr>
      </w:pPr>
      <w:r>
        <w:rPr>
          <w:color w:val="222222"/>
        </w:rPr>
        <w:t xml:space="preserve">     </w:t>
      </w:r>
      <w:r w:rsidR="00541115">
        <w:rPr>
          <w:color w:val="222222"/>
        </w:rPr>
        <w:t>O T3</w:t>
      </w:r>
      <w:r w:rsidR="00846E3F">
        <w:rPr>
          <w:color w:val="222222"/>
        </w:rPr>
        <w:t>,</w:t>
      </w:r>
      <w:r w:rsidR="00541115">
        <w:rPr>
          <w:color w:val="222222"/>
        </w:rPr>
        <w:t xml:space="preserve"> decorrente da conversão do T4 pela DIO2</w:t>
      </w:r>
      <w:r w:rsidR="00846E3F">
        <w:rPr>
          <w:color w:val="222222"/>
        </w:rPr>
        <w:t>,</w:t>
      </w:r>
      <w:r w:rsidR="00541115">
        <w:rPr>
          <w:color w:val="222222"/>
        </w:rPr>
        <w:t xml:space="preserve"> fica prontamente disponível no citosol, próximo ao núcleo e seu receptor (TR), assumindo o papel mais importante na sinalização local dos HT </w:t>
      </w:r>
      <w:r w:rsidR="00541115">
        <w:rPr>
          <w:color w:val="222222"/>
        </w:rPr>
        <w:fldChar w:fldCharType="begin"/>
      </w:r>
      <w:r w:rsidR="00344DCD">
        <w:rPr>
          <w:color w:val="222222"/>
        </w:rPr>
        <w:instrText xml:space="preserve"> ADDIN ZOTERO_ITEM CSL_CITATION {"citationID":"dFoNattX","properties":{"unsorted":true,"formattedCitation":"(88,4)","plainCitation":"(88,4)","noteIndex":0},"citationItems":[{"id":1272,"uris":["http://zotero.org/users/7110448/items/I4T9FG6I"],"itemData":{"id":1272,"type":"article-journal","abstract":"Thyroxine (T4) is a prohormone secreted by the thyroid. T4 has a long half life in circulation and it is tightly regulated to remain constant in a variety of circumstances. However, the availability of iodothyronine selenodeiodinases allow both the initiation or the cessation of thyroid hormone action and can result in surprisingly acute changes in the intracellular concentration of the active hormone T3, in a tissue-specific and chronologically-determined fashion, in spite of the constant circulating levels of the prohormone. This fine-tuning of thyroid hormone signaling is becoming widely appreciated in the context of situations where the rapid modifications in intracellular T3 concentrations are necessary for developmental changes or tissue repair. Given the increasing availability of genetic models of deiodinase deficiency, new insights into the role of these important enzymes are being recognized. In this review, we have incorporated new information regarding the special role played by these enzymes into our current knowledge of thyroid physiology, emphasizing the clinical significance of these new insights.","container-title":"Journal of endocrinological investigation","DOI":"10.3275/7615","ISSN":"0391-4097","issue":"5","journalAbbreviation":"J Endocrinol Invest","note":"PMID: 21427525\nPMCID: PMC3687787","page":"395-407","source":"PubMed Central","title":"Physiological role and regulation of iodothyronine deiodinases: a 2011 update","title-short":"Physiological role and regulation of iodothyronine deiodinases","volume":"34","author":[{"family":"Marsili","given":"Alessandro"},{"family":"Zavacki","given":"Ann Marie"},{"family":"Harney","given":"John W."},{"family":"Larsen","given":"P. Reed"}],"issued":{"date-parts":[["2011",5]]}},"label":"page"},{"id":46,"uris":["http://zotero.org/users/7110448/items/DFR4WKE9"],"itemData":{"id":46,"type":"article-journal","container-title":"Endocrine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C"}],"issued":{"date-parts":[["2019",8,1]]}},"label":"page"}],"schema":"https://github.com/citation-style-language/schema/raw/master/csl-citation.json"} </w:instrText>
      </w:r>
      <w:r w:rsidR="00541115">
        <w:rPr>
          <w:color w:val="222222"/>
        </w:rPr>
        <w:fldChar w:fldCharType="separate"/>
      </w:r>
      <w:r w:rsidR="003F06DE">
        <w:rPr>
          <w:noProof/>
          <w:color w:val="222222"/>
        </w:rPr>
        <w:t>(88,4)</w:t>
      </w:r>
      <w:r w:rsidR="00541115">
        <w:rPr>
          <w:color w:val="222222"/>
        </w:rPr>
        <w:fldChar w:fldCharType="end"/>
      </w:r>
      <w:r w:rsidR="00541115">
        <w:rPr>
          <w:color w:val="222222"/>
        </w:rPr>
        <w:t xml:space="preserve">. </w:t>
      </w:r>
      <w:r w:rsidR="00541115" w:rsidRPr="00846E3F">
        <w:rPr>
          <w:color w:val="222222"/>
        </w:rPr>
        <w:t xml:space="preserve">A atividade da DIO2 é </w:t>
      </w:r>
      <w:r w:rsidR="00EE333A" w:rsidRPr="00846E3F">
        <w:rPr>
          <w:color w:val="222222"/>
        </w:rPr>
        <w:t xml:space="preserve">modulada pela concentração intracelular de T4 </w:t>
      </w:r>
      <w:r w:rsidR="00541115" w:rsidRPr="00846E3F">
        <w:rPr>
          <w:color w:val="222222"/>
        </w:rPr>
        <w:fldChar w:fldCharType="begin"/>
      </w:r>
      <w:r w:rsidR="00344DCD" w:rsidRPr="00846E3F">
        <w:rPr>
          <w:color w:val="222222"/>
        </w:rPr>
        <w:instrText xml:space="preserve"> ADDIN ZOTERO_ITEM CSL_CITATION {"citationID":"iVyv3wa8","properties":{"formattedCitation":"(4)","plainCitation":"(4)","noteIndex":0},"citationItems":[{"id":46,"uris":["http://zotero.org/users/7110448/items/DFR4WKE9"],"itemData":{"id":46,"type":"article-journal","container-title":"Endocrine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C"}],"issued":{"date-parts":[["2019",8,1]]}}}],"schema":"https://github.com/citation-style-language/schema/raw/master/csl-citation.json"} </w:instrText>
      </w:r>
      <w:r w:rsidR="00541115" w:rsidRPr="00846E3F">
        <w:rPr>
          <w:color w:val="222222"/>
        </w:rPr>
        <w:fldChar w:fldCharType="separate"/>
      </w:r>
      <w:r w:rsidR="00541115" w:rsidRPr="00846E3F">
        <w:rPr>
          <w:noProof/>
          <w:color w:val="222222"/>
        </w:rPr>
        <w:t>(4)</w:t>
      </w:r>
      <w:r w:rsidR="00541115" w:rsidRPr="00846E3F">
        <w:rPr>
          <w:color w:val="222222"/>
        </w:rPr>
        <w:fldChar w:fldCharType="end"/>
      </w:r>
      <w:r w:rsidR="00541115" w:rsidRPr="00846E3F">
        <w:rPr>
          <w:color w:val="222222"/>
        </w:rPr>
        <w:t>. Na presença de alta concentração</w:t>
      </w:r>
      <w:r w:rsidR="00EE333A" w:rsidRPr="00A663FF">
        <w:rPr>
          <w:color w:val="222222"/>
        </w:rPr>
        <w:t xml:space="preserve"> </w:t>
      </w:r>
      <w:r w:rsidR="00541115" w:rsidRPr="00A663FF">
        <w:rPr>
          <w:color w:val="222222"/>
        </w:rPr>
        <w:t xml:space="preserve">de T4, a DIO2 pode ser desativada via processo de ubiquitinação. Isso justifica a meia-vida variável da DIO2, entre 20 minutos e algumas horas, dependendo da concentração celular </w:t>
      </w:r>
      <w:r w:rsidR="00EE333A" w:rsidRPr="00874A69">
        <w:rPr>
          <w:color w:val="222222"/>
        </w:rPr>
        <w:t>do seu substrato</w:t>
      </w:r>
      <w:r w:rsidR="00541115" w:rsidRPr="00874A69">
        <w:rPr>
          <w:color w:val="222222"/>
        </w:rPr>
        <w:t xml:space="preserve"> </w:t>
      </w:r>
      <w:r w:rsidR="00541115" w:rsidRPr="00846E3F">
        <w:rPr>
          <w:color w:val="222222"/>
        </w:rPr>
        <w:fldChar w:fldCharType="begin"/>
      </w:r>
      <w:r w:rsidR="00344DCD" w:rsidRPr="00846E3F">
        <w:rPr>
          <w:color w:val="222222"/>
        </w:rPr>
        <w:instrText xml:space="preserve"> ADDIN ZOTERO_ITEM CSL_CITATION {"citationID":"rcODvAST","properties":{"unsorted":true,"formattedCitation":"(89,4)","plainCitation":"(89,4)","noteIndex":0},"citationItems":[{"id":784,"uris":["http://zotero.org/users/7110448/items/9VBRJTNV"],"itemData":{"id":784,"type":"article-journal","abstract":"PURPOSE OF REVIEW: To assess new findings and clinical implications of deiodinase gene polymorphism. Deiodinases are enzymes that can activate or inactivate thyroid hormone molecules. Whereas the types 1 and 2 deiodinase (D1 and D2) activate thyroxine (T4) to 3,5,3'-triiodothyronine (T3) via deiodination of T4's outer ring, D1 and D3 inactivate both T4 and T3 and terminate thyroid hormone action via deiodination of T4's inner molecular ring. A number of polymorphisms have been identified in the three deiodinase genes; the most investigated and likely to have clinical relevance is the Thr92 substitution for Ala substitution in DIO2 (Thr92Ala-DIO2). There are a number of reports describing the association between the Thr92Ala-DIO2 polymorphism and clinical syndromes that include hypertension, type 2 diabetes, mental disorders, lung injury, bone turnover, and autoimmune thyroid disease; but these associations have not been reproduced in all population studies.\nRECENT FINDINGS: A new report indicates that carriers of the Thr92Ala-DIO2 polymorphism exhibit lower D2 catalytic activity and localized/systemic hypothyroidism. This could explain why certain groups of levothyroxine-treated hypothyroid patients have improved quality of life when also treated with liothyronine (LT3). Furthermore, Ala92-D2 was abnormally found in the Golgi apparatus, what could constitute a disease mechanism independent of T3 signaling. Indeed, brain samples of Thr92Ala-DIO2 carriers exhibit gene profiles suggestive of brain degenerative disease. In addition, African American carriers of Thr92Ala-DIO2 exhibit an about 30% higher risk of developing Alzheimer's disease.\nSUMMARY: The finding of deiodinase polymorphisms that can diminish thyroid hormone signaling and/or disrupt normal cellular function opens the door to customized treatment of hypothyroidism. Future studies should explore how the racial background modulates the clinical relevance of the Thr92Ala-DIO2 gene polymorphism.","container-title":"Current Opinion in Endocrinology, Diabetes, and Obesity","DOI":"10.1097/MED.0000000000000428","ISSN":"1752-2978","issue":"5","journalAbbreviation":"Curr Opin Endocrinol Diabetes Obes","language":"eng","note":"PMID: 30063552\nPMCID: PMC6571023","page":"341-346","source":"PubMed","title":"Pathophysiological relevance of deiodinase polymorphism","volume":"25","author":[{"family":"Bianco","given":"Antonio C."},{"family":"Kim","given":"Brian S."}],"issued":{"date-parts":[["2018",10]]}},"label":"page"},{"id":46,"uris":["http://zotero.org/users/7110448/items/DFR4WKE9"],"itemData":{"id":46,"type":"article-journal","container-title":"Endocrine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C"}],"issued":{"date-parts":[["2019",8,1]]}},"label":"page"}],"schema":"https://github.com/citation-style-language/schema/raw/master/csl-citation.json"} </w:instrText>
      </w:r>
      <w:r w:rsidR="00541115" w:rsidRPr="00846E3F">
        <w:rPr>
          <w:color w:val="222222"/>
        </w:rPr>
        <w:fldChar w:fldCharType="separate"/>
      </w:r>
      <w:r w:rsidR="003F06DE" w:rsidRPr="00846E3F">
        <w:rPr>
          <w:noProof/>
          <w:color w:val="222222"/>
        </w:rPr>
        <w:t>(89,4)</w:t>
      </w:r>
      <w:r w:rsidR="00541115" w:rsidRPr="00846E3F">
        <w:rPr>
          <w:color w:val="222222"/>
        </w:rPr>
        <w:fldChar w:fldCharType="end"/>
      </w:r>
      <w:r w:rsidR="00541115" w:rsidRPr="00846E3F">
        <w:rPr>
          <w:color w:val="222222"/>
        </w:rPr>
        <w:t>.</w:t>
      </w:r>
    </w:p>
    <w:p w14:paraId="212A7970" w14:textId="77777777" w:rsidR="00EE333A" w:rsidRDefault="00EE333A" w:rsidP="00485D37">
      <w:pPr>
        <w:spacing w:line="360" w:lineRule="auto"/>
        <w:jc w:val="both"/>
        <w:rPr>
          <w:i/>
          <w:color w:val="222222"/>
        </w:rPr>
      </w:pPr>
    </w:p>
    <w:p w14:paraId="43E3E570" w14:textId="7871E720" w:rsidR="00541115" w:rsidRPr="005637B7" w:rsidRDefault="00541115" w:rsidP="00541115">
      <w:pPr>
        <w:numPr>
          <w:ilvl w:val="0"/>
          <w:numId w:val="4"/>
        </w:numPr>
        <w:pBdr>
          <w:top w:val="nil"/>
          <w:left w:val="nil"/>
          <w:bottom w:val="nil"/>
          <w:right w:val="nil"/>
          <w:between w:val="nil"/>
        </w:pBdr>
        <w:spacing w:before="30" w:after="200" w:line="360" w:lineRule="auto"/>
        <w:rPr>
          <w:color w:val="222222"/>
        </w:rPr>
      </w:pPr>
      <w:r>
        <w:rPr>
          <w:color w:val="222222"/>
        </w:rPr>
        <w:t xml:space="preserve">Gene </w:t>
      </w:r>
      <w:r>
        <w:rPr>
          <w:i/>
          <w:color w:val="222222"/>
        </w:rPr>
        <w:t>SCL17A4</w:t>
      </w:r>
    </w:p>
    <w:p w14:paraId="4EFA0B7F" w14:textId="7BBCF40A" w:rsidR="0018088D" w:rsidRPr="00221668" w:rsidRDefault="00485D37" w:rsidP="0018088D">
      <w:pPr>
        <w:spacing w:before="30" w:line="360" w:lineRule="auto"/>
        <w:jc w:val="both"/>
        <w:rPr>
          <w:color w:val="222222"/>
        </w:rPr>
      </w:pPr>
      <w:r>
        <w:rPr>
          <w:color w:val="222222"/>
        </w:rPr>
        <w:t xml:space="preserve">     </w:t>
      </w:r>
      <w:r w:rsidR="00541115" w:rsidRPr="00221668">
        <w:rPr>
          <w:color w:val="222222"/>
        </w:rPr>
        <w:t xml:space="preserve">Os transportadores de </w:t>
      </w:r>
      <w:r w:rsidR="00141E2A" w:rsidRPr="00221668">
        <w:rPr>
          <w:color w:val="222222"/>
        </w:rPr>
        <w:t xml:space="preserve">hormônios tireoidianos </w:t>
      </w:r>
      <w:r w:rsidR="00541115" w:rsidRPr="00221668">
        <w:rPr>
          <w:color w:val="222222"/>
        </w:rPr>
        <w:t xml:space="preserve">na membrana plasmática controlam a sua biodisponibilidade intracelular </w:t>
      </w:r>
      <w:r w:rsidR="00541115" w:rsidRPr="00221668">
        <w:rPr>
          <w:color w:val="222222"/>
        </w:rPr>
        <w:fldChar w:fldCharType="begin"/>
      </w:r>
      <w:r w:rsidR="003F06DE" w:rsidRPr="00221668">
        <w:rPr>
          <w:color w:val="222222"/>
        </w:rPr>
        <w:instrText xml:space="preserve"> ADDIN ZOTERO_ITEM CSL_CITATION {"citationID":"W50MEndG","properties":{"formattedCitation":"(90)","plainCitation":"(90)","noteIndex":0},"citationItems":[{"id":624,"uris":["http://zotero.org/users/7110448/items/KI9TD3NS"],"itemData":{"id":624,"type":"article-journal","abstract":"Thyroid hormone transporters at the plasma membrane govern intracellular bioavailability of thyroid hormone. Monocarboxylate transporter (MCT) 8 and MCT10, organic anion transporting polypeptide (OATP) 1C1, and SLC17A4 are currently known as transporters displaying the highest specificity toward thyroid hormones. Structure-function studies using homology modeling and mutational screens have led to better understanding of the molecular basis of thyroid hormone transport. Mutations in MCT8 and in OATP1C1 have been associated with clinical disorders. Different animal models have provided insight into the functional role of thyroid hormone transporters, in particular MCT8. Different treatment strategies for MCT8 deficiency have been explored, of which thyroid hormone analogue therapy is currently applied in patients. Future studies may reveal the identity of as-yet-undiscovered thyroid hormone transporters. Complementary studies employing animal and human models will provide further insight into the role of transporters in health and disease. (Endocrine Reviews 41: 1 - 55, 2020).","container-title":"Endocrine Reviews","DOI":"10.1210/endrev/bnz008","ISSN":"1945-7189","issue":"2","journalAbbreviation":"Endocr Rev","language":"eng","note":"PMID: 31754699","page":"bnz008","source":"PubMed","title":"Thyroid Hormone Transporters","volume":"41","author":[{"family":"Groeneweg","given":"Stefan"},{"family":"Geest","given":"Ferdy S.","non-dropping-particle":"van"},{"family":"Peeters","given":"Robin P."},{"family":"Heuer","given":"Heike"},{"family":"Visser","given":"W. Edward"}],"issued":{"date-parts":[["2020",4,1]]}}}],"schema":"https://github.com/citation-style-language/schema/raw/master/csl-citation.json"} </w:instrText>
      </w:r>
      <w:r w:rsidR="00541115" w:rsidRPr="00221668">
        <w:rPr>
          <w:color w:val="222222"/>
        </w:rPr>
        <w:fldChar w:fldCharType="separate"/>
      </w:r>
      <w:r w:rsidR="003F06DE" w:rsidRPr="00221668">
        <w:rPr>
          <w:noProof/>
          <w:color w:val="222222"/>
        </w:rPr>
        <w:t>(90)</w:t>
      </w:r>
      <w:r w:rsidR="00541115" w:rsidRPr="00221668">
        <w:rPr>
          <w:color w:val="222222"/>
        </w:rPr>
        <w:fldChar w:fldCharType="end"/>
      </w:r>
      <w:r w:rsidR="00541115" w:rsidRPr="00221668">
        <w:rPr>
          <w:color w:val="222222"/>
        </w:rPr>
        <w:t xml:space="preserve">. A bicamada lipídica celular que forma a membrana plasmática é relativamente impermeável aos </w:t>
      </w:r>
      <w:r w:rsidR="00141E2A" w:rsidRPr="00221668">
        <w:rPr>
          <w:color w:val="222222"/>
        </w:rPr>
        <w:t>hormônios tireoidianos</w:t>
      </w:r>
      <w:r w:rsidR="00541115" w:rsidRPr="00221668">
        <w:rPr>
          <w:color w:val="222222"/>
        </w:rPr>
        <w:t xml:space="preserve">, portanto, sua captação e </w:t>
      </w:r>
      <w:r w:rsidR="00221668">
        <w:rPr>
          <w:color w:val="222222"/>
        </w:rPr>
        <w:t xml:space="preserve">seu </w:t>
      </w:r>
      <w:r w:rsidR="00541115" w:rsidRPr="00221668">
        <w:rPr>
          <w:color w:val="222222"/>
        </w:rPr>
        <w:t>efluxo dependem des</w:t>
      </w:r>
      <w:r w:rsidR="00221668">
        <w:rPr>
          <w:color w:val="222222"/>
        </w:rPr>
        <w:t>s</w:t>
      </w:r>
      <w:r w:rsidR="00541115" w:rsidRPr="00221668">
        <w:rPr>
          <w:color w:val="222222"/>
        </w:rPr>
        <w:t>es transportadores</w:t>
      </w:r>
      <w:r w:rsidR="00E93099" w:rsidRPr="00221668">
        <w:rPr>
          <w:color w:val="222222"/>
        </w:rPr>
        <w:t xml:space="preserve"> </w:t>
      </w:r>
      <w:r w:rsidR="00E93099" w:rsidRPr="00221668">
        <w:rPr>
          <w:color w:val="222222"/>
        </w:rPr>
        <w:fldChar w:fldCharType="begin"/>
      </w:r>
      <w:r w:rsidR="00344DCD" w:rsidRPr="00221668">
        <w:rPr>
          <w:color w:val="222222"/>
        </w:rPr>
        <w:instrText xml:space="preserve"> ADDIN ZOTERO_ITEM CSL_CITATION {"citationID":"19UnCaoO","properties":{"unsorted":true,"formattedCitation":"(4,90)","plainCitation":"(4,90)","noteIndex":0},"citationItems":[{"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C"}],"issued":{"date-parts":[["2019",8,1]]}},"label":"page"},{"id":624,"uris":["http://zotero.org/users/7110448/items/KI9TD3NS"],"itemData":{"id":624,"type":"article-journal","abstract":"Thyroid hormone transporters at the plasma membrane govern intracellular bioavailability of thyroid hormone. Monocarboxylate transporter (MCT) 8 and MCT10, organic anion transporting polypeptide (OATP) 1C1, and SLC17A4 are currently known as transporters displaying the highest specificity toward thyroid hormones. Structure-function studies using homology modeling and mutational screens have led to better understanding of the molecular basis of thyroid hormone transport. Mutations in MCT8 and in OATP1C1 have been associated with clinical disorders. Different animal models have provided insight into the functional role of thyroid hormone transporters, in particular MCT8. Different treatment strategies for MCT8 deficiency have been explored, of which thyroid hormone analogue therapy is currently applied in patients. Future studies may reveal the identity of as-yet-undiscovered thyroid hormone transporters. Complementary studies employing animal and human models will provide further insight into the role of transporters in health and disease. (Endocrine Reviews 41: 1 - 55, 2020).","container-title":"Endocrine Reviews","DOI":"10.1210/endrev/bnz008","ISSN":"1945-7189","issue":"2","journalAbbreviation":"Endocr Rev","language":"eng","note":"PMID: 31754699","page":"bnz008","source":"PubMed","title":"Thyroid Hormone Transporters","volume":"41","author":[{"family":"Groeneweg","given":"Stefan"},{"family":"Geest","given":"Ferdy S.","non-dropping-particle":"van"},{"family":"Peeters","given":"Robin P."},{"family":"Heuer","given":"Heike"},{"family":"Visser","given":"W. Edward"}],"issued":{"date-parts":[["2020",4,1]]}},"label":"page"}],"schema":"https://github.com/citation-style-language/schema/raw/master/csl-citation.json"} </w:instrText>
      </w:r>
      <w:r w:rsidR="00E93099" w:rsidRPr="00221668">
        <w:rPr>
          <w:color w:val="222222"/>
        </w:rPr>
        <w:fldChar w:fldCharType="separate"/>
      </w:r>
      <w:r w:rsidR="003F06DE" w:rsidRPr="00221668">
        <w:rPr>
          <w:noProof/>
          <w:color w:val="222222"/>
        </w:rPr>
        <w:t>(4,90)</w:t>
      </w:r>
      <w:r w:rsidR="00E93099" w:rsidRPr="00221668">
        <w:rPr>
          <w:color w:val="222222"/>
        </w:rPr>
        <w:fldChar w:fldCharType="end"/>
      </w:r>
      <w:r w:rsidR="00E93099" w:rsidRPr="00221668">
        <w:rPr>
          <w:color w:val="222222"/>
        </w:rPr>
        <w:t>. Existem 16 tipos de transportadores</w:t>
      </w:r>
      <w:r w:rsidR="009F39E7">
        <w:rPr>
          <w:color w:val="222222"/>
        </w:rPr>
        <w:t>,</w:t>
      </w:r>
      <w:r w:rsidR="00E93099" w:rsidRPr="00221668">
        <w:rPr>
          <w:color w:val="222222"/>
        </w:rPr>
        <w:t xml:space="preserve"> pertencentes a </w:t>
      </w:r>
      <w:r w:rsidR="009F39E7">
        <w:rPr>
          <w:color w:val="222222"/>
        </w:rPr>
        <w:t>cinco</w:t>
      </w:r>
      <w:r w:rsidR="009F39E7" w:rsidRPr="00221668">
        <w:rPr>
          <w:color w:val="222222"/>
        </w:rPr>
        <w:t xml:space="preserve"> </w:t>
      </w:r>
      <w:r w:rsidR="00E93099" w:rsidRPr="00221668">
        <w:rPr>
          <w:color w:val="222222"/>
        </w:rPr>
        <w:t xml:space="preserve">famílias distintas de proteínas: os transportadores de ânions orgânicos </w:t>
      </w:r>
      <w:r w:rsidR="00E93099" w:rsidRPr="00221668">
        <w:rPr>
          <w:color w:val="222222"/>
        </w:rPr>
        <w:lastRenderedPageBreak/>
        <w:t>(</w:t>
      </w:r>
      <w:r w:rsidR="00E93099" w:rsidRPr="00221668">
        <w:rPr>
          <w:iCs/>
          <w:color w:val="222222"/>
        </w:rPr>
        <w:t>OATPS, SLC10 e SLC17</w:t>
      </w:r>
      <w:r w:rsidR="00E93099" w:rsidRPr="00221668">
        <w:rPr>
          <w:color w:val="222222"/>
        </w:rPr>
        <w:t>), de aminoácidos do tipo L (</w:t>
      </w:r>
      <w:r w:rsidR="00E93099" w:rsidRPr="00221668">
        <w:rPr>
          <w:iCs/>
          <w:color w:val="222222"/>
        </w:rPr>
        <w:t>LATS</w:t>
      </w:r>
      <w:r w:rsidR="00E93099" w:rsidRPr="00221668">
        <w:rPr>
          <w:color w:val="222222"/>
        </w:rPr>
        <w:t>) e de monocarboxilato (</w:t>
      </w:r>
      <w:r w:rsidR="00E93099" w:rsidRPr="00221668">
        <w:rPr>
          <w:iCs/>
          <w:color w:val="222222"/>
        </w:rPr>
        <w:t xml:space="preserve">SLC16 ou </w:t>
      </w:r>
      <w:proofErr w:type="spellStart"/>
      <w:r w:rsidR="00E93099" w:rsidRPr="00221668">
        <w:rPr>
          <w:iCs/>
          <w:color w:val="222222"/>
        </w:rPr>
        <w:t>MCTs</w:t>
      </w:r>
      <w:proofErr w:type="spellEnd"/>
      <w:r w:rsidR="00E93099" w:rsidRPr="00221668">
        <w:rPr>
          <w:iCs/>
          <w:color w:val="222222"/>
        </w:rPr>
        <w:t>)</w:t>
      </w:r>
      <w:r w:rsidR="00E93099" w:rsidRPr="00221668">
        <w:rPr>
          <w:color w:val="222222"/>
        </w:rPr>
        <w:t xml:space="preserve"> </w:t>
      </w:r>
      <w:r w:rsidR="00E93099" w:rsidRPr="00221668">
        <w:rPr>
          <w:color w:val="222222"/>
        </w:rPr>
        <w:fldChar w:fldCharType="begin"/>
      </w:r>
      <w:r w:rsidR="003F06DE" w:rsidRPr="00221668">
        <w:rPr>
          <w:color w:val="222222"/>
        </w:rPr>
        <w:instrText xml:space="preserve"> ADDIN ZOTERO_ITEM CSL_CITATION {"citationID":"wepyEjFk","properties":{"formattedCitation":"(90)","plainCitation":"(90)","noteIndex":0},"citationItems":[{"id":624,"uris":["http://zotero.org/users/7110448/items/KI9TD3NS"],"itemData":{"id":624,"type":"article-journal","abstract":"Thyroid hormone transporters at the plasma membrane govern intracellular bioavailability of thyroid hormone. Monocarboxylate transporter (MCT) 8 and MCT10, organic anion transporting polypeptide (OATP) 1C1, and SLC17A4 are currently known as transporters displaying the highest specificity toward thyroid hormones. Structure-function studies using homology modeling and mutational screens have led to better understanding of the molecular basis of thyroid hormone transport. Mutations in MCT8 and in OATP1C1 have been associated with clinical disorders. Different animal models have provided insight into the functional role of thyroid hormone transporters, in particular MCT8. Different treatment strategies for MCT8 deficiency have been explored, of which thyroid hormone analogue therapy is currently applied in patients. Future studies may reveal the identity of as-yet-undiscovered thyroid hormone transporters. Complementary studies employing animal and human models will provide further insight into the role of transporters in health and disease. (Endocrine Reviews 41: 1 - 55, 2020).","container-title":"Endocrine Reviews","DOI":"10.1210/endrev/bnz008","ISSN":"1945-7189","issue":"2","journalAbbreviation":"Endocr Rev","language":"eng","note":"PMID: 31754699","page":"bnz008","source":"PubMed","title":"Thyroid Hormone Transporters","volume":"41","author":[{"family":"Groeneweg","given":"Stefan"},{"family":"Geest","given":"Ferdy S.","non-dropping-particle":"van"},{"family":"Peeters","given":"Robin P."},{"family":"Heuer","given":"Heike"},{"family":"Visser","given":"W. Edward"}],"issued":{"date-parts":[["2020",4,1]]}}}],"schema":"https://github.com/citation-style-language/schema/raw/master/csl-citation.json"} </w:instrText>
      </w:r>
      <w:r w:rsidR="00E93099" w:rsidRPr="00221668">
        <w:rPr>
          <w:color w:val="222222"/>
        </w:rPr>
        <w:fldChar w:fldCharType="separate"/>
      </w:r>
      <w:r w:rsidR="003F06DE" w:rsidRPr="00221668">
        <w:rPr>
          <w:noProof/>
          <w:color w:val="222222"/>
        </w:rPr>
        <w:t>(90)</w:t>
      </w:r>
      <w:r w:rsidR="00E93099" w:rsidRPr="00221668">
        <w:rPr>
          <w:color w:val="222222"/>
        </w:rPr>
        <w:fldChar w:fldCharType="end"/>
      </w:r>
      <w:r w:rsidR="00E93099" w:rsidRPr="00221668">
        <w:rPr>
          <w:color w:val="222222"/>
        </w:rPr>
        <w:t xml:space="preserve">. O mais específico é o MCT8 </w:t>
      </w:r>
      <w:r w:rsidR="00E93099" w:rsidRPr="00221668">
        <w:rPr>
          <w:color w:val="222222"/>
        </w:rPr>
        <w:fldChar w:fldCharType="begin"/>
      </w:r>
      <w:r w:rsidR="00344DCD" w:rsidRPr="00221668">
        <w:rPr>
          <w:color w:val="222222"/>
        </w:rPr>
        <w:instrText xml:space="preserve"> ADDIN ZOTERO_ITEM CSL_CITATION {"citationID":"35bAmxlA","properties":{"unsorted":true,"formattedCitation":"(4,90)","plainCitation":"(4,90)","noteIndex":0},"citationItems":[{"id":46,"uris":["http://zotero.org/users/7110448/items/DFR4WKE9"],"itemData":{"id":46,"type":"article-journal","container-title":"Endocrine Reviews","DOI":"10.1210/er.2018-00275","ISSN":"0163-769X, 1945-7189","issue":"4","language":"en","page":"1000-1047","source":"DOI.org (Crossref)","title":"Paradigms of Dynamic Control of Thyroid Hormone Signaling","volume":"40","author":[{"family":"Bianco","given":"Antonio C"},{"family":"Dumitrescu","given":"Alexandra"},{"family":"Gereben","given":"Balázs"},{"family":"Ribeiro","given":"Miriam O"},{"family":"Fonseca","given":"Tatiana L"},{"family":"Fernandes","given":"Gustavo W"},{"family":"Bocco","given":"Barbara M L C"}],"issued":{"date-parts":[["2019",8,1]]}},"label":"page"},{"id":624,"uris":["http://zotero.org/users/7110448/items/KI9TD3NS"],"itemData":{"id":624,"type":"article-journal","abstract":"Thyroid hormone transporters at the plasma membrane govern intracellular bioavailability of thyroid hormone. Monocarboxylate transporter (MCT) 8 and MCT10, organic anion transporting polypeptide (OATP) 1C1, and SLC17A4 are currently known as transporters displaying the highest specificity toward thyroid hormones. Structure-function studies using homology modeling and mutational screens have led to better understanding of the molecular basis of thyroid hormone transport. Mutations in MCT8 and in OATP1C1 have been associated with clinical disorders. Different animal models have provided insight into the functional role of thyroid hormone transporters, in particular MCT8. Different treatment strategies for MCT8 deficiency have been explored, of which thyroid hormone analogue therapy is currently applied in patients. Future studies may reveal the identity of as-yet-undiscovered thyroid hormone transporters. Complementary studies employing animal and human models will provide further insight into the role of transporters in health and disease. (Endocrine Reviews 41: 1 - 55, 2020).","container-title":"Endocrine Reviews","DOI":"10.1210/endrev/bnz008","ISSN":"1945-7189","issue":"2","journalAbbreviation":"Endocr Rev","language":"eng","note":"PMID: 31754699","page":"bnz008","source":"PubMed","title":"Thyroid Hormone Transporters","volume":"41","author":[{"family":"Groeneweg","given":"Stefan"},{"family":"Geest","given":"Ferdy S.","non-dropping-particle":"van"},{"family":"Peeters","given":"Robin P."},{"family":"Heuer","given":"Heike"},{"family":"Visser","given":"W. Edward"}],"issued":{"date-parts":[["2020",4,1]]}},"label":"page"}],"schema":"https://github.com/citation-style-language/schema/raw/master/csl-citation.json"} </w:instrText>
      </w:r>
      <w:r w:rsidR="00E93099" w:rsidRPr="00221668">
        <w:rPr>
          <w:color w:val="222222"/>
        </w:rPr>
        <w:fldChar w:fldCharType="separate"/>
      </w:r>
      <w:r w:rsidR="003F06DE" w:rsidRPr="00221668">
        <w:rPr>
          <w:noProof/>
          <w:color w:val="222222"/>
        </w:rPr>
        <w:t>(4,90)</w:t>
      </w:r>
      <w:r w:rsidR="00E93099" w:rsidRPr="00221668">
        <w:rPr>
          <w:color w:val="222222"/>
        </w:rPr>
        <w:fldChar w:fldCharType="end"/>
      </w:r>
      <w:r w:rsidR="00E93099" w:rsidRPr="00221668">
        <w:rPr>
          <w:color w:val="222222"/>
        </w:rPr>
        <w:t xml:space="preserve">. </w:t>
      </w:r>
    </w:p>
    <w:p w14:paraId="6073D6AD" w14:textId="026C36F1" w:rsidR="007F2690" w:rsidRPr="0045240E" w:rsidRDefault="00485D37" w:rsidP="0045240E">
      <w:pPr>
        <w:spacing w:before="30" w:line="360" w:lineRule="auto"/>
        <w:jc w:val="both"/>
        <w:rPr>
          <w:color w:val="222222"/>
        </w:rPr>
      </w:pPr>
      <w:r w:rsidRPr="00221668">
        <w:rPr>
          <w:color w:val="222222"/>
        </w:rPr>
        <w:t xml:space="preserve">     </w:t>
      </w:r>
      <w:r w:rsidR="0018088D" w:rsidRPr="00221668">
        <w:rPr>
          <w:color w:val="222222"/>
        </w:rPr>
        <w:t xml:space="preserve">A família SLC17 é um grupo de </w:t>
      </w:r>
      <w:r w:rsidR="009F39E7">
        <w:rPr>
          <w:color w:val="222222"/>
        </w:rPr>
        <w:t>nove</w:t>
      </w:r>
      <w:r w:rsidR="009F39E7" w:rsidRPr="00221668">
        <w:rPr>
          <w:color w:val="222222"/>
        </w:rPr>
        <w:t xml:space="preserve"> </w:t>
      </w:r>
      <w:r w:rsidR="0018088D" w:rsidRPr="00221668">
        <w:rPr>
          <w:color w:val="222222"/>
        </w:rPr>
        <w:t xml:space="preserve">proteínas identificadas como transportadores de ânions orgânicos </w:t>
      </w:r>
      <w:r w:rsidR="0018088D" w:rsidRPr="00221668">
        <w:rPr>
          <w:color w:val="222222"/>
        </w:rPr>
        <w:fldChar w:fldCharType="begin"/>
      </w:r>
      <w:r w:rsidR="003F06DE" w:rsidRPr="00221668">
        <w:rPr>
          <w:color w:val="222222"/>
        </w:rPr>
        <w:instrText xml:space="preserve"> ADDIN ZOTERO_ITEM CSL_CITATION {"citationID":"yeAlpRdF","properties":{"formattedCitation":"(90)","plainCitation":"(90)","noteIndex":0},"citationItems":[{"id":624,"uris":["http://zotero.org/users/7110448/items/KI9TD3NS"],"itemData":{"id":624,"type":"article-journal","abstract":"Thyroid hormone transporters at the plasma membrane govern intracellular bioavailability of thyroid hormone. Monocarboxylate transporter (MCT) 8 and MCT10, organic anion transporting polypeptide (OATP) 1C1, and SLC17A4 are currently known as transporters displaying the highest specificity toward thyroid hormones. Structure-function studies using homology modeling and mutational screens have led to better understanding of the molecular basis of thyroid hormone transport. Mutations in MCT8 and in OATP1C1 have been associated with clinical disorders. Different animal models have provided insight into the functional role of thyroid hormone transporters, in particular MCT8. Different treatment strategies for MCT8 deficiency have been explored, of which thyroid hormone analogue therapy is currently applied in patients. Future studies may reveal the identity of as-yet-undiscovered thyroid hormone transporters. Complementary studies employing animal and human models will provide further insight into the role of transporters in health and disease. (Endocrine Reviews 41: 1 - 55, 2020).","container-title":"Endocrine Reviews","DOI":"10.1210/endrev/bnz008","ISSN":"1945-7189","issue":"2","journalAbbreviation":"Endocr Rev","language":"eng","note":"PMID: 31754699","page":"bnz008","source":"PubMed","title":"Thyroid Hormone Transporters","volume":"41","author":[{"family":"Groeneweg","given":"Stefan"},{"family":"Geest","given":"Ferdy S.","non-dropping-particle":"van"},{"family":"Peeters","given":"Robin P."},{"family":"Heuer","given":"Heike"},{"family":"Visser","given":"W. Edward"}],"issued":{"date-parts":[["2020",4,1]]}}}],"schema":"https://github.com/citation-style-language/schema/raw/master/csl-citation.json"} </w:instrText>
      </w:r>
      <w:r w:rsidR="0018088D" w:rsidRPr="00221668">
        <w:rPr>
          <w:color w:val="222222"/>
        </w:rPr>
        <w:fldChar w:fldCharType="separate"/>
      </w:r>
      <w:r w:rsidR="003F06DE" w:rsidRPr="00221668">
        <w:rPr>
          <w:noProof/>
          <w:color w:val="222222"/>
        </w:rPr>
        <w:t>(90)</w:t>
      </w:r>
      <w:r w:rsidR="0018088D" w:rsidRPr="00221668">
        <w:rPr>
          <w:color w:val="222222"/>
        </w:rPr>
        <w:fldChar w:fldCharType="end"/>
      </w:r>
      <w:r w:rsidR="0018088D" w:rsidRPr="00221668">
        <w:rPr>
          <w:color w:val="222222"/>
        </w:rPr>
        <w:t>.  O SLC17A4 é o único da família envolvido no transporte dos HT. O seu gene está localizado no Chr6p22.2 e é expresso no fígado, rins e trato gastrointestinal</w:t>
      </w:r>
      <w:r w:rsidR="00DF0524" w:rsidRPr="00221668">
        <w:rPr>
          <w:color w:val="222222"/>
        </w:rPr>
        <w:t xml:space="preserve"> </w:t>
      </w:r>
      <w:r w:rsidR="00DF0524" w:rsidRPr="00221668">
        <w:rPr>
          <w:color w:val="222222"/>
        </w:rPr>
        <w:fldChar w:fldCharType="begin"/>
      </w:r>
      <w:r w:rsidR="00344DCD" w:rsidRPr="00221668">
        <w:rPr>
          <w:color w:val="222222"/>
        </w:rPr>
        <w:instrText xml:space="preserve"> ADDIN ZOTERO_ITEM CSL_CITATION {"citationID":"u9qetHDO","properties":{"unsorted":true,"formattedCitation":"(9,90)","plainCitation":"(9,90)","noteIndex":0},"citationItems":[{"id":93,"uris":["http://zotero.org/users/7110448/items/CK8FU3ZB"],"itemData":{"id":93,"type":"article-journal","abstract":"Abstract\n            \n              Context\n              Genetic factors are major determinants of thyroid function. Over the last two decades, multiple genetic variants have been associated with variations in normal range thyroid function tests. Most recently, a large-scale genome-wide association study (GWAS) doubled the number of known variants associated with normal range thyrotropin (TSH) and free thyroxine (FT4) levels.\n            \n            \n              Evidence Acquisition\n              This review summarizes the results of genetic association studies on normal range thyroid function and explores how these genetic variants can be used in future studies to improve our understanding of thyroid hormone regulation and disease.\n            \n            \n              Evidence Synthesis\n              Serum TSH and FT4 levels are determined by multiple genetic variants on virtually all levels of the hypothalamus-pituitary-thyroid (HPT) axis. Functional follow-up studies on top of GWAS hits has the potential to discover new key players in thyroid hormone regulation, as exemplified by the identification of the thyroid hormone transporter SLC17A4 and the metabolizing enzyme AADAT. Translational studies may use these genetic variants to investigate causal associations between thyroid function and various outcomes in Mendelian Randomization (MR) studies, to identify individuals with an increased risk of thyroid dysfunction, and to predict the individual HPT axis setpoint.\n            \n            \n              Conclusions\n              Recent genetic studies have greatly improved our understanding of the genetic basis of thyroid function, and have revealed novel pathways involved in its regulation. In addition, these findings have paved the way for various lines of research that can improve our understanding of thyroid hormone regulation and thyroid diseases, as well as the potential use of these markers in future clinical practice.","container-title":"The Journal of Clinical Endocrinology &amp; Metabolism","DOI":"10.1210/clinem/dgz225","ISSN":"0021-972X, 1945-7197","issue":"6","language":"en","page":"1707-1721","source":"DOI.org (Crossref)","title":"The Genetic Basis of Thyroid Function: Novel Findings and New Approaches","title-short":"The Genetic Basis of Thyroid Function","volume":"105","author":[{"family":"Kuś","given":"Aleksander"},{"family":"Chaker","given":"Layal"},{"family":"Teumer","given":"Alexander"},{"family":"Peeters","given":"Robin P"},{"family":"Medici","given":"Marco"}],"issued":{"date-parts":[["2020",6,1]]}},"label":"page"},{"id":624,"uris":["http://zotero.org/users/7110448/items/KI9TD3NS"],"itemData":{"id":624,"type":"article-journal","abstract":"Thyroid hormone transporters at the plasma membrane govern intracellular bioavailability of thyroid hormone. Monocarboxylate transporter (MCT) 8 and MCT10, organic anion transporting polypeptide (OATP) 1C1, and SLC17A4 are currently known as transporters displaying the highest specificity toward thyroid hormones. Structure-function studies using homology modeling and mutational screens have led to better understanding of the molecular basis of thyroid hormone transport. Mutations in MCT8 and in OATP1C1 have been associated with clinical disorders. Different animal models have provided insight into the functional role of thyroid hormone transporters, in particular MCT8. Different treatment strategies for MCT8 deficiency have been explored, of which thyroid hormone analogue therapy is currently applied in patients. Future studies may reveal the identity of as-yet-undiscovered thyroid hormone transporters. Complementary studies employing animal and human models will provide further insight into the role of transporters in health and disease. (Endocrine Reviews 41: 1 - 55, 2020).","container-title":"Endocrine Reviews","DOI":"10.1210/endrev/bnz008","ISSN":"1945-7189","issue":"2","journalAbbreviation":"Endocr Rev","language":"eng","note":"PMID: 31754699","page":"bnz008","source":"PubMed","title":"Thyroid Hormone Transporters","volume":"41","author":[{"family":"Groeneweg","given":"Stefan"},{"family":"Geest","given":"Ferdy S.","non-dropping-particle":"van"},{"family":"Peeters","given":"Robin P."},{"family":"Heuer","given":"Heike"},{"family":"Visser","given":"W. Edward"}],"issued":{"date-parts":[["2020",4,1]]}},"label":"page"}],"schema":"https://github.com/citation-style-language/schema/raw/master/csl-citation.json"} </w:instrText>
      </w:r>
      <w:r w:rsidR="00DF0524" w:rsidRPr="00221668">
        <w:rPr>
          <w:color w:val="222222"/>
        </w:rPr>
        <w:fldChar w:fldCharType="separate"/>
      </w:r>
      <w:r w:rsidR="003F06DE" w:rsidRPr="00221668">
        <w:rPr>
          <w:noProof/>
          <w:color w:val="222222"/>
        </w:rPr>
        <w:t>(9,90)</w:t>
      </w:r>
      <w:r w:rsidR="00DF0524" w:rsidRPr="00221668">
        <w:rPr>
          <w:color w:val="222222"/>
        </w:rPr>
        <w:fldChar w:fldCharType="end"/>
      </w:r>
      <w:r w:rsidR="00DF0524" w:rsidRPr="00221668">
        <w:rPr>
          <w:color w:val="222222"/>
        </w:rPr>
        <w:t xml:space="preserve">. Uma grande metanálise de GWAS para função da tireoide revelou a associação entre o </w:t>
      </w:r>
      <w:proofErr w:type="spellStart"/>
      <w:r w:rsidR="00DF0524" w:rsidRPr="00E247D1">
        <w:rPr>
          <w:i/>
          <w:color w:val="222222"/>
        </w:rPr>
        <w:t>l</w:t>
      </w:r>
      <w:r w:rsidR="009F39E7">
        <w:rPr>
          <w:i/>
          <w:color w:val="222222"/>
        </w:rPr>
        <w:t>o</w:t>
      </w:r>
      <w:r w:rsidR="00DF0524" w:rsidRPr="00E247D1">
        <w:rPr>
          <w:i/>
          <w:color w:val="222222"/>
        </w:rPr>
        <w:t>cus</w:t>
      </w:r>
      <w:proofErr w:type="spellEnd"/>
      <w:r w:rsidR="00DF0524" w:rsidRPr="00221668">
        <w:rPr>
          <w:color w:val="222222"/>
        </w:rPr>
        <w:t xml:space="preserve"> </w:t>
      </w:r>
      <w:r w:rsidR="00DF0524" w:rsidRPr="00221668">
        <w:rPr>
          <w:i/>
          <w:color w:val="222222"/>
        </w:rPr>
        <w:t>SLC17A4</w:t>
      </w:r>
      <w:r w:rsidR="00DF0524" w:rsidRPr="00221668">
        <w:rPr>
          <w:color w:val="222222"/>
        </w:rPr>
        <w:t xml:space="preserve"> e níveis de T4l </w:t>
      </w:r>
      <w:r w:rsidR="00DF0524" w:rsidRPr="00221668">
        <w:rPr>
          <w:color w:val="222222"/>
        </w:rPr>
        <w:fldChar w:fldCharType="begin"/>
      </w:r>
      <w:r w:rsidR="00344DCD" w:rsidRPr="00221668">
        <w:rPr>
          <w:color w:val="222222"/>
        </w:rPr>
        <w:instrText xml:space="preserve"> ADDIN ZOTERO_ITEM CSL_CITATION {"citationID":"SHfcunkg","properties":{"formattedCitation":"(18)","plainCitation":"(18)","noteIndex":0},"citationItems":[{"id":99,"uris":["http://zotero.org/users/7110448/items/3VVWNZR7"],"itemData":{"id":99,"type":"article-journal","container-title":"Nature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J."},{"family":"Medici","given":"Marco"}],"issued":{"date-parts":[["2018",12]]}}}],"schema":"https://github.com/citation-style-language/schema/raw/master/csl-citation.json"} </w:instrText>
      </w:r>
      <w:r w:rsidR="00DF0524" w:rsidRPr="00221668">
        <w:rPr>
          <w:color w:val="222222"/>
        </w:rPr>
        <w:fldChar w:fldCharType="separate"/>
      </w:r>
      <w:r w:rsidR="00DF0524" w:rsidRPr="00221668">
        <w:rPr>
          <w:noProof/>
          <w:color w:val="222222"/>
        </w:rPr>
        <w:t>(18)</w:t>
      </w:r>
      <w:r w:rsidR="00DF0524" w:rsidRPr="00221668">
        <w:rPr>
          <w:color w:val="222222"/>
        </w:rPr>
        <w:fldChar w:fldCharType="end"/>
      </w:r>
      <w:r w:rsidR="00DF0524" w:rsidRPr="00221668">
        <w:rPr>
          <w:color w:val="222222"/>
        </w:rPr>
        <w:t xml:space="preserve">. Estudos </w:t>
      </w:r>
      <w:r w:rsidR="00DF0524" w:rsidRPr="00E247D1">
        <w:rPr>
          <w:i/>
          <w:color w:val="222222"/>
        </w:rPr>
        <w:t>in vitro</w:t>
      </w:r>
      <w:r w:rsidR="00DF0524" w:rsidRPr="00221668">
        <w:rPr>
          <w:color w:val="222222"/>
        </w:rPr>
        <w:t>, realizados subsequentemente, demonstr</w:t>
      </w:r>
      <w:r w:rsidR="000B31C0" w:rsidRPr="00221668">
        <w:rPr>
          <w:color w:val="222222"/>
        </w:rPr>
        <w:t>aram</w:t>
      </w:r>
      <w:r w:rsidR="00DF0524" w:rsidRPr="00221668">
        <w:rPr>
          <w:color w:val="222222"/>
        </w:rPr>
        <w:t xml:space="preserve"> que a superexpressão do </w:t>
      </w:r>
      <w:r w:rsidR="00DF0524" w:rsidRPr="00221668">
        <w:rPr>
          <w:i/>
          <w:iCs/>
          <w:color w:val="222222"/>
        </w:rPr>
        <w:t>SLC17A4</w:t>
      </w:r>
      <w:r w:rsidR="00DF0524" w:rsidRPr="00221668">
        <w:rPr>
          <w:color w:val="222222"/>
        </w:rPr>
        <w:t xml:space="preserve"> induziu fortemente o acúmulo de T3 e T4 intracelular </w:t>
      </w:r>
      <w:r w:rsidR="00DF0524" w:rsidRPr="00221668">
        <w:rPr>
          <w:color w:val="222222"/>
        </w:rPr>
        <w:fldChar w:fldCharType="begin"/>
      </w:r>
      <w:r w:rsidR="00344DCD" w:rsidRPr="00221668">
        <w:rPr>
          <w:color w:val="222222"/>
        </w:rPr>
        <w:instrText xml:space="preserve"> ADDIN ZOTERO_ITEM CSL_CITATION {"citationID":"ib1j5gOe","properties":{"formattedCitation":"(18)","plainCitation":"(18)","noteIndex":0},"citationItems":[{"id":99,"uris":["http://zotero.org/users/7110448/items/3VVWNZR7"],"itemData":{"id":99,"type":"article-journal","container-title":"Nature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J."},{"family":"Medici","given":"Marco"}],"issued":{"date-parts":[["2018",12]]}}}],"schema":"https://github.com/citation-style-language/schema/raw/master/csl-citation.json"} </w:instrText>
      </w:r>
      <w:r w:rsidR="00DF0524" w:rsidRPr="00221668">
        <w:rPr>
          <w:color w:val="222222"/>
        </w:rPr>
        <w:fldChar w:fldCharType="separate"/>
      </w:r>
      <w:r w:rsidR="00DF0524" w:rsidRPr="00221668">
        <w:rPr>
          <w:noProof/>
          <w:color w:val="222222"/>
        </w:rPr>
        <w:t>(18)</w:t>
      </w:r>
      <w:r w:rsidR="00DF0524" w:rsidRPr="00221668">
        <w:rPr>
          <w:color w:val="222222"/>
        </w:rPr>
        <w:fldChar w:fldCharType="end"/>
      </w:r>
      <w:r w:rsidR="00DF0524" w:rsidRPr="00221668">
        <w:rPr>
          <w:color w:val="222222"/>
        </w:rPr>
        <w:t>. Porém, embora a associação entre es</w:t>
      </w:r>
      <w:r w:rsidR="009F39E7">
        <w:rPr>
          <w:color w:val="222222"/>
        </w:rPr>
        <w:t>s</w:t>
      </w:r>
      <w:r w:rsidR="00DF0524" w:rsidRPr="00221668">
        <w:rPr>
          <w:color w:val="222222"/>
        </w:rPr>
        <w:t xml:space="preserve">e transportador e </w:t>
      </w:r>
      <w:r w:rsidR="00141E2A" w:rsidRPr="00221668">
        <w:rPr>
          <w:color w:val="222222"/>
        </w:rPr>
        <w:t>hormônios da tireoide</w:t>
      </w:r>
      <w:r w:rsidR="00DF0524" w:rsidRPr="00221668">
        <w:rPr>
          <w:color w:val="222222"/>
        </w:rPr>
        <w:t xml:space="preserve"> tenha sido demonstrada, são necessários mais estudos para caracterizar melhor sua especificidade a T3 e T4, mecanismo de transporte e inibidores específicos.</w:t>
      </w:r>
    </w:p>
    <w:p w14:paraId="793DADCD" w14:textId="1394193C" w:rsidR="007F2690" w:rsidRDefault="007F2690" w:rsidP="007F2690">
      <w:pPr>
        <w:pStyle w:val="PargrafodaLista"/>
        <w:spacing w:before="30" w:line="360" w:lineRule="auto"/>
        <w:rPr>
          <w:b/>
          <w:color w:val="FF0000"/>
        </w:rPr>
      </w:pPr>
    </w:p>
    <w:p w14:paraId="3398D808" w14:textId="77777777" w:rsidR="005637B7" w:rsidRDefault="005637B7" w:rsidP="007F2690">
      <w:pPr>
        <w:pStyle w:val="PargrafodaLista"/>
        <w:spacing w:before="30" w:line="360" w:lineRule="auto"/>
        <w:rPr>
          <w:b/>
          <w:color w:val="FF0000"/>
        </w:rPr>
      </w:pPr>
    </w:p>
    <w:p w14:paraId="1DE3D8DD" w14:textId="77777777" w:rsidR="009C3149" w:rsidRDefault="009C3149" w:rsidP="007F2690">
      <w:pPr>
        <w:pStyle w:val="PargrafodaLista"/>
        <w:spacing w:before="30" w:line="360" w:lineRule="auto"/>
        <w:rPr>
          <w:b/>
          <w:color w:val="FF0000"/>
        </w:rPr>
      </w:pPr>
    </w:p>
    <w:p w14:paraId="49034A5C" w14:textId="77777777" w:rsidR="009C3149" w:rsidRDefault="009C3149" w:rsidP="007F2690">
      <w:pPr>
        <w:pStyle w:val="PargrafodaLista"/>
        <w:spacing w:before="30" w:line="360" w:lineRule="auto"/>
        <w:rPr>
          <w:b/>
          <w:color w:val="FF0000"/>
        </w:rPr>
      </w:pPr>
    </w:p>
    <w:p w14:paraId="1E488E7B" w14:textId="77777777" w:rsidR="009C3149" w:rsidRDefault="009C3149" w:rsidP="007F2690">
      <w:pPr>
        <w:pStyle w:val="PargrafodaLista"/>
        <w:spacing w:before="30" w:line="360" w:lineRule="auto"/>
        <w:rPr>
          <w:b/>
          <w:color w:val="FF0000"/>
        </w:rPr>
      </w:pPr>
    </w:p>
    <w:p w14:paraId="608EBD1A" w14:textId="77777777" w:rsidR="009C3149" w:rsidRDefault="009C3149" w:rsidP="007F2690">
      <w:pPr>
        <w:pStyle w:val="PargrafodaLista"/>
        <w:spacing w:before="30" w:line="360" w:lineRule="auto"/>
        <w:rPr>
          <w:b/>
          <w:color w:val="FF0000"/>
        </w:rPr>
      </w:pPr>
    </w:p>
    <w:p w14:paraId="5EF98608" w14:textId="77777777" w:rsidR="009C3149" w:rsidRDefault="009C3149" w:rsidP="007F2690">
      <w:pPr>
        <w:pStyle w:val="PargrafodaLista"/>
        <w:spacing w:before="30" w:line="360" w:lineRule="auto"/>
        <w:rPr>
          <w:b/>
          <w:color w:val="FF0000"/>
        </w:rPr>
      </w:pPr>
    </w:p>
    <w:p w14:paraId="2597B6DA" w14:textId="77777777" w:rsidR="009C3149" w:rsidRDefault="009C3149" w:rsidP="007F2690">
      <w:pPr>
        <w:pStyle w:val="PargrafodaLista"/>
        <w:spacing w:before="30" w:line="360" w:lineRule="auto"/>
        <w:rPr>
          <w:b/>
          <w:color w:val="FF0000"/>
        </w:rPr>
      </w:pPr>
    </w:p>
    <w:p w14:paraId="484E89C9" w14:textId="77777777" w:rsidR="009C3149" w:rsidRDefault="009C3149" w:rsidP="007F2690">
      <w:pPr>
        <w:pStyle w:val="PargrafodaLista"/>
        <w:spacing w:before="30" w:line="360" w:lineRule="auto"/>
        <w:rPr>
          <w:b/>
          <w:color w:val="FF0000"/>
        </w:rPr>
      </w:pPr>
    </w:p>
    <w:p w14:paraId="0808AD87" w14:textId="77777777" w:rsidR="009C3149" w:rsidRDefault="009C3149" w:rsidP="007F2690">
      <w:pPr>
        <w:pStyle w:val="PargrafodaLista"/>
        <w:spacing w:before="30" w:line="360" w:lineRule="auto"/>
        <w:rPr>
          <w:b/>
          <w:color w:val="FF0000"/>
        </w:rPr>
      </w:pPr>
    </w:p>
    <w:p w14:paraId="4FF5CEC9" w14:textId="77777777" w:rsidR="009C3149" w:rsidRDefault="009C3149" w:rsidP="007F2690">
      <w:pPr>
        <w:pStyle w:val="PargrafodaLista"/>
        <w:spacing w:before="30" w:line="360" w:lineRule="auto"/>
        <w:rPr>
          <w:b/>
          <w:color w:val="FF0000"/>
        </w:rPr>
      </w:pPr>
    </w:p>
    <w:p w14:paraId="240ADE72" w14:textId="77777777" w:rsidR="009C3149" w:rsidRDefault="009C3149" w:rsidP="007F2690">
      <w:pPr>
        <w:pStyle w:val="PargrafodaLista"/>
        <w:spacing w:before="30" w:line="360" w:lineRule="auto"/>
        <w:rPr>
          <w:b/>
          <w:color w:val="FF0000"/>
        </w:rPr>
      </w:pPr>
    </w:p>
    <w:p w14:paraId="500484B1" w14:textId="77777777" w:rsidR="009C3149" w:rsidRDefault="009C3149" w:rsidP="007F2690">
      <w:pPr>
        <w:pStyle w:val="PargrafodaLista"/>
        <w:spacing w:before="30" w:line="360" w:lineRule="auto"/>
        <w:rPr>
          <w:b/>
          <w:color w:val="FF0000"/>
        </w:rPr>
      </w:pPr>
    </w:p>
    <w:p w14:paraId="58636CDD" w14:textId="77777777" w:rsidR="009C3149" w:rsidRDefault="009C3149" w:rsidP="007F2690">
      <w:pPr>
        <w:pStyle w:val="PargrafodaLista"/>
        <w:spacing w:before="30" w:line="360" w:lineRule="auto"/>
        <w:rPr>
          <w:b/>
          <w:color w:val="FF0000"/>
        </w:rPr>
      </w:pPr>
    </w:p>
    <w:p w14:paraId="79545012" w14:textId="77777777" w:rsidR="009C3149" w:rsidRDefault="009C3149" w:rsidP="007F2690">
      <w:pPr>
        <w:pStyle w:val="PargrafodaLista"/>
        <w:spacing w:before="30" w:line="360" w:lineRule="auto"/>
        <w:rPr>
          <w:b/>
          <w:color w:val="FF0000"/>
        </w:rPr>
      </w:pPr>
    </w:p>
    <w:p w14:paraId="3290B10F" w14:textId="77777777" w:rsidR="009C3149" w:rsidRDefault="009C3149" w:rsidP="007F2690">
      <w:pPr>
        <w:pStyle w:val="PargrafodaLista"/>
        <w:spacing w:before="30" w:line="360" w:lineRule="auto"/>
        <w:rPr>
          <w:b/>
          <w:color w:val="FF0000"/>
        </w:rPr>
      </w:pPr>
    </w:p>
    <w:p w14:paraId="060E91E0" w14:textId="77777777" w:rsidR="00BC57AE" w:rsidRDefault="00BC57AE" w:rsidP="007F2690">
      <w:pPr>
        <w:pStyle w:val="PargrafodaLista"/>
        <w:spacing w:before="30" w:line="360" w:lineRule="auto"/>
        <w:rPr>
          <w:b/>
          <w:color w:val="FF0000"/>
        </w:rPr>
      </w:pPr>
    </w:p>
    <w:p w14:paraId="77FEF8E4" w14:textId="77777777" w:rsidR="00BC57AE" w:rsidRDefault="00BC57AE" w:rsidP="007F2690">
      <w:pPr>
        <w:pStyle w:val="PargrafodaLista"/>
        <w:spacing w:before="30" w:line="360" w:lineRule="auto"/>
        <w:rPr>
          <w:b/>
          <w:color w:val="FF0000"/>
        </w:rPr>
      </w:pPr>
    </w:p>
    <w:p w14:paraId="0B9F3DB7" w14:textId="77777777" w:rsidR="00BC57AE" w:rsidRDefault="00BC57AE" w:rsidP="007F2690">
      <w:pPr>
        <w:pStyle w:val="PargrafodaLista"/>
        <w:spacing w:before="30" w:line="360" w:lineRule="auto"/>
        <w:rPr>
          <w:b/>
          <w:color w:val="FF0000"/>
        </w:rPr>
      </w:pPr>
    </w:p>
    <w:p w14:paraId="770F44C2" w14:textId="77777777" w:rsidR="00BC57AE" w:rsidRDefault="00BC57AE" w:rsidP="007F2690">
      <w:pPr>
        <w:pStyle w:val="PargrafodaLista"/>
        <w:spacing w:before="30" w:line="360" w:lineRule="auto"/>
        <w:rPr>
          <w:b/>
          <w:color w:val="FF0000"/>
        </w:rPr>
      </w:pPr>
    </w:p>
    <w:p w14:paraId="1FCDB7EC" w14:textId="77777777" w:rsidR="00BC57AE" w:rsidRDefault="00BC57AE" w:rsidP="007F2690">
      <w:pPr>
        <w:pStyle w:val="PargrafodaLista"/>
        <w:spacing w:before="30" w:line="360" w:lineRule="auto"/>
        <w:rPr>
          <w:b/>
          <w:color w:val="FF0000"/>
        </w:rPr>
      </w:pPr>
    </w:p>
    <w:p w14:paraId="32158C83" w14:textId="77777777" w:rsidR="00BC57AE" w:rsidRDefault="00BC57AE" w:rsidP="007F2690">
      <w:pPr>
        <w:pStyle w:val="PargrafodaLista"/>
        <w:spacing w:before="30" w:line="360" w:lineRule="auto"/>
        <w:rPr>
          <w:b/>
          <w:color w:val="FF0000"/>
        </w:rPr>
      </w:pPr>
    </w:p>
    <w:p w14:paraId="7FBC44C5" w14:textId="77777777" w:rsidR="00BC57AE" w:rsidRDefault="00BC57AE" w:rsidP="007F2690">
      <w:pPr>
        <w:pStyle w:val="PargrafodaLista"/>
        <w:spacing w:before="30" w:line="360" w:lineRule="auto"/>
        <w:rPr>
          <w:b/>
          <w:color w:val="FF0000"/>
        </w:rPr>
      </w:pPr>
    </w:p>
    <w:p w14:paraId="1A82FDCC" w14:textId="01C5A637" w:rsidR="00DF0524" w:rsidRPr="00846E3F" w:rsidRDefault="00DF0524" w:rsidP="00846E3F">
      <w:pPr>
        <w:pStyle w:val="PargrafodaLista"/>
        <w:numPr>
          <w:ilvl w:val="0"/>
          <w:numId w:val="2"/>
        </w:numPr>
        <w:spacing w:line="360" w:lineRule="auto"/>
        <w:rPr>
          <w:b/>
          <w:color w:val="000000" w:themeColor="text1"/>
        </w:rPr>
      </w:pPr>
      <w:r w:rsidRPr="00846E3F">
        <w:rPr>
          <w:b/>
          <w:color w:val="000000" w:themeColor="text1"/>
        </w:rPr>
        <w:lastRenderedPageBreak/>
        <w:t>OBJETIVOS</w:t>
      </w:r>
    </w:p>
    <w:p w14:paraId="2E4F2EF6" w14:textId="09A47E74" w:rsidR="00DF0524" w:rsidRDefault="00DF0524" w:rsidP="00846E3F">
      <w:pPr>
        <w:spacing w:line="360" w:lineRule="auto"/>
        <w:rPr>
          <w:b/>
          <w:color w:val="222222"/>
        </w:rPr>
      </w:pPr>
    </w:p>
    <w:p w14:paraId="5189AE22" w14:textId="74680B05" w:rsidR="00D90CB0" w:rsidRPr="006333CC" w:rsidRDefault="00DF0524" w:rsidP="006333CC">
      <w:pPr>
        <w:spacing w:line="360" w:lineRule="auto"/>
        <w:ind w:firstLine="360"/>
        <w:jc w:val="both"/>
        <w:rPr>
          <w:color w:val="222222"/>
        </w:rPr>
      </w:pPr>
      <w:r w:rsidRPr="006333CC">
        <w:rPr>
          <w:color w:val="222222"/>
        </w:rPr>
        <w:t>GERAL</w:t>
      </w:r>
    </w:p>
    <w:p w14:paraId="78ADD5A8" w14:textId="77777777" w:rsidR="005637B7" w:rsidRPr="005637B7" w:rsidRDefault="005637B7" w:rsidP="00846E3F">
      <w:pPr>
        <w:spacing w:line="360" w:lineRule="auto"/>
        <w:jc w:val="both"/>
        <w:rPr>
          <w:color w:val="222222"/>
        </w:rPr>
      </w:pPr>
    </w:p>
    <w:p w14:paraId="4B1E69B7" w14:textId="4A090DAD" w:rsidR="005637B7" w:rsidRDefault="00F5388F" w:rsidP="00846E3F">
      <w:pPr>
        <w:spacing w:line="360" w:lineRule="auto"/>
        <w:jc w:val="both"/>
        <w:rPr>
          <w:highlight w:val="white"/>
        </w:rPr>
      </w:pPr>
      <w:r>
        <w:rPr>
          <w:color w:val="222222"/>
        </w:rPr>
        <w:t xml:space="preserve">     </w:t>
      </w:r>
      <w:r w:rsidR="00D90CB0" w:rsidRPr="00D90CB0">
        <w:rPr>
          <w:color w:val="222222"/>
        </w:rPr>
        <w:t xml:space="preserve">O objetivo do estudo foi avaliar </w:t>
      </w:r>
      <w:r w:rsidR="00F45DF8">
        <w:rPr>
          <w:color w:val="222222"/>
        </w:rPr>
        <w:t>a associação</w:t>
      </w:r>
      <w:r w:rsidR="00D90CB0">
        <w:rPr>
          <w:color w:val="222222"/>
        </w:rPr>
        <w:t xml:space="preserve"> </w:t>
      </w:r>
      <w:r w:rsidR="00D90CB0" w:rsidRPr="00D90CB0">
        <w:rPr>
          <w:color w:val="222222"/>
        </w:rPr>
        <w:t>de oito</w:t>
      </w:r>
      <w:r w:rsidR="001F0B80">
        <w:rPr>
          <w:color w:val="222222"/>
        </w:rPr>
        <w:t xml:space="preserve"> polimorfismos</w:t>
      </w:r>
      <w:r w:rsidR="00D90CB0" w:rsidRPr="00D90CB0">
        <w:rPr>
          <w:color w:val="222222"/>
        </w:rPr>
        <w:t xml:space="preserve"> genétic</w:t>
      </w:r>
      <w:r w:rsidR="001F0B80">
        <w:rPr>
          <w:color w:val="222222"/>
        </w:rPr>
        <w:t>o</w:t>
      </w:r>
      <w:r w:rsidR="00D90CB0" w:rsidRPr="00D90CB0">
        <w:rPr>
          <w:color w:val="222222"/>
        </w:rPr>
        <w:t xml:space="preserve">s </w:t>
      </w:r>
      <w:r w:rsidR="001F0B80">
        <w:rPr>
          <w:color w:val="222222"/>
        </w:rPr>
        <w:t xml:space="preserve">com a </w:t>
      </w:r>
      <w:r w:rsidR="00D90CB0" w:rsidRPr="00D90CB0">
        <w:rPr>
          <w:color w:val="222222"/>
        </w:rPr>
        <w:t>função tireoidiana</w:t>
      </w:r>
      <w:r w:rsidR="00846E3F">
        <w:rPr>
          <w:color w:val="222222"/>
        </w:rPr>
        <w:t xml:space="preserve">, </w:t>
      </w:r>
      <w:r w:rsidR="00846E3F" w:rsidRPr="00D90CB0">
        <w:rPr>
          <w:color w:val="222222"/>
        </w:rPr>
        <w:t xml:space="preserve">em população geriátrica </w:t>
      </w:r>
      <w:r w:rsidR="00846E3F">
        <w:rPr>
          <w:color w:val="222222"/>
        </w:rPr>
        <w:t xml:space="preserve">de mulheres </w:t>
      </w:r>
      <w:r w:rsidR="00846E3F" w:rsidRPr="00D90CB0">
        <w:rPr>
          <w:color w:val="222222"/>
        </w:rPr>
        <w:t>eutireoidiana</w:t>
      </w:r>
      <w:r w:rsidR="00846E3F">
        <w:rPr>
          <w:color w:val="222222"/>
        </w:rPr>
        <w:t>s</w:t>
      </w:r>
      <w:r w:rsidR="001F0B80">
        <w:rPr>
          <w:color w:val="222222"/>
        </w:rPr>
        <w:t>.</w:t>
      </w:r>
    </w:p>
    <w:p w14:paraId="0C13B4D9" w14:textId="77777777" w:rsidR="005637B7" w:rsidRPr="005637B7" w:rsidRDefault="005637B7" w:rsidP="00846E3F">
      <w:pPr>
        <w:spacing w:line="360" w:lineRule="auto"/>
        <w:jc w:val="both"/>
        <w:rPr>
          <w:highlight w:val="white"/>
        </w:rPr>
      </w:pPr>
    </w:p>
    <w:p w14:paraId="199BE615" w14:textId="585E957D" w:rsidR="00DF0524" w:rsidRPr="006333CC" w:rsidRDefault="00DF0524" w:rsidP="006333CC">
      <w:pPr>
        <w:spacing w:line="360" w:lineRule="auto"/>
        <w:ind w:firstLine="360"/>
        <w:jc w:val="both"/>
        <w:rPr>
          <w:color w:val="222222"/>
        </w:rPr>
      </w:pPr>
      <w:r w:rsidRPr="006333CC">
        <w:rPr>
          <w:color w:val="222222"/>
        </w:rPr>
        <w:t>ESPECÍFICO</w:t>
      </w:r>
      <w:r w:rsidR="00846E3F" w:rsidRPr="006333CC">
        <w:rPr>
          <w:color w:val="222222"/>
        </w:rPr>
        <w:t>S</w:t>
      </w:r>
    </w:p>
    <w:p w14:paraId="39950E2D" w14:textId="77777777" w:rsidR="005637B7" w:rsidRPr="005637B7" w:rsidRDefault="005637B7" w:rsidP="00846E3F">
      <w:pPr>
        <w:spacing w:line="360" w:lineRule="auto"/>
        <w:jc w:val="both"/>
        <w:rPr>
          <w:color w:val="222222"/>
        </w:rPr>
      </w:pPr>
    </w:p>
    <w:p w14:paraId="6D80E97A" w14:textId="7BE52584" w:rsidR="00D90CB0" w:rsidRPr="007A45AE" w:rsidRDefault="00D90CB0" w:rsidP="00841744">
      <w:pPr>
        <w:pStyle w:val="PargrafodaLista"/>
        <w:numPr>
          <w:ilvl w:val="0"/>
          <w:numId w:val="42"/>
        </w:numPr>
        <w:spacing w:line="360" w:lineRule="auto"/>
        <w:jc w:val="both"/>
        <w:rPr>
          <w:color w:val="222222"/>
        </w:rPr>
      </w:pPr>
      <w:r w:rsidRPr="007A45AE">
        <w:rPr>
          <w:color w:val="222222"/>
        </w:rPr>
        <w:t>Avaliar a frequência</w:t>
      </w:r>
      <w:r w:rsidR="001F0B80">
        <w:rPr>
          <w:color w:val="222222"/>
        </w:rPr>
        <w:t>, na</w:t>
      </w:r>
      <w:r w:rsidR="007A45AE" w:rsidRPr="007A45AE">
        <w:rPr>
          <w:color w:val="222222"/>
        </w:rPr>
        <w:t xml:space="preserve"> população geriátrica</w:t>
      </w:r>
      <w:r w:rsidR="001F0B80">
        <w:rPr>
          <w:color w:val="222222"/>
        </w:rPr>
        <w:t xml:space="preserve"> de mulheres eutireoidianas,</w:t>
      </w:r>
      <w:r w:rsidR="007A45AE" w:rsidRPr="007A45AE">
        <w:rPr>
          <w:color w:val="222222"/>
        </w:rPr>
        <w:t xml:space="preserve"> </w:t>
      </w:r>
      <w:r w:rsidRPr="007A45AE">
        <w:rPr>
          <w:color w:val="222222"/>
        </w:rPr>
        <w:t>d</w:t>
      </w:r>
      <w:r w:rsidR="001F0B80">
        <w:rPr>
          <w:color w:val="222222"/>
        </w:rPr>
        <w:t>os</w:t>
      </w:r>
      <w:r w:rsidRPr="007A45AE">
        <w:rPr>
          <w:color w:val="222222"/>
        </w:rPr>
        <w:t xml:space="preserve"> oito polimorfismos</w:t>
      </w:r>
      <w:r w:rsidR="001F0B80">
        <w:rPr>
          <w:color w:val="222222"/>
        </w:rPr>
        <w:t xml:space="preserve"> estudados e comparar com dados</w:t>
      </w:r>
      <w:r w:rsidR="008C01B7">
        <w:rPr>
          <w:color w:val="222222"/>
        </w:rPr>
        <w:t xml:space="preserve"> do</w:t>
      </w:r>
      <w:r w:rsidR="001F0B80">
        <w:rPr>
          <w:color w:val="222222"/>
        </w:rPr>
        <w:t xml:space="preserve"> </w:t>
      </w:r>
      <w:r w:rsidR="009F4F33">
        <w:rPr>
          <w:color w:val="222222"/>
        </w:rPr>
        <w:t>mund</w:t>
      </w:r>
      <w:r w:rsidR="008C01B7">
        <w:rPr>
          <w:color w:val="222222"/>
        </w:rPr>
        <w:t>o</w:t>
      </w:r>
      <w:r w:rsidR="00F5388F">
        <w:rPr>
          <w:color w:val="222222"/>
        </w:rPr>
        <w:t xml:space="preserve">, da Europa, África, e Brasil. </w:t>
      </w:r>
    </w:p>
    <w:p w14:paraId="1A1B2260" w14:textId="5A92F204" w:rsidR="0045240E" w:rsidRPr="001F0B80" w:rsidRDefault="007A45AE" w:rsidP="00841744">
      <w:pPr>
        <w:pStyle w:val="PargrafodaLista"/>
        <w:numPr>
          <w:ilvl w:val="0"/>
          <w:numId w:val="42"/>
        </w:numPr>
        <w:spacing w:line="360" w:lineRule="auto"/>
        <w:jc w:val="both"/>
        <w:rPr>
          <w:color w:val="222222"/>
        </w:rPr>
      </w:pPr>
      <w:r>
        <w:rPr>
          <w:color w:val="222222"/>
        </w:rPr>
        <w:t xml:space="preserve">Comparar os níveis de TSH, T4 livre e T3 livre entre </w:t>
      </w:r>
      <w:r w:rsidR="009F4F33">
        <w:rPr>
          <w:color w:val="222222"/>
        </w:rPr>
        <w:t xml:space="preserve">grupos de alelo selvagem vs. alelo polimórfico de </w:t>
      </w:r>
      <w:r>
        <w:rPr>
          <w:color w:val="222222"/>
        </w:rPr>
        <w:t>genes envolvidos na função tireoidiana</w:t>
      </w:r>
      <w:r w:rsidR="009F4F33">
        <w:rPr>
          <w:color w:val="222222"/>
        </w:rPr>
        <w:t>.</w:t>
      </w:r>
    </w:p>
    <w:p w14:paraId="2E9654B4" w14:textId="323C0C41" w:rsidR="001F0B80" w:rsidRDefault="001F0B80" w:rsidP="00841744">
      <w:pPr>
        <w:pStyle w:val="PargrafodaLista"/>
        <w:numPr>
          <w:ilvl w:val="0"/>
          <w:numId w:val="42"/>
        </w:numPr>
        <w:spacing w:line="360" w:lineRule="auto"/>
        <w:jc w:val="both"/>
        <w:rPr>
          <w:color w:val="222222"/>
        </w:rPr>
      </w:pPr>
      <w:r>
        <w:rPr>
          <w:color w:val="222222"/>
        </w:rPr>
        <w:t xml:space="preserve">Avaliar a associação do polimorfismo </w:t>
      </w:r>
      <w:r w:rsidRPr="002E281D">
        <w:t>rs225014</w:t>
      </w:r>
      <w:r>
        <w:t xml:space="preserve"> do gene DIO2 e</w:t>
      </w:r>
      <w:r w:rsidR="00F5388F">
        <w:t xml:space="preserve"> </w:t>
      </w:r>
      <w:r w:rsidR="00846E3F">
        <w:t xml:space="preserve">a </w:t>
      </w:r>
      <w:r>
        <w:t>presença de comorbidades</w:t>
      </w:r>
      <w:r w:rsidR="009F4F33">
        <w:t xml:space="preserve"> </w:t>
      </w:r>
      <w:r>
        <w:t xml:space="preserve">(DM, DLP </w:t>
      </w:r>
      <w:r w:rsidR="00F5388F">
        <w:t>ou</w:t>
      </w:r>
      <w:r>
        <w:t xml:space="preserve"> HAS) em mulheres idosas </w:t>
      </w:r>
      <w:r w:rsidR="00102720">
        <w:t xml:space="preserve">eutireoidianas. </w:t>
      </w:r>
    </w:p>
    <w:p w14:paraId="2D9736BA" w14:textId="6B0D8E12" w:rsidR="0045240E" w:rsidRDefault="0045240E" w:rsidP="00846E3F">
      <w:pPr>
        <w:spacing w:line="360" w:lineRule="auto"/>
        <w:jc w:val="both"/>
        <w:rPr>
          <w:color w:val="222222"/>
        </w:rPr>
      </w:pPr>
    </w:p>
    <w:p w14:paraId="02102CF2" w14:textId="77777777" w:rsidR="005637B7" w:rsidRDefault="005637B7" w:rsidP="00846E3F">
      <w:pPr>
        <w:spacing w:line="360" w:lineRule="auto"/>
        <w:jc w:val="both"/>
        <w:rPr>
          <w:color w:val="222222"/>
        </w:rPr>
      </w:pPr>
    </w:p>
    <w:p w14:paraId="0CC833E4" w14:textId="77777777" w:rsidR="00846E3F" w:rsidRDefault="00846E3F" w:rsidP="00846E3F">
      <w:pPr>
        <w:spacing w:line="360" w:lineRule="auto"/>
        <w:jc w:val="both"/>
        <w:rPr>
          <w:color w:val="222222"/>
        </w:rPr>
      </w:pPr>
    </w:p>
    <w:p w14:paraId="777B6E24" w14:textId="77777777" w:rsidR="00846E3F" w:rsidRDefault="00846E3F" w:rsidP="00846E3F">
      <w:pPr>
        <w:spacing w:line="360" w:lineRule="auto"/>
        <w:jc w:val="both"/>
        <w:rPr>
          <w:color w:val="222222"/>
        </w:rPr>
      </w:pPr>
    </w:p>
    <w:p w14:paraId="553D63BF" w14:textId="77777777" w:rsidR="00846E3F" w:rsidRDefault="00846E3F" w:rsidP="00846E3F">
      <w:pPr>
        <w:spacing w:line="360" w:lineRule="auto"/>
        <w:jc w:val="both"/>
        <w:rPr>
          <w:color w:val="222222"/>
        </w:rPr>
      </w:pPr>
    </w:p>
    <w:p w14:paraId="2F287C37" w14:textId="77777777" w:rsidR="00846E3F" w:rsidRDefault="00846E3F" w:rsidP="00846E3F">
      <w:pPr>
        <w:spacing w:line="360" w:lineRule="auto"/>
        <w:jc w:val="both"/>
        <w:rPr>
          <w:color w:val="222222"/>
        </w:rPr>
      </w:pPr>
    </w:p>
    <w:p w14:paraId="3F321E0D" w14:textId="77777777" w:rsidR="00846E3F" w:rsidRDefault="00846E3F" w:rsidP="00846E3F">
      <w:pPr>
        <w:spacing w:line="360" w:lineRule="auto"/>
        <w:jc w:val="both"/>
        <w:rPr>
          <w:color w:val="222222"/>
        </w:rPr>
      </w:pPr>
    </w:p>
    <w:p w14:paraId="00B7AAEC" w14:textId="77777777" w:rsidR="00846E3F" w:rsidRDefault="00846E3F" w:rsidP="00846E3F">
      <w:pPr>
        <w:spacing w:line="360" w:lineRule="auto"/>
        <w:jc w:val="both"/>
        <w:rPr>
          <w:color w:val="222222"/>
        </w:rPr>
      </w:pPr>
    </w:p>
    <w:p w14:paraId="2124DD2E" w14:textId="77777777" w:rsidR="00846E3F" w:rsidRDefault="00846E3F" w:rsidP="00846E3F">
      <w:pPr>
        <w:spacing w:line="360" w:lineRule="auto"/>
        <w:jc w:val="both"/>
        <w:rPr>
          <w:color w:val="222222"/>
        </w:rPr>
      </w:pPr>
    </w:p>
    <w:p w14:paraId="1E45DF18" w14:textId="77777777" w:rsidR="00846E3F" w:rsidRDefault="00846E3F" w:rsidP="00846E3F">
      <w:pPr>
        <w:spacing w:line="360" w:lineRule="auto"/>
        <w:jc w:val="both"/>
        <w:rPr>
          <w:color w:val="222222"/>
        </w:rPr>
      </w:pPr>
    </w:p>
    <w:p w14:paraId="798C4F3B" w14:textId="77777777" w:rsidR="00846E3F" w:rsidRDefault="00846E3F" w:rsidP="00846E3F">
      <w:pPr>
        <w:spacing w:line="360" w:lineRule="auto"/>
        <w:jc w:val="both"/>
        <w:rPr>
          <w:color w:val="222222"/>
        </w:rPr>
      </w:pPr>
    </w:p>
    <w:p w14:paraId="16C872C6" w14:textId="77777777" w:rsidR="00846E3F" w:rsidRDefault="00846E3F" w:rsidP="00846E3F">
      <w:pPr>
        <w:spacing w:line="360" w:lineRule="auto"/>
        <w:jc w:val="both"/>
        <w:rPr>
          <w:color w:val="222222"/>
        </w:rPr>
      </w:pPr>
    </w:p>
    <w:p w14:paraId="22E7DA31" w14:textId="77777777" w:rsidR="00846E3F" w:rsidRDefault="00846E3F" w:rsidP="00846E3F">
      <w:pPr>
        <w:spacing w:line="360" w:lineRule="auto"/>
        <w:jc w:val="both"/>
        <w:rPr>
          <w:color w:val="222222"/>
        </w:rPr>
      </w:pPr>
    </w:p>
    <w:p w14:paraId="33AA4F7C" w14:textId="77777777" w:rsidR="00846E3F" w:rsidRDefault="00846E3F" w:rsidP="00846E3F">
      <w:pPr>
        <w:spacing w:line="360" w:lineRule="auto"/>
        <w:jc w:val="both"/>
        <w:rPr>
          <w:color w:val="222222"/>
        </w:rPr>
      </w:pPr>
    </w:p>
    <w:p w14:paraId="27B81F0A" w14:textId="77777777" w:rsidR="00846E3F" w:rsidRDefault="00846E3F" w:rsidP="00846E3F">
      <w:pPr>
        <w:spacing w:line="360" w:lineRule="auto"/>
        <w:jc w:val="both"/>
        <w:rPr>
          <w:color w:val="222222"/>
        </w:rPr>
      </w:pPr>
    </w:p>
    <w:p w14:paraId="5D8B980D" w14:textId="77777777" w:rsidR="00846E3F" w:rsidRDefault="00846E3F" w:rsidP="00846E3F">
      <w:pPr>
        <w:spacing w:line="360" w:lineRule="auto"/>
        <w:jc w:val="both"/>
        <w:rPr>
          <w:color w:val="222222"/>
        </w:rPr>
      </w:pPr>
    </w:p>
    <w:p w14:paraId="4F550742" w14:textId="77777777" w:rsidR="00846E3F" w:rsidRDefault="00846E3F" w:rsidP="00846E3F">
      <w:pPr>
        <w:spacing w:line="360" w:lineRule="auto"/>
        <w:jc w:val="both"/>
        <w:rPr>
          <w:color w:val="222222"/>
        </w:rPr>
      </w:pPr>
    </w:p>
    <w:p w14:paraId="0C045555" w14:textId="77777777" w:rsidR="00846E3F" w:rsidRDefault="00846E3F" w:rsidP="00846E3F">
      <w:pPr>
        <w:spacing w:line="360" w:lineRule="auto"/>
        <w:jc w:val="both"/>
        <w:rPr>
          <w:color w:val="222222"/>
        </w:rPr>
      </w:pPr>
    </w:p>
    <w:p w14:paraId="3F99CEFA" w14:textId="77777777" w:rsidR="00E247D1" w:rsidRDefault="00E247D1" w:rsidP="00846E3F">
      <w:pPr>
        <w:spacing w:line="360" w:lineRule="auto"/>
        <w:jc w:val="both"/>
        <w:rPr>
          <w:color w:val="222222"/>
        </w:rPr>
      </w:pPr>
    </w:p>
    <w:p w14:paraId="105E1039" w14:textId="72EC4E0E" w:rsidR="00F4403B" w:rsidRDefault="00C72BAE" w:rsidP="00846E3F">
      <w:pPr>
        <w:pStyle w:val="PargrafodaLista"/>
        <w:numPr>
          <w:ilvl w:val="0"/>
          <w:numId w:val="2"/>
        </w:numPr>
        <w:spacing w:line="360" w:lineRule="auto"/>
        <w:jc w:val="both"/>
        <w:rPr>
          <w:b/>
          <w:bCs/>
          <w:color w:val="000000" w:themeColor="text1"/>
        </w:rPr>
      </w:pPr>
      <w:r>
        <w:rPr>
          <w:b/>
          <w:bCs/>
          <w:color w:val="000000" w:themeColor="text1"/>
        </w:rPr>
        <w:lastRenderedPageBreak/>
        <w:t>HIPÓTE</w:t>
      </w:r>
      <w:r w:rsidR="0045240E" w:rsidRPr="0045240E">
        <w:rPr>
          <w:b/>
          <w:bCs/>
          <w:color w:val="000000" w:themeColor="text1"/>
        </w:rPr>
        <w:t xml:space="preserve">SES </w:t>
      </w:r>
    </w:p>
    <w:p w14:paraId="74A728D5" w14:textId="77777777" w:rsidR="00BC57AE" w:rsidRPr="00F4403B" w:rsidRDefault="00BC57AE" w:rsidP="00BC57AE">
      <w:pPr>
        <w:pStyle w:val="PargrafodaLista"/>
        <w:spacing w:line="360" w:lineRule="auto"/>
        <w:ind w:left="360"/>
        <w:jc w:val="both"/>
        <w:rPr>
          <w:b/>
          <w:bCs/>
          <w:color w:val="000000" w:themeColor="text1"/>
        </w:rPr>
      </w:pPr>
    </w:p>
    <w:p w14:paraId="26087A9F" w14:textId="77777777" w:rsidR="005637B7" w:rsidRPr="0045240E" w:rsidRDefault="005637B7" w:rsidP="00846E3F">
      <w:pPr>
        <w:pStyle w:val="PargrafodaLista"/>
        <w:spacing w:line="360" w:lineRule="auto"/>
        <w:jc w:val="both"/>
        <w:rPr>
          <w:b/>
          <w:bCs/>
          <w:color w:val="000000" w:themeColor="text1"/>
        </w:rPr>
      </w:pPr>
    </w:p>
    <w:p w14:paraId="1A841DCD" w14:textId="1A902ACF" w:rsidR="0045240E" w:rsidRPr="00102720" w:rsidRDefault="0045240E" w:rsidP="00846E3F">
      <w:pPr>
        <w:pStyle w:val="PargrafodaLista"/>
        <w:numPr>
          <w:ilvl w:val="0"/>
          <w:numId w:val="26"/>
        </w:numPr>
        <w:spacing w:line="360" w:lineRule="auto"/>
        <w:jc w:val="both"/>
        <w:rPr>
          <w:color w:val="000000" w:themeColor="text1"/>
        </w:rPr>
      </w:pPr>
      <w:r w:rsidRPr="0045240E">
        <w:rPr>
          <w:color w:val="000000" w:themeColor="text1"/>
        </w:rPr>
        <w:t>H0</w:t>
      </w:r>
      <w:r>
        <w:rPr>
          <w:color w:val="000000" w:themeColor="text1"/>
        </w:rPr>
        <w:t xml:space="preserve">: </w:t>
      </w:r>
      <w:r w:rsidR="00102720">
        <w:rPr>
          <w:color w:val="000000" w:themeColor="text1"/>
        </w:rPr>
        <w:t>Os p</w:t>
      </w:r>
      <w:r>
        <w:rPr>
          <w:color w:val="000000" w:themeColor="text1"/>
        </w:rPr>
        <w:t xml:space="preserve">olimorfismos </w:t>
      </w:r>
      <w:r w:rsidR="00102720">
        <w:rPr>
          <w:color w:val="000000" w:themeColor="text1"/>
        </w:rPr>
        <w:t>estudados associam-se à função tireoidiana de idosas eutireoidianas.</w:t>
      </w:r>
      <w:r w:rsidRPr="00102720">
        <w:rPr>
          <w:color w:val="000000" w:themeColor="text1"/>
        </w:rPr>
        <w:t xml:space="preserve"> </w:t>
      </w:r>
    </w:p>
    <w:p w14:paraId="4DD0868D" w14:textId="2A3128C3" w:rsidR="00147EA0" w:rsidRDefault="0045240E" w:rsidP="00846E3F">
      <w:pPr>
        <w:pStyle w:val="PargrafodaLista"/>
        <w:numPr>
          <w:ilvl w:val="0"/>
          <w:numId w:val="26"/>
        </w:numPr>
        <w:spacing w:line="360" w:lineRule="auto"/>
        <w:jc w:val="both"/>
        <w:rPr>
          <w:color w:val="000000" w:themeColor="text1"/>
        </w:rPr>
      </w:pPr>
      <w:r w:rsidRPr="00102720">
        <w:rPr>
          <w:color w:val="000000" w:themeColor="text1"/>
        </w:rPr>
        <w:t xml:space="preserve">H1: </w:t>
      </w:r>
      <w:r w:rsidR="00102720">
        <w:rPr>
          <w:color w:val="000000" w:themeColor="text1"/>
        </w:rPr>
        <w:t xml:space="preserve">Os polimorfismos estudados não </w:t>
      </w:r>
      <w:r w:rsidR="001C2D58">
        <w:rPr>
          <w:color w:val="000000" w:themeColor="text1"/>
        </w:rPr>
        <w:t>se associam</w:t>
      </w:r>
      <w:r w:rsidR="00102720">
        <w:rPr>
          <w:color w:val="000000" w:themeColor="text1"/>
        </w:rPr>
        <w:t xml:space="preserve"> à função tireoidiana de idosas eutireoidianas.</w:t>
      </w:r>
    </w:p>
    <w:p w14:paraId="09C90E6C" w14:textId="2E54F317" w:rsidR="00147EA0" w:rsidRDefault="00147EA0" w:rsidP="00846E3F">
      <w:pPr>
        <w:spacing w:line="360" w:lineRule="auto"/>
        <w:ind w:left="360"/>
        <w:jc w:val="both"/>
        <w:rPr>
          <w:color w:val="000000" w:themeColor="text1"/>
        </w:rPr>
      </w:pPr>
    </w:p>
    <w:p w14:paraId="0BFE7E38" w14:textId="77777777" w:rsidR="005637B7" w:rsidRDefault="005637B7" w:rsidP="00846E3F">
      <w:pPr>
        <w:spacing w:line="360" w:lineRule="auto"/>
        <w:ind w:left="360"/>
        <w:jc w:val="both"/>
        <w:rPr>
          <w:color w:val="000000" w:themeColor="text1"/>
        </w:rPr>
      </w:pPr>
    </w:p>
    <w:p w14:paraId="1D4A5601" w14:textId="77777777" w:rsidR="00846E3F" w:rsidRDefault="00846E3F" w:rsidP="00846E3F">
      <w:pPr>
        <w:spacing w:line="360" w:lineRule="auto"/>
        <w:ind w:left="360"/>
        <w:jc w:val="both"/>
        <w:rPr>
          <w:color w:val="000000" w:themeColor="text1"/>
        </w:rPr>
      </w:pPr>
    </w:p>
    <w:p w14:paraId="47D219B6" w14:textId="77777777" w:rsidR="00846E3F" w:rsidRDefault="00846E3F" w:rsidP="00846E3F">
      <w:pPr>
        <w:spacing w:line="360" w:lineRule="auto"/>
        <w:ind w:left="360"/>
        <w:jc w:val="both"/>
        <w:rPr>
          <w:color w:val="000000" w:themeColor="text1"/>
        </w:rPr>
      </w:pPr>
    </w:p>
    <w:p w14:paraId="6231418B" w14:textId="77777777" w:rsidR="00846E3F" w:rsidRDefault="00846E3F" w:rsidP="00846E3F">
      <w:pPr>
        <w:spacing w:line="360" w:lineRule="auto"/>
        <w:ind w:left="360"/>
        <w:jc w:val="both"/>
        <w:rPr>
          <w:color w:val="000000" w:themeColor="text1"/>
        </w:rPr>
      </w:pPr>
    </w:p>
    <w:p w14:paraId="16AC56F4" w14:textId="77777777" w:rsidR="00846E3F" w:rsidRDefault="00846E3F" w:rsidP="00846E3F">
      <w:pPr>
        <w:spacing w:line="360" w:lineRule="auto"/>
        <w:ind w:left="360"/>
        <w:jc w:val="both"/>
        <w:rPr>
          <w:color w:val="000000" w:themeColor="text1"/>
        </w:rPr>
      </w:pPr>
    </w:p>
    <w:p w14:paraId="6C907FDE" w14:textId="77777777" w:rsidR="00846E3F" w:rsidRDefault="00846E3F" w:rsidP="00846E3F">
      <w:pPr>
        <w:spacing w:line="360" w:lineRule="auto"/>
        <w:ind w:left="360"/>
        <w:jc w:val="both"/>
        <w:rPr>
          <w:color w:val="000000" w:themeColor="text1"/>
        </w:rPr>
      </w:pPr>
    </w:p>
    <w:p w14:paraId="7E864E72" w14:textId="77777777" w:rsidR="00846E3F" w:rsidRDefault="00846E3F" w:rsidP="00846E3F">
      <w:pPr>
        <w:spacing w:line="360" w:lineRule="auto"/>
        <w:ind w:left="360"/>
        <w:jc w:val="both"/>
        <w:rPr>
          <w:color w:val="000000" w:themeColor="text1"/>
        </w:rPr>
      </w:pPr>
    </w:p>
    <w:p w14:paraId="017C73B6" w14:textId="77777777" w:rsidR="00846E3F" w:rsidRDefault="00846E3F" w:rsidP="00846E3F">
      <w:pPr>
        <w:spacing w:line="360" w:lineRule="auto"/>
        <w:ind w:left="360"/>
        <w:jc w:val="both"/>
        <w:rPr>
          <w:color w:val="000000" w:themeColor="text1"/>
        </w:rPr>
      </w:pPr>
    </w:p>
    <w:p w14:paraId="1E6FD02E" w14:textId="77777777" w:rsidR="00846E3F" w:rsidRDefault="00846E3F" w:rsidP="00846E3F">
      <w:pPr>
        <w:spacing w:line="360" w:lineRule="auto"/>
        <w:ind w:left="360"/>
        <w:jc w:val="both"/>
        <w:rPr>
          <w:color w:val="000000" w:themeColor="text1"/>
        </w:rPr>
      </w:pPr>
    </w:p>
    <w:p w14:paraId="42923DFE" w14:textId="77777777" w:rsidR="00846E3F" w:rsidRDefault="00846E3F" w:rsidP="00846E3F">
      <w:pPr>
        <w:spacing w:line="360" w:lineRule="auto"/>
        <w:ind w:left="360"/>
        <w:jc w:val="both"/>
        <w:rPr>
          <w:color w:val="000000" w:themeColor="text1"/>
        </w:rPr>
      </w:pPr>
    </w:p>
    <w:p w14:paraId="7F6110F9" w14:textId="77777777" w:rsidR="00846E3F" w:rsidRDefault="00846E3F" w:rsidP="00846E3F">
      <w:pPr>
        <w:spacing w:line="360" w:lineRule="auto"/>
        <w:ind w:left="360"/>
        <w:jc w:val="both"/>
        <w:rPr>
          <w:color w:val="000000" w:themeColor="text1"/>
        </w:rPr>
      </w:pPr>
    </w:p>
    <w:p w14:paraId="49D524EE" w14:textId="77777777" w:rsidR="00846E3F" w:rsidRDefault="00846E3F" w:rsidP="00846E3F">
      <w:pPr>
        <w:spacing w:line="360" w:lineRule="auto"/>
        <w:ind w:left="360"/>
        <w:jc w:val="both"/>
        <w:rPr>
          <w:color w:val="000000" w:themeColor="text1"/>
        </w:rPr>
      </w:pPr>
    </w:p>
    <w:p w14:paraId="10F69DB3" w14:textId="77777777" w:rsidR="00846E3F" w:rsidRDefault="00846E3F" w:rsidP="00846E3F">
      <w:pPr>
        <w:spacing w:line="360" w:lineRule="auto"/>
        <w:ind w:left="360"/>
        <w:jc w:val="both"/>
        <w:rPr>
          <w:color w:val="000000" w:themeColor="text1"/>
        </w:rPr>
      </w:pPr>
    </w:p>
    <w:p w14:paraId="600C8A55" w14:textId="77777777" w:rsidR="00846E3F" w:rsidRDefault="00846E3F" w:rsidP="00846E3F">
      <w:pPr>
        <w:spacing w:line="360" w:lineRule="auto"/>
        <w:ind w:left="360"/>
        <w:jc w:val="both"/>
        <w:rPr>
          <w:color w:val="000000" w:themeColor="text1"/>
        </w:rPr>
      </w:pPr>
    </w:p>
    <w:p w14:paraId="5C23C275" w14:textId="77777777" w:rsidR="00846E3F" w:rsidRDefault="00846E3F" w:rsidP="00846E3F">
      <w:pPr>
        <w:spacing w:line="360" w:lineRule="auto"/>
        <w:ind w:left="360"/>
        <w:jc w:val="both"/>
        <w:rPr>
          <w:color w:val="000000" w:themeColor="text1"/>
        </w:rPr>
      </w:pPr>
    </w:p>
    <w:p w14:paraId="62E7EBB4" w14:textId="77777777" w:rsidR="00846E3F" w:rsidRDefault="00846E3F" w:rsidP="00846E3F">
      <w:pPr>
        <w:spacing w:line="360" w:lineRule="auto"/>
        <w:ind w:left="360"/>
        <w:jc w:val="both"/>
        <w:rPr>
          <w:color w:val="000000" w:themeColor="text1"/>
        </w:rPr>
      </w:pPr>
    </w:p>
    <w:p w14:paraId="764A3320" w14:textId="77777777" w:rsidR="00846E3F" w:rsidRDefault="00846E3F" w:rsidP="00846E3F">
      <w:pPr>
        <w:spacing w:line="360" w:lineRule="auto"/>
        <w:ind w:left="360"/>
        <w:jc w:val="both"/>
        <w:rPr>
          <w:color w:val="000000" w:themeColor="text1"/>
        </w:rPr>
      </w:pPr>
    </w:p>
    <w:p w14:paraId="1798518E" w14:textId="77777777" w:rsidR="00846E3F" w:rsidRDefault="00846E3F" w:rsidP="00846E3F">
      <w:pPr>
        <w:spacing w:line="360" w:lineRule="auto"/>
        <w:ind w:left="360"/>
        <w:jc w:val="both"/>
        <w:rPr>
          <w:color w:val="000000" w:themeColor="text1"/>
        </w:rPr>
      </w:pPr>
    </w:p>
    <w:p w14:paraId="497D8309" w14:textId="77777777" w:rsidR="00846E3F" w:rsidRDefault="00846E3F" w:rsidP="00846E3F">
      <w:pPr>
        <w:spacing w:line="360" w:lineRule="auto"/>
        <w:ind w:left="360"/>
        <w:jc w:val="both"/>
        <w:rPr>
          <w:color w:val="000000" w:themeColor="text1"/>
        </w:rPr>
      </w:pPr>
    </w:p>
    <w:p w14:paraId="6F18D0ED" w14:textId="77777777" w:rsidR="00846E3F" w:rsidRDefault="00846E3F" w:rsidP="00846E3F">
      <w:pPr>
        <w:spacing w:line="360" w:lineRule="auto"/>
        <w:ind w:left="360"/>
        <w:jc w:val="both"/>
        <w:rPr>
          <w:color w:val="000000" w:themeColor="text1"/>
        </w:rPr>
      </w:pPr>
    </w:p>
    <w:p w14:paraId="2613FA14" w14:textId="77777777" w:rsidR="00846E3F" w:rsidRDefault="00846E3F" w:rsidP="00846E3F">
      <w:pPr>
        <w:spacing w:line="360" w:lineRule="auto"/>
        <w:ind w:left="360"/>
        <w:jc w:val="both"/>
        <w:rPr>
          <w:color w:val="000000" w:themeColor="text1"/>
        </w:rPr>
      </w:pPr>
    </w:p>
    <w:p w14:paraId="676D8CFB" w14:textId="77777777" w:rsidR="00846E3F" w:rsidRDefault="00846E3F" w:rsidP="00846E3F">
      <w:pPr>
        <w:spacing w:line="360" w:lineRule="auto"/>
        <w:ind w:left="360"/>
        <w:jc w:val="both"/>
        <w:rPr>
          <w:color w:val="000000" w:themeColor="text1"/>
        </w:rPr>
      </w:pPr>
    </w:p>
    <w:p w14:paraId="70C67077" w14:textId="77777777" w:rsidR="00846E3F" w:rsidRDefault="00846E3F" w:rsidP="00846E3F">
      <w:pPr>
        <w:spacing w:line="360" w:lineRule="auto"/>
        <w:ind w:left="360"/>
        <w:jc w:val="both"/>
        <w:rPr>
          <w:color w:val="000000" w:themeColor="text1"/>
        </w:rPr>
      </w:pPr>
    </w:p>
    <w:p w14:paraId="07D58C08" w14:textId="77777777" w:rsidR="00846E3F" w:rsidRDefault="00846E3F" w:rsidP="00846E3F">
      <w:pPr>
        <w:spacing w:line="360" w:lineRule="auto"/>
        <w:ind w:left="360"/>
        <w:jc w:val="both"/>
        <w:rPr>
          <w:color w:val="000000" w:themeColor="text1"/>
        </w:rPr>
      </w:pPr>
    </w:p>
    <w:p w14:paraId="2669B9B1" w14:textId="77777777" w:rsidR="00846E3F" w:rsidRDefault="00846E3F" w:rsidP="00846E3F">
      <w:pPr>
        <w:spacing w:line="360" w:lineRule="auto"/>
        <w:ind w:left="360"/>
        <w:jc w:val="both"/>
        <w:rPr>
          <w:color w:val="000000" w:themeColor="text1"/>
        </w:rPr>
      </w:pPr>
    </w:p>
    <w:p w14:paraId="41058A47" w14:textId="77777777" w:rsidR="00846E3F" w:rsidRDefault="00846E3F" w:rsidP="00846E3F">
      <w:pPr>
        <w:spacing w:line="360" w:lineRule="auto"/>
        <w:ind w:left="360"/>
        <w:jc w:val="both"/>
        <w:rPr>
          <w:color w:val="000000" w:themeColor="text1"/>
        </w:rPr>
      </w:pPr>
    </w:p>
    <w:p w14:paraId="75F88C9E" w14:textId="11859171" w:rsidR="009466C7" w:rsidRPr="00451B99" w:rsidRDefault="00DF0524" w:rsidP="00846E3F">
      <w:pPr>
        <w:pStyle w:val="PargrafodaLista"/>
        <w:numPr>
          <w:ilvl w:val="0"/>
          <w:numId w:val="2"/>
        </w:numPr>
        <w:pBdr>
          <w:top w:val="nil"/>
          <w:left w:val="nil"/>
          <w:bottom w:val="nil"/>
          <w:right w:val="nil"/>
          <w:between w:val="nil"/>
        </w:pBdr>
        <w:spacing w:line="360" w:lineRule="auto"/>
        <w:rPr>
          <w:b/>
          <w:color w:val="222222"/>
        </w:rPr>
      </w:pPr>
      <w:r w:rsidRPr="00451B99">
        <w:rPr>
          <w:b/>
          <w:color w:val="222222"/>
        </w:rPr>
        <w:lastRenderedPageBreak/>
        <w:t>MATERIAIS E MÉTODOS</w:t>
      </w:r>
    </w:p>
    <w:p w14:paraId="62AC37BF" w14:textId="77777777" w:rsidR="005637B7" w:rsidRPr="00F4403B" w:rsidRDefault="005637B7" w:rsidP="00846E3F">
      <w:pPr>
        <w:pBdr>
          <w:top w:val="nil"/>
          <w:left w:val="nil"/>
          <w:bottom w:val="nil"/>
          <w:right w:val="nil"/>
          <w:between w:val="nil"/>
        </w:pBdr>
        <w:spacing w:line="360" w:lineRule="auto"/>
        <w:rPr>
          <w:b/>
          <w:color w:val="222222"/>
        </w:rPr>
      </w:pPr>
    </w:p>
    <w:p w14:paraId="633DBA14" w14:textId="77777777" w:rsidR="008C260C" w:rsidRDefault="004226DE" w:rsidP="00846E3F">
      <w:pPr>
        <w:tabs>
          <w:tab w:val="left" w:pos="6645"/>
        </w:tabs>
        <w:autoSpaceDE w:val="0"/>
        <w:autoSpaceDN w:val="0"/>
        <w:adjustRightInd w:val="0"/>
        <w:spacing w:line="360" w:lineRule="auto"/>
        <w:jc w:val="both"/>
      </w:pPr>
      <w:r>
        <w:t xml:space="preserve">     </w:t>
      </w:r>
      <w:r w:rsidR="009F39E7">
        <w:t xml:space="preserve">Esta </w:t>
      </w:r>
      <w:r w:rsidR="009466C7" w:rsidRPr="009466C7">
        <w:t xml:space="preserve">dissertação de mestrado integra linha de pesquisa do Programa de Pós-Graduação </w:t>
      </w:r>
      <w:r w:rsidR="009F39E7">
        <w:t xml:space="preserve">em </w:t>
      </w:r>
      <w:r w:rsidR="009466C7" w:rsidRPr="009466C7">
        <w:t>Processos Interativos de Órgãos e Sistemas</w:t>
      </w:r>
      <w:r w:rsidR="009F39E7">
        <w:t>,</w:t>
      </w:r>
      <w:r w:rsidR="009466C7" w:rsidRPr="009466C7">
        <w:t xml:space="preserve"> do Instituto de Ciências da Saúde (ICS) e </w:t>
      </w:r>
      <w:r w:rsidR="009F39E7">
        <w:t xml:space="preserve">do </w:t>
      </w:r>
      <w:r w:rsidR="009466C7" w:rsidRPr="009466C7">
        <w:t>Laboratório de Estudo da Tireoide</w:t>
      </w:r>
      <w:r w:rsidR="009F39E7">
        <w:t>, ambos</w:t>
      </w:r>
      <w:r w:rsidR="009466C7" w:rsidRPr="009466C7">
        <w:t xml:space="preserve"> da Universidade Federal da Bahia (UFBA); atende às normas para a realização de pesquisa em seres humanos</w:t>
      </w:r>
      <w:r w:rsidR="009F39E7">
        <w:t>,</w:t>
      </w:r>
      <w:r w:rsidR="009466C7" w:rsidRPr="009466C7">
        <w:t xml:space="preserve"> de acordo com a Resolução </w:t>
      </w:r>
      <w:r w:rsidR="009F39E7">
        <w:t xml:space="preserve">n. </w:t>
      </w:r>
      <w:r w:rsidR="009466C7" w:rsidRPr="009466C7">
        <w:t>466/2012 do Conselho Nacional de Saúde (CNS), sendo submetido para aprovação pelo Comitê de Ética em Pesquisa (CEP) do ICS/UFBA</w:t>
      </w:r>
      <w:r w:rsidR="006F08C4">
        <w:t xml:space="preserve"> e registrado na Plataforma Brasil com CAAE 93016218.9.0000.5662.</w:t>
      </w:r>
    </w:p>
    <w:p w14:paraId="21146534" w14:textId="52187B37" w:rsidR="00DF0524" w:rsidRDefault="009466C7" w:rsidP="00846E3F">
      <w:pPr>
        <w:tabs>
          <w:tab w:val="left" w:pos="6645"/>
        </w:tabs>
        <w:autoSpaceDE w:val="0"/>
        <w:autoSpaceDN w:val="0"/>
        <w:adjustRightInd w:val="0"/>
        <w:spacing w:line="360" w:lineRule="auto"/>
        <w:jc w:val="both"/>
        <w:rPr>
          <w:rFonts w:eastAsia="Calibri"/>
          <w:b/>
        </w:rPr>
      </w:pPr>
      <w:r>
        <w:rPr>
          <w:rFonts w:eastAsia="Calibri"/>
          <w:b/>
        </w:rPr>
        <w:tab/>
      </w:r>
    </w:p>
    <w:p w14:paraId="267B458C" w14:textId="1892E017" w:rsidR="00DF0524" w:rsidRPr="00BC57AE" w:rsidRDefault="00BC57AE" w:rsidP="00BC57AE">
      <w:pPr>
        <w:pBdr>
          <w:top w:val="nil"/>
          <w:left w:val="nil"/>
          <w:bottom w:val="nil"/>
          <w:right w:val="nil"/>
          <w:between w:val="nil"/>
        </w:pBdr>
        <w:spacing w:line="360" w:lineRule="auto"/>
        <w:rPr>
          <w:color w:val="222222"/>
        </w:rPr>
      </w:pPr>
      <w:r>
        <w:rPr>
          <w:color w:val="222222"/>
        </w:rPr>
        <w:t>5.1</w:t>
      </w:r>
      <w:r w:rsidR="00112065" w:rsidRPr="00BC57AE">
        <w:rPr>
          <w:color w:val="222222"/>
        </w:rPr>
        <w:t xml:space="preserve"> </w:t>
      </w:r>
      <w:r w:rsidR="00DF0524" w:rsidRPr="00BC57AE">
        <w:rPr>
          <w:color w:val="222222"/>
        </w:rPr>
        <w:t xml:space="preserve">DESENHO DO ESTUDO </w:t>
      </w:r>
    </w:p>
    <w:p w14:paraId="51BC32EF" w14:textId="77777777" w:rsidR="00846E3F" w:rsidRPr="00451B99" w:rsidRDefault="00846E3F" w:rsidP="00846E3F">
      <w:pPr>
        <w:pStyle w:val="PargrafodaLista"/>
        <w:pBdr>
          <w:top w:val="nil"/>
          <w:left w:val="nil"/>
          <w:bottom w:val="nil"/>
          <w:right w:val="nil"/>
          <w:between w:val="nil"/>
        </w:pBdr>
        <w:spacing w:line="360" w:lineRule="auto"/>
        <w:ind w:left="360"/>
        <w:rPr>
          <w:color w:val="222222"/>
        </w:rPr>
      </w:pPr>
    </w:p>
    <w:p w14:paraId="39C4AB00" w14:textId="1C305B85" w:rsidR="009466C7" w:rsidRDefault="004226DE" w:rsidP="00846E3F">
      <w:pPr>
        <w:shd w:val="clear" w:color="auto" w:fill="FFFFFF"/>
        <w:spacing w:line="360" w:lineRule="auto"/>
        <w:jc w:val="both"/>
      </w:pPr>
      <w:r>
        <w:t xml:space="preserve">     </w:t>
      </w:r>
      <w:r w:rsidR="00DF0524">
        <w:t xml:space="preserve">Estudo </w:t>
      </w:r>
      <w:r w:rsidR="005B4EC6" w:rsidRPr="005B4EC6">
        <w:rPr>
          <w:color w:val="000000"/>
        </w:rPr>
        <w:t xml:space="preserve">observacional, analítico e </w:t>
      </w:r>
      <w:r w:rsidR="009466C7">
        <w:rPr>
          <w:color w:val="000000"/>
        </w:rPr>
        <w:t xml:space="preserve">de corte </w:t>
      </w:r>
      <w:r w:rsidR="005B4EC6" w:rsidRPr="005B4EC6">
        <w:rPr>
          <w:color w:val="000000"/>
        </w:rPr>
        <w:t>transversal</w:t>
      </w:r>
      <w:r w:rsidR="009F39E7">
        <w:rPr>
          <w:color w:val="000000"/>
        </w:rPr>
        <w:t>,</w:t>
      </w:r>
      <w:r w:rsidR="005B4EC6" w:rsidRPr="005B4EC6">
        <w:rPr>
          <w:color w:val="000000"/>
        </w:rPr>
        <w:t xml:space="preserve"> realizado entre </w:t>
      </w:r>
      <w:r w:rsidR="00750BA6">
        <w:rPr>
          <w:color w:val="000000"/>
        </w:rPr>
        <w:t xml:space="preserve">agosto de </w:t>
      </w:r>
      <w:r w:rsidR="005B4EC6" w:rsidRPr="005B4EC6">
        <w:rPr>
          <w:color w:val="000000"/>
        </w:rPr>
        <w:t>2018 e</w:t>
      </w:r>
      <w:r w:rsidR="005B4EC6">
        <w:rPr>
          <w:color w:val="000000"/>
        </w:rPr>
        <w:t xml:space="preserve"> </w:t>
      </w:r>
      <w:r w:rsidR="00750BA6">
        <w:rPr>
          <w:color w:val="000000"/>
        </w:rPr>
        <w:t xml:space="preserve">junho de </w:t>
      </w:r>
      <w:r w:rsidR="005B4EC6" w:rsidRPr="005B4EC6">
        <w:rPr>
          <w:color w:val="000000"/>
        </w:rPr>
        <w:t>2019</w:t>
      </w:r>
      <w:r w:rsidR="00750BA6">
        <w:rPr>
          <w:color w:val="000000"/>
        </w:rPr>
        <w:t xml:space="preserve">, </w:t>
      </w:r>
      <w:r w:rsidR="0017688A">
        <w:rPr>
          <w:color w:val="000000"/>
        </w:rPr>
        <w:t xml:space="preserve">em Salvador, cidade litorânea e capital do estado da Bahia. </w:t>
      </w:r>
      <w:r w:rsidR="00102720">
        <w:rPr>
          <w:color w:val="000000"/>
        </w:rPr>
        <w:t xml:space="preserve">Idosas não institucionalizadas frequentadoras </w:t>
      </w:r>
      <w:r w:rsidR="00DF0524">
        <w:t>da Universidade Aberta da Terceira Idade (UATI) da Universidade Estadual da Bahia (UNEB)</w:t>
      </w:r>
      <w:r w:rsidR="00102720">
        <w:t xml:space="preserve"> foram selecionadas para o estudo. </w:t>
      </w:r>
    </w:p>
    <w:p w14:paraId="3E3C6BD0" w14:textId="13D2ED62" w:rsidR="009466C7" w:rsidRDefault="004226DE" w:rsidP="00841744">
      <w:pPr>
        <w:autoSpaceDE w:val="0"/>
        <w:autoSpaceDN w:val="0"/>
        <w:adjustRightInd w:val="0"/>
        <w:spacing w:line="360" w:lineRule="auto"/>
        <w:jc w:val="both"/>
      </w:pPr>
      <w:r>
        <w:t xml:space="preserve">     </w:t>
      </w:r>
      <w:r w:rsidR="009466C7">
        <w:t>A Universidade Aberta à Terceira Idad</w:t>
      </w:r>
      <w:r w:rsidR="00D56FB7">
        <w:t xml:space="preserve">e, </w:t>
      </w:r>
      <w:r w:rsidR="009466C7">
        <w:t>UATI</w:t>
      </w:r>
      <w:r w:rsidR="00D56FB7">
        <w:t xml:space="preserve">, </w:t>
      </w:r>
      <w:r w:rsidR="009466C7">
        <w:t xml:space="preserve">é um programa de extensão universitária que se caracteriza como uma proposta de educação continuada não formal; atende a pessoas de ambos os sexos de qualquer nível </w:t>
      </w:r>
      <w:r w:rsidR="00D56FB7">
        <w:t>s</w:t>
      </w:r>
      <w:r w:rsidR="009F39E7">
        <w:t>o</w:t>
      </w:r>
      <w:r w:rsidR="00D56FB7">
        <w:t>cioeducacional</w:t>
      </w:r>
      <w:r w:rsidR="009F39E7">
        <w:t>,</w:t>
      </w:r>
      <w:r w:rsidR="009466C7">
        <w:t xml:space="preserve"> cuja faixa etária seja igual ou superior a 60 anos, objetivando a reinserção psicossocial para o pleno exercício da cidadania e desenvolvendo ações educativas de caráter permanente; tem o propósito de, sob a ótica da Pedagogia Social, estimular a reflexão sobre as diversas concepções de velhice no cenário da contemporaneidade. A UATI atende atualmente 800 pessoas em Salvador e em torno de 3</w:t>
      </w:r>
      <w:r w:rsidR="009F39E7">
        <w:t xml:space="preserve"> mil</w:t>
      </w:r>
      <w:r w:rsidR="009466C7">
        <w:t xml:space="preserve"> no total das unidades de ensino onde funciona o programa. A UATI/UNEB é formada por uma equipe multidisciplinar de profissionais das áreas de Pedagogia, Direito, Biologia, Psicologia, Nutrição, Enfermagem, entre outros.</w:t>
      </w:r>
    </w:p>
    <w:p w14:paraId="416F89A7" w14:textId="7A45C47D" w:rsidR="00DC5EC4" w:rsidRDefault="00DC5EC4" w:rsidP="00841744">
      <w:pPr>
        <w:autoSpaceDE w:val="0"/>
        <w:autoSpaceDN w:val="0"/>
        <w:adjustRightInd w:val="0"/>
        <w:spacing w:line="360" w:lineRule="auto"/>
        <w:jc w:val="both"/>
      </w:pPr>
    </w:p>
    <w:p w14:paraId="2D119351" w14:textId="67198C1D" w:rsidR="00DF0524" w:rsidRDefault="00CC09D0" w:rsidP="00841744">
      <w:pPr>
        <w:pStyle w:val="PargrafodaLista"/>
        <w:numPr>
          <w:ilvl w:val="1"/>
          <w:numId w:val="2"/>
        </w:numPr>
        <w:pBdr>
          <w:top w:val="nil"/>
          <w:left w:val="nil"/>
          <w:bottom w:val="nil"/>
          <w:right w:val="nil"/>
          <w:between w:val="nil"/>
        </w:pBdr>
        <w:spacing w:line="360" w:lineRule="auto"/>
        <w:rPr>
          <w:color w:val="222222"/>
        </w:rPr>
      </w:pPr>
      <w:r w:rsidRPr="00451B99">
        <w:rPr>
          <w:color w:val="222222"/>
        </w:rPr>
        <w:t xml:space="preserve"> POPULAÇÃO DO ESTUDO</w:t>
      </w:r>
    </w:p>
    <w:p w14:paraId="49E034DF" w14:textId="77777777" w:rsidR="00841744" w:rsidRDefault="00841744" w:rsidP="00841744">
      <w:pPr>
        <w:pStyle w:val="PargrafodaLista"/>
        <w:pBdr>
          <w:top w:val="nil"/>
          <w:left w:val="nil"/>
          <w:bottom w:val="nil"/>
          <w:right w:val="nil"/>
          <w:between w:val="nil"/>
        </w:pBdr>
        <w:spacing w:line="360" w:lineRule="auto"/>
        <w:ind w:left="360"/>
        <w:rPr>
          <w:color w:val="222222"/>
        </w:rPr>
      </w:pPr>
    </w:p>
    <w:p w14:paraId="5DDADD81" w14:textId="4CAB1A31" w:rsidR="00DC5EC4" w:rsidRDefault="004226DE" w:rsidP="00841744">
      <w:pPr>
        <w:spacing w:line="360" w:lineRule="auto"/>
      </w:pPr>
      <w:r>
        <w:t xml:space="preserve">     </w:t>
      </w:r>
      <w:r w:rsidR="00DF0524" w:rsidRPr="00CC09D0">
        <w:t>A amostra foi selecionada por conveniência e composta por mulheres idosas com mais de 60 anos</w:t>
      </w:r>
      <w:r w:rsidR="009F39E7">
        <w:t>,</w:t>
      </w:r>
      <w:r w:rsidR="00DF0524" w:rsidRPr="00CC09D0">
        <w:t xml:space="preserve"> frequentadoras da UATI</w:t>
      </w:r>
      <w:r w:rsidR="009F39E7">
        <w:t>,</w:t>
      </w:r>
      <w:r w:rsidR="00DF0524" w:rsidRPr="00CC09D0">
        <w:t xml:space="preserve"> no período das suas atividades.</w:t>
      </w:r>
    </w:p>
    <w:p w14:paraId="6952115C" w14:textId="77777777" w:rsidR="00B1381F" w:rsidRDefault="00B1381F" w:rsidP="00CC09D0">
      <w:pPr>
        <w:spacing w:before="30" w:line="360" w:lineRule="auto"/>
      </w:pPr>
    </w:p>
    <w:p w14:paraId="103BC0AE" w14:textId="77777777" w:rsidR="008C260C" w:rsidRDefault="008C260C" w:rsidP="00CC09D0">
      <w:pPr>
        <w:spacing w:before="30" w:line="360" w:lineRule="auto"/>
      </w:pPr>
    </w:p>
    <w:p w14:paraId="7A24B5C2" w14:textId="20D524AF" w:rsidR="006333CC" w:rsidRDefault="00BC57AE" w:rsidP="00CC09D0">
      <w:pPr>
        <w:spacing w:before="30" w:line="360" w:lineRule="auto"/>
      </w:pPr>
      <w:r>
        <w:lastRenderedPageBreak/>
        <w:t>5.3</w:t>
      </w:r>
      <w:r w:rsidR="006333CC">
        <w:t xml:space="preserve"> </w:t>
      </w:r>
      <w:r>
        <w:t>GRUPO</w:t>
      </w:r>
      <w:r w:rsidR="006333CC">
        <w:t xml:space="preserve"> AMOSTRAL</w:t>
      </w:r>
    </w:p>
    <w:p w14:paraId="773ED767" w14:textId="77777777" w:rsidR="008C260C" w:rsidRDefault="008C260C" w:rsidP="00846E3F">
      <w:pPr>
        <w:shd w:val="clear" w:color="auto" w:fill="FFFFFF"/>
        <w:spacing w:line="360" w:lineRule="auto"/>
        <w:jc w:val="both"/>
        <w:rPr>
          <w:lang w:eastAsia="en-US"/>
        </w:rPr>
      </w:pPr>
    </w:p>
    <w:p w14:paraId="4CBC2F8A" w14:textId="434EDBFD" w:rsidR="004226DE" w:rsidRPr="00DC5EC4" w:rsidRDefault="0063770C" w:rsidP="00846E3F">
      <w:pPr>
        <w:shd w:val="clear" w:color="auto" w:fill="FFFFFF"/>
        <w:spacing w:line="360" w:lineRule="auto"/>
        <w:jc w:val="both"/>
        <w:rPr>
          <w:color w:val="222222"/>
        </w:rPr>
      </w:pPr>
      <w:r w:rsidRPr="0063770C">
        <w:rPr>
          <w:lang w:eastAsia="en-US"/>
        </w:rPr>
        <w:t xml:space="preserve">     </w:t>
      </w:r>
      <w:r w:rsidRPr="0063770C">
        <w:t xml:space="preserve">Realizou-se o cálculo do poder estatístico utilizando o </w:t>
      </w:r>
      <w:r w:rsidRPr="00E247D1">
        <w:rPr>
          <w:i/>
        </w:rPr>
        <w:t>software</w:t>
      </w:r>
      <w:r w:rsidRPr="0063770C">
        <w:t xml:space="preserve"> </w:t>
      </w:r>
      <w:proofErr w:type="spellStart"/>
      <w:r w:rsidRPr="0063770C">
        <w:t>GPower</w:t>
      </w:r>
      <w:proofErr w:type="spellEnd"/>
      <w:r w:rsidRPr="0063770C">
        <w:t xml:space="preserve"> 3.1.9.7</w:t>
      </w:r>
      <w:r w:rsidR="00FC6C6E">
        <w:t xml:space="preserve"> </w:t>
      </w:r>
      <w:r w:rsidR="00FC6C6E">
        <w:fldChar w:fldCharType="begin"/>
      </w:r>
      <w:r w:rsidR="00B37F3C">
        <w:instrText xml:space="preserve"> ADDIN ZOTERO_ITEM CSL_CITATION {"citationID":"pzw7D1Sg","properties":{"unsorted":true,"formattedCitation":"(91\\uc0\\u8211{}93)","plainCitation":"(91–93)","noteIndex":0},"citationItems":[{"id":2255,"uris":["http://zotero.org/users/7110448/items/FUJC5MU2"],"itemData":{"id":2255,"type":"webpage","language":"de","title":"Universität Düsseldorf: G*Power","title-short":"Universität Düsseldorf","URL":"https://www.psychologie.hhu.de/arbeitsgruppen/allgemeine-psychologie-und-arbeitspsychologie/gpower","accessed":{"date-parts":[["2022",5,29]]}},"label":"page"},{"id":2257,"uris":["http://zotero.org/users/7110448/items/USYJRJ25"],"itemData":{"id":2257,"type":"article-journal","abstrac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 t, F, and chi2 test families. In addition, it includes power analyses for z tests and some exact tests. G*Power 3 provides improved effect size calculators and graphic options, supports both distribution-based and design-based input modes, and offers all types of power analyses in which users might be interested. Like its predecessors, G*Power 3 is free.","container-title":"Behavior Research Methods","DOI":"10.3758/bf03193146","ISSN":"1554-351X","issue":"2","journalAbbreviation":"Behav Res Methods","language":"eng","note":"PMID: 17695343","page":"175-191","source":"PubMed","title":"G*Power 3: a flexible statistical power analysis program for the social, behavioral, and biomedical sciences","title-short":"G*Power 3","volume":"39","author":[{"family":"Faul","given":"Franz"},{"family":"Erdfelder","given":"Edgar"},{"family":"Lang","given":"Albert-Georg"},{"family":"Buchner","given":"Axel"}],"issued":{"date-parts":[["2007",5]]}},"label":"page"},{"id":2260,"uris":["http://zotero.org/users/7110448/items/7H8J5KKL"],"itemData":{"id":2260,"type":"article-journal","abstract":"G*Power is a free power analysis program for a variety of statistical tests. We present extensions and improvements of the version introduced by Faul, Erdfelder, Lang, and Buchner (2007) in the domain of correlation and regression analyses. In the new version, we have added procedures to analyze the power of tests based on (1) single-sample tetrachoric correlations, (2) comparisons of dependent correlations, (3) bivariate linear regression, (4) multiple linear regression based on the random predictor model, (5) logistic regression, and (6) Poisson regression. We describe these new features and provide a brief introduction to their scope and handling.","container-title":"Behavior Research Methods","DOI":"10.3758/BRM.41.4.1149","ISSN":"1554-3528","issue":"4","journalAbbreviation":"Behav Res Methods","language":"eng","note":"PMID: 19897823","page":"1149-1160","source":"PubMed","title":"Statistical power analyses using G*Power 3.1: tests for correlation and regression analyses","title-short":"Statistical power analyses using G*Power 3.1","volume":"41","author":[{"family":"Faul","given":"Franz"},{"family":"Erdfelder","given":"Edgar"},{"family":"Buchner","given":"Axel"},{"family":"Lang","given":"Albert-Georg"}],"issued":{"date-parts":[["2009",11]]}},"label":"page"}],"schema":"https://github.com/citation-style-language/schema/raw/master/csl-citation.json"} </w:instrText>
      </w:r>
      <w:r w:rsidR="00FC6C6E">
        <w:fldChar w:fldCharType="separate"/>
      </w:r>
      <w:r w:rsidR="00B37F3C" w:rsidRPr="00B37F3C">
        <w:t>(91–93)</w:t>
      </w:r>
      <w:r w:rsidR="00FC6C6E">
        <w:fldChar w:fldCharType="end"/>
      </w:r>
      <w:r w:rsidRPr="0063770C">
        <w:t xml:space="preserve">. O tamanho da amostra atual (64 pacientes) detectou um poder de 80%, considerando um tamanho de efeito (Cohen D) de 0,3. </w:t>
      </w:r>
      <w:r w:rsidR="004226DE">
        <w:rPr>
          <w:color w:val="1D2228"/>
          <w:shd w:val="clear" w:color="auto" w:fill="FFFFFF"/>
        </w:rPr>
        <w:t xml:space="preserve">   </w:t>
      </w:r>
    </w:p>
    <w:p w14:paraId="0025694A" w14:textId="5B72D54A" w:rsidR="004226DE" w:rsidRDefault="004226DE" w:rsidP="00846E3F">
      <w:pPr>
        <w:spacing w:line="360" w:lineRule="auto"/>
        <w:jc w:val="both"/>
      </w:pPr>
    </w:p>
    <w:p w14:paraId="2A7491C1" w14:textId="1309EAFF" w:rsidR="003479D5" w:rsidRPr="00B6048A" w:rsidRDefault="00DF0524" w:rsidP="00B6048A">
      <w:pPr>
        <w:pStyle w:val="PargrafodaLista"/>
        <w:numPr>
          <w:ilvl w:val="1"/>
          <w:numId w:val="44"/>
        </w:numPr>
        <w:pBdr>
          <w:top w:val="nil"/>
          <w:left w:val="nil"/>
          <w:bottom w:val="nil"/>
          <w:right w:val="nil"/>
          <w:between w:val="nil"/>
        </w:pBdr>
        <w:spacing w:line="360" w:lineRule="auto"/>
        <w:rPr>
          <w:color w:val="222222"/>
        </w:rPr>
      </w:pPr>
      <w:r w:rsidRPr="00B6048A">
        <w:rPr>
          <w:color w:val="222222"/>
        </w:rPr>
        <w:t>CRITÉRIOS DE INCLUSÃO E EXCLUSÃO</w:t>
      </w:r>
    </w:p>
    <w:p w14:paraId="2517371C" w14:textId="06A9F974" w:rsidR="005637B7" w:rsidRDefault="005637B7" w:rsidP="00846E3F">
      <w:pPr>
        <w:pStyle w:val="PargrafodaLista"/>
        <w:pBdr>
          <w:top w:val="nil"/>
          <w:left w:val="nil"/>
          <w:bottom w:val="nil"/>
          <w:right w:val="nil"/>
          <w:between w:val="nil"/>
        </w:pBdr>
        <w:spacing w:line="360" w:lineRule="auto"/>
        <w:ind w:left="780"/>
        <w:rPr>
          <w:color w:val="222222"/>
        </w:rPr>
      </w:pPr>
    </w:p>
    <w:p w14:paraId="3257ABF5" w14:textId="637303FE" w:rsidR="00A259C8" w:rsidRPr="009F39E7" w:rsidRDefault="009F39E7" w:rsidP="00846E3F">
      <w:pPr>
        <w:spacing w:line="360" w:lineRule="auto"/>
        <w:rPr>
          <w:b/>
          <w:lang w:val="en-US" w:eastAsia="en-US"/>
        </w:rPr>
      </w:pPr>
      <w:r w:rsidRPr="00B6048A">
        <w:rPr>
          <w:lang w:eastAsia="en-US"/>
        </w:rPr>
        <w:t xml:space="preserve">     </w:t>
      </w:r>
      <w:r w:rsidRPr="00B6048A">
        <w:rPr>
          <w:b/>
          <w:lang w:eastAsia="en-US"/>
        </w:rPr>
        <w:t xml:space="preserve"> </w:t>
      </w:r>
      <w:proofErr w:type="spellStart"/>
      <w:r w:rsidRPr="009F39E7">
        <w:rPr>
          <w:b/>
          <w:lang w:val="en-US" w:eastAsia="en-US"/>
        </w:rPr>
        <w:t>Inclusão</w:t>
      </w:r>
      <w:proofErr w:type="spellEnd"/>
    </w:p>
    <w:p w14:paraId="686C9671" w14:textId="22FEC948" w:rsidR="00A259C8" w:rsidRDefault="00A259C8" w:rsidP="00846E3F">
      <w:pPr>
        <w:pStyle w:val="PargrafodaLista"/>
        <w:numPr>
          <w:ilvl w:val="0"/>
          <w:numId w:val="16"/>
        </w:numPr>
        <w:autoSpaceDE w:val="0"/>
        <w:autoSpaceDN w:val="0"/>
        <w:adjustRightInd w:val="0"/>
        <w:spacing w:line="360" w:lineRule="auto"/>
        <w:jc w:val="both"/>
      </w:pPr>
      <w:r>
        <w:t>Idos</w:t>
      </w:r>
      <w:r w:rsidR="00102720">
        <w:t>a</w:t>
      </w:r>
      <w:r>
        <w:t xml:space="preserve">s (&gt; 60 anos) </w:t>
      </w:r>
      <w:r w:rsidR="009F39E7">
        <w:t>assistida</w:t>
      </w:r>
      <w:r w:rsidRPr="00F46A34">
        <w:t>s</w:t>
      </w:r>
      <w:r>
        <w:t xml:space="preserve"> </w:t>
      </w:r>
      <w:r w:rsidRPr="00F46A34">
        <w:t>pe</w:t>
      </w:r>
      <w:r>
        <w:t xml:space="preserve">la UATI </w:t>
      </w:r>
      <w:r w:rsidR="00102720">
        <w:t xml:space="preserve">e </w:t>
      </w:r>
      <w:r>
        <w:t>que</w:t>
      </w:r>
      <w:r w:rsidRPr="00F46A34">
        <w:t xml:space="preserve"> consentir</w:t>
      </w:r>
      <w:r w:rsidR="00DC5EC4">
        <w:t>a</w:t>
      </w:r>
      <w:r w:rsidRPr="00F46A34">
        <w:t>m e assinar</w:t>
      </w:r>
      <w:r w:rsidR="00DC5EC4">
        <w:t>a</w:t>
      </w:r>
      <w:r w:rsidRPr="00F46A34">
        <w:t>m o TCLE e/ou tiver</w:t>
      </w:r>
      <w:r w:rsidR="00DC5EC4">
        <w:t>a</w:t>
      </w:r>
      <w:r w:rsidRPr="00F46A34">
        <w:t>m a permissão dos</w:t>
      </w:r>
      <w:r w:rsidRPr="00B876AE">
        <w:t xml:space="preserve"> seus responsáveis legais para a pesquisa e ações</w:t>
      </w:r>
      <w:r>
        <w:t xml:space="preserve"> na UATI</w:t>
      </w:r>
      <w:r w:rsidRPr="00B876AE">
        <w:t xml:space="preserve">. </w:t>
      </w:r>
    </w:p>
    <w:p w14:paraId="21E37DC5" w14:textId="6BF23D5F" w:rsidR="00F335AD" w:rsidRDefault="00927A98" w:rsidP="00846E3F">
      <w:pPr>
        <w:pStyle w:val="PargrafodaLista"/>
        <w:numPr>
          <w:ilvl w:val="0"/>
          <w:numId w:val="16"/>
        </w:numPr>
        <w:autoSpaceDE w:val="0"/>
        <w:autoSpaceDN w:val="0"/>
        <w:adjustRightInd w:val="0"/>
        <w:spacing w:line="360" w:lineRule="auto"/>
        <w:jc w:val="both"/>
      </w:pPr>
      <w:r>
        <w:t>Ausência</w:t>
      </w:r>
      <w:r w:rsidR="00F335AD">
        <w:t xml:space="preserve"> de limitações físicas e psicológicas que impe</w:t>
      </w:r>
      <w:r w:rsidR="009F39E7">
        <w:t>dissem</w:t>
      </w:r>
      <w:r w:rsidR="00F335AD">
        <w:t xml:space="preserve"> a execução dos protocolos adotados no estudo</w:t>
      </w:r>
      <w:r w:rsidR="00467EB7">
        <w:t>: (I)</w:t>
      </w:r>
      <w:r w:rsidR="00F335AD">
        <w:t xml:space="preserve"> </w:t>
      </w:r>
      <w:r w:rsidR="00F335AD" w:rsidRPr="00B876AE">
        <w:t>distúrbios neurológicos</w:t>
      </w:r>
      <w:r w:rsidR="00F335AD">
        <w:t xml:space="preserve"> grave, </w:t>
      </w:r>
      <w:r w:rsidR="00467EB7">
        <w:t xml:space="preserve">(II) </w:t>
      </w:r>
      <w:r w:rsidR="00F335AD">
        <w:t xml:space="preserve">histórico de acidente vascular cerebral (AVC), </w:t>
      </w:r>
      <w:r w:rsidR="00467EB7">
        <w:t xml:space="preserve">(III) </w:t>
      </w:r>
      <w:r w:rsidR="00F335AD">
        <w:t xml:space="preserve">incapacidade </w:t>
      </w:r>
      <w:r w:rsidR="00F335AD" w:rsidRPr="00B876AE">
        <w:t>de fornecer a própria amostra urinária/coleta de sangue venoso</w:t>
      </w:r>
      <w:r w:rsidR="00F335AD">
        <w:t xml:space="preserve">, </w:t>
      </w:r>
      <w:r w:rsidR="00467EB7">
        <w:t xml:space="preserve">(IV) </w:t>
      </w:r>
      <w:r w:rsidR="00F335AD">
        <w:t>não cons</w:t>
      </w:r>
      <w:r w:rsidR="00467EB7">
        <w:t>egu</w:t>
      </w:r>
      <w:r w:rsidR="009F39E7">
        <w:t>ir</w:t>
      </w:r>
      <w:r w:rsidR="00467EB7">
        <w:t>em/</w:t>
      </w:r>
      <w:r w:rsidR="009F39E7">
        <w:t xml:space="preserve">não </w:t>
      </w:r>
      <w:r w:rsidR="00467EB7">
        <w:t>pode</w:t>
      </w:r>
      <w:r w:rsidR="009F39E7">
        <w:t>re</w:t>
      </w:r>
      <w:r w:rsidR="00467EB7">
        <w:t xml:space="preserve">m </w:t>
      </w:r>
      <w:r w:rsidR="00F335AD">
        <w:t xml:space="preserve">ficar em pé, </w:t>
      </w:r>
      <w:r w:rsidR="00467EB7">
        <w:t xml:space="preserve">(V) </w:t>
      </w:r>
      <w:r w:rsidR="00F335AD">
        <w:t>uso de marcapasso cardíaco (devido à utilização de bioimpedância elétrica)</w:t>
      </w:r>
      <w:r w:rsidR="00467EB7">
        <w:t>, (VI)</w:t>
      </w:r>
      <w:r w:rsidR="00F335AD">
        <w:t xml:space="preserve"> tenha realizado exame com contraste iodado nos últimos dois meses (tomografia, </w:t>
      </w:r>
      <w:r w:rsidR="009F39E7">
        <w:t>entre outros</w:t>
      </w:r>
      <w:r w:rsidR="00F335AD">
        <w:t>).</w:t>
      </w:r>
    </w:p>
    <w:p w14:paraId="3191741A" w14:textId="47295D8C" w:rsidR="009F39E7" w:rsidRDefault="009F39E7" w:rsidP="009F39E7">
      <w:pPr>
        <w:autoSpaceDE w:val="0"/>
        <w:autoSpaceDN w:val="0"/>
        <w:adjustRightInd w:val="0"/>
        <w:spacing w:line="360" w:lineRule="auto"/>
        <w:jc w:val="both"/>
      </w:pPr>
      <w:r>
        <w:t xml:space="preserve">    </w:t>
      </w:r>
      <w:r w:rsidR="00F335AD">
        <w:t>116 indivíduos estavam aptos para participa do estudo.</w:t>
      </w:r>
    </w:p>
    <w:p w14:paraId="44CB69BF" w14:textId="77777777" w:rsidR="009F39E7" w:rsidRDefault="009F39E7" w:rsidP="009F39E7">
      <w:pPr>
        <w:pStyle w:val="PargrafodaLista"/>
        <w:autoSpaceDE w:val="0"/>
        <w:autoSpaceDN w:val="0"/>
        <w:adjustRightInd w:val="0"/>
        <w:spacing w:line="360" w:lineRule="auto"/>
        <w:ind w:left="644"/>
        <w:jc w:val="both"/>
      </w:pPr>
    </w:p>
    <w:p w14:paraId="23EE20C6" w14:textId="57C0C3F3" w:rsidR="00F335AD" w:rsidRPr="009F39E7" w:rsidRDefault="009F39E7" w:rsidP="009F39E7">
      <w:pPr>
        <w:autoSpaceDE w:val="0"/>
        <w:autoSpaceDN w:val="0"/>
        <w:adjustRightInd w:val="0"/>
        <w:spacing w:line="360" w:lineRule="auto"/>
        <w:jc w:val="both"/>
        <w:rPr>
          <w:b/>
        </w:rPr>
      </w:pPr>
      <w:r>
        <w:rPr>
          <w:bCs/>
        </w:rPr>
        <w:t xml:space="preserve">    </w:t>
      </w:r>
      <w:r w:rsidR="00A663FF" w:rsidRPr="009F39E7">
        <w:rPr>
          <w:b/>
          <w:bCs/>
        </w:rPr>
        <w:t>Exclusão</w:t>
      </w:r>
    </w:p>
    <w:p w14:paraId="07A60F9C" w14:textId="60931F25" w:rsidR="00456168" w:rsidRDefault="003F131C" w:rsidP="00846E3F">
      <w:pPr>
        <w:pStyle w:val="PargrafodaLista"/>
        <w:numPr>
          <w:ilvl w:val="0"/>
          <w:numId w:val="15"/>
        </w:numPr>
        <w:autoSpaceDE w:val="0"/>
        <w:autoSpaceDN w:val="0"/>
        <w:adjustRightInd w:val="0"/>
        <w:spacing w:line="360" w:lineRule="auto"/>
        <w:jc w:val="both"/>
      </w:pPr>
      <w:r>
        <w:t>Sexo masculino</w:t>
      </w:r>
      <w:r w:rsidR="005E0259">
        <w:t>,</w:t>
      </w:r>
      <w:r w:rsidR="003009CB">
        <w:t xml:space="preserve"> </w:t>
      </w:r>
      <w:r w:rsidR="006F08C4">
        <w:t>pois integravam a minoria dos alunos matriculados na UATI</w:t>
      </w:r>
      <w:r w:rsidR="005E0259">
        <w:t xml:space="preserve"> (n=7)</w:t>
      </w:r>
      <w:r w:rsidR="003009CB">
        <w:t>.</w:t>
      </w:r>
    </w:p>
    <w:p w14:paraId="60788D7E" w14:textId="37B975E6" w:rsidR="009D1B18" w:rsidRDefault="00456168" w:rsidP="009D1B18">
      <w:pPr>
        <w:pStyle w:val="PargrafodaLista"/>
        <w:numPr>
          <w:ilvl w:val="0"/>
          <w:numId w:val="15"/>
        </w:numPr>
        <w:autoSpaceDE w:val="0"/>
        <w:autoSpaceDN w:val="0"/>
        <w:adjustRightInd w:val="0"/>
        <w:spacing w:line="360" w:lineRule="auto"/>
        <w:jc w:val="both"/>
      </w:pPr>
      <w:r>
        <w:t xml:space="preserve">Doença </w:t>
      </w:r>
      <w:r w:rsidR="001B1BFF">
        <w:t>t</w:t>
      </w:r>
      <w:r>
        <w:t xml:space="preserve">ireoidiana manifesta </w:t>
      </w:r>
      <w:r w:rsidR="009D1B18">
        <w:t>ou subclínica</w:t>
      </w:r>
      <w:r w:rsidR="00467EB7">
        <w:t>, independente da positividade para autoanticorpos. Ou seja, indivíduos com função tireoidiana normal e autoanticorpos positivos</w:t>
      </w:r>
      <w:r w:rsidR="00F4403B">
        <w:t xml:space="preserve"> ou negativos</w:t>
      </w:r>
      <w:r w:rsidR="00467EB7">
        <w:t xml:space="preserve"> </w:t>
      </w:r>
      <w:r w:rsidR="004D762E">
        <w:t>(</w:t>
      </w:r>
      <w:proofErr w:type="spellStart"/>
      <w:r w:rsidR="004D762E">
        <w:t>anti-TPO</w:t>
      </w:r>
      <w:proofErr w:type="spellEnd"/>
      <w:r w:rsidR="004D762E">
        <w:t xml:space="preserve"> e </w:t>
      </w:r>
      <w:proofErr w:type="spellStart"/>
      <w:r w:rsidR="004D762E">
        <w:t>anti-</w:t>
      </w:r>
      <w:r w:rsidR="008819B5">
        <w:t>tireoglobulina</w:t>
      </w:r>
      <w:proofErr w:type="spellEnd"/>
      <w:r w:rsidR="008819B5">
        <w:t xml:space="preserve">) </w:t>
      </w:r>
      <w:r w:rsidR="00467EB7">
        <w:t xml:space="preserve">permaneceram no estudo </w:t>
      </w:r>
      <w:r w:rsidR="003009CB">
        <w:t>(n=18)</w:t>
      </w:r>
      <w:r w:rsidR="005E0259">
        <w:t>.</w:t>
      </w:r>
    </w:p>
    <w:p w14:paraId="4E8A03B5" w14:textId="6B84F40A" w:rsidR="003009CB" w:rsidRDefault="003009CB" w:rsidP="009D1B18">
      <w:pPr>
        <w:pStyle w:val="PargrafodaLista"/>
        <w:numPr>
          <w:ilvl w:val="0"/>
          <w:numId w:val="15"/>
        </w:numPr>
        <w:autoSpaceDE w:val="0"/>
        <w:autoSpaceDN w:val="0"/>
        <w:adjustRightInd w:val="0"/>
        <w:spacing w:line="360" w:lineRule="auto"/>
        <w:jc w:val="both"/>
      </w:pPr>
      <w:r>
        <w:t>Não realiza</w:t>
      </w:r>
      <w:r w:rsidR="00C666C6">
        <w:t xml:space="preserve">ção da totalidade dos </w:t>
      </w:r>
      <w:r>
        <w:t xml:space="preserve">exames laboratoriais </w:t>
      </w:r>
      <w:r w:rsidR="00C666C6">
        <w:t>específicos</w:t>
      </w:r>
      <w:r w:rsidR="00467EB7">
        <w:t xml:space="preserve"> no</w:t>
      </w:r>
      <w:r w:rsidR="00C666C6">
        <w:t>ssa pesquisa</w:t>
      </w:r>
      <w:r w:rsidR="00467EB7">
        <w:t xml:space="preserve"> </w:t>
      </w:r>
      <w:r>
        <w:t>(n=21)</w:t>
      </w:r>
      <w:r w:rsidR="005E0259">
        <w:t>.</w:t>
      </w:r>
    </w:p>
    <w:p w14:paraId="7F9F243B" w14:textId="17449043" w:rsidR="00456168" w:rsidRDefault="00507C99" w:rsidP="00927A98">
      <w:pPr>
        <w:pStyle w:val="PargrafodaLista"/>
        <w:numPr>
          <w:ilvl w:val="0"/>
          <w:numId w:val="15"/>
        </w:numPr>
        <w:autoSpaceDE w:val="0"/>
        <w:autoSpaceDN w:val="0"/>
        <w:adjustRightInd w:val="0"/>
        <w:spacing w:line="360" w:lineRule="auto"/>
        <w:jc w:val="both"/>
      </w:pPr>
      <w:r>
        <w:t>Não realiza</w:t>
      </w:r>
      <w:r w:rsidR="00467EB7">
        <w:t xml:space="preserve">ção da </w:t>
      </w:r>
      <w:r>
        <w:t>genotipagem</w:t>
      </w:r>
      <w:r w:rsidR="00467EB7">
        <w:t xml:space="preserve"> para análise de pelo menos 1 dos polimorfismos selecionados</w:t>
      </w:r>
      <w:r>
        <w:t xml:space="preserve"> (n=13)</w:t>
      </w:r>
      <w:r w:rsidR="005E0259">
        <w:t>.</w:t>
      </w:r>
    </w:p>
    <w:p w14:paraId="03F4D976" w14:textId="07A83222" w:rsidR="00507C99" w:rsidRDefault="00507C99" w:rsidP="00507C99">
      <w:pPr>
        <w:pStyle w:val="PargrafodaLista"/>
        <w:autoSpaceDE w:val="0"/>
        <w:autoSpaceDN w:val="0"/>
        <w:adjustRightInd w:val="0"/>
        <w:spacing w:line="360" w:lineRule="auto"/>
        <w:ind w:left="502"/>
        <w:jc w:val="both"/>
      </w:pPr>
    </w:p>
    <w:p w14:paraId="62E293D4" w14:textId="0986C69E" w:rsidR="009F39E7" w:rsidRPr="00E247D1" w:rsidRDefault="009F39E7" w:rsidP="009F39E7">
      <w:pPr>
        <w:pStyle w:val="PargrafodaLista"/>
        <w:autoSpaceDE w:val="0"/>
        <w:autoSpaceDN w:val="0"/>
        <w:adjustRightInd w:val="0"/>
        <w:spacing w:line="360" w:lineRule="auto"/>
        <w:ind w:left="142"/>
        <w:jc w:val="both"/>
        <w:rPr>
          <w:b/>
        </w:rPr>
      </w:pPr>
      <w:r w:rsidRPr="00E247D1">
        <w:rPr>
          <w:b/>
        </w:rPr>
        <w:t>Resultado</w:t>
      </w:r>
    </w:p>
    <w:p w14:paraId="2E2D31DF" w14:textId="18F69D67" w:rsidR="00F335AD" w:rsidRDefault="00841744" w:rsidP="008C260C">
      <w:pPr>
        <w:autoSpaceDE w:val="0"/>
        <w:autoSpaceDN w:val="0"/>
        <w:adjustRightInd w:val="0"/>
        <w:spacing w:line="360" w:lineRule="auto"/>
        <w:ind w:left="142" w:firstLine="566"/>
        <w:jc w:val="both"/>
      </w:pPr>
      <w:r>
        <w:t>Incluíram-se</w:t>
      </w:r>
      <w:r w:rsidR="00F335AD">
        <w:t xml:space="preserve"> no estudo 6</w:t>
      </w:r>
      <w:r w:rsidR="00927A98">
        <w:t>4</w:t>
      </w:r>
      <w:r w:rsidR="00F335AD">
        <w:t xml:space="preserve"> indivíduos</w:t>
      </w:r>
      <w:r w:rsidR="00353287">
        <w:t xml:space="preserve"> do sexo feminino</w:t>
      </w:r>
      <w:r w:rsidR="009F39E7">
        <w:t>,</w:t>
      </w:r>
      <w:r w:rsidR="00670805">
        <w:t xml:space="preserve"> conforme </w:t>
      </w:r>
      <w:r w:rsidR="00F364A0">
        <w:t>fluxograma abaixo:</w:t>
      </w:r>
      <w:r w:rsidR="00353287">
        <w:t xml:space="preserve"> </w:t>
      </w:r>
    </w:p>
    <w:p w14:paraId="7E29535E" w14:textId="77777777" w:rsidR="008C260C" w:rsidRDefault="008C260C" w:rsidP="00353287">
      <w:pPr>
        <w:autoSpaceDE w:val="0"/>
        <w:autoSpaceDN w:val="0"/>
        <w:adjustRightInd w:val="0"/>
        <w:spacing w:line="360" w:lineRule="auto"/>
        <w:ind w:left="142"/>
        <w:jc w:val="both"/>
      </w:pPr>
    </w:p>
    <w:p w14:paraId="3812B9C9" w14:textId="77777777" w:rsidR="006333CC" w:rsidRDefault="006333CC" w:rsidP="00353287">
      <w:pPr>
        <w:autoSpaceDE w:val="0"/>
        <w:autoSpaceDN w:val="0"/>
        <w:adjustRightInd w:val="0"/>
        <w:spacing w:line="360" w:lineRule="auto"/>
        <w:ind w:left="142"/>
        <w:jc w:val="both"/>
      </w:pPr>
    </w:p>
    <w:tbl>
      <w:tblPr>
        <w:tblStyle w:val="Tabelacomgrade"/>
        <w:tblpPr w:leftFromText="141" w:rightFromText="141" w:vertAnchor="text" w:horzAnchor="page" w:tblpX="2150" w:tblpY="197"/>
        <w:tblW w:w="0" w:type="auto"/>
        <w:tblLook w:val="04A0" w:firstRow="1" w:lastRow="0" w:firstColumn="1" w:lastColumn="0" w:noHBand="0" w:noVBand="1"/>
      </w:tblPr>
      <w:tblGrid>
        <w:gridCol w:w="2552"/>
      </w:tblGrid>
      <w:tr w:rsidR="0071180F" w14:paraId="3ADAE6E3" w14:textId="77777777" w:rsidTr="003034C6">
        <w:trPr>
          <w:trHeight w:val="851"/>
        </w:trPr>
        <w:tc>
          <w:tcPr>
            <w:tcW w:w="2552" w:type="dxa"/>
            <w:tcBorders>
              <w:top w:val="nil"/>
              <w:left w:val="nil"/>
              <w:bottom w:val="nil"/>
              <w:right w:val="nil"/>
            </w:tcBorders>
            <w:shd w:val="clear" w:color="auto" w:fill="E2EFD9" w:themeFill="accent6" w:themeFillTint="33"/>
          </w:tcPr>
          <w:p w14:paraId="05EFF69D" w14:textId="47FCA6A8" w:rsidR="0071180F" w:rsidRPr="0071180F" w:rsidRDefault="0071180F" w:rsidP="00670805">
            <w:pPr>
              <w:autoSpaceDE w:val="0"/>
              <w:autoSpaceDN w:val="0"/>
              <w:adjustRightInd w:val="0"/>
              <w:spacing w:line="360" w:lineRule="auto"/>
              <w:jc w:val="center"/>
              <w:rPr>
                <w:sz w:val="20"/>
                <w:szCs w:val="20"/>
              </w:rPr>
            </w:pPr>
            <w:r w:rsidRPr="0071180F">
              <w:rPr>
                <w:sz w:val="20"/>
                <w:szCs w:val="20"/>
              </w:rPr>
              <w:lastRenderedPageBreak/>
              <w:t>Voluntários da UATI-UNEB</w:t>
            </w:r>
          </w:p>
          <w:p w14:paraId="61D4A95E" w14:textId="1624450E" w:rsidR="0071180F" w:rsidRPr="0071180F" w:rsidRDefault="00670805" w:rsidP="00670805">
            <w:pPr>
              <w:autoSpaceDE w:val="0"/>
              <w:autoSpaceDN w:val="0"/>
              <w:adjustRightInd w:val="0"/>
              <w:spacing w:line="360" w:lineRule="auto"/>
              <w:rPr>
                <w:sz w:val="20"/>
                <w:szCs w:val="20"/>
              </w:rPr>
            </w:pPr>
            <w:r>
              <w:rPr>
                <w:sz w:val="20"/>
                <w:szCs w:val="20"/>
              </w:rPr>
              <w:t xml:space="preserve">         </w:t>
            </w:r>
            <w:r w:rsidR="0071180F" w:rsidRPr="0071180F">
              <w:rPr>
                <w:sz w:val="20"/>
                <w:szCs w:val="20"/>
              </w:rPr>
              <w:t>idosos &gt;</w:t>
            </w:r>
            <w:r w:rsidR="0071180F">
              <w:rPr>
                <w:sz w:val="20"/>
                <w:szCs w:val="20"/>
              </w:rPr>
              <w:t xml:space="preserve"> </w:t>
            </w:r>
            <w:r w:rsidR="0071180F" w:rsidRPr="0071180F">
              <w:rPr>
                <w:sz w:val="20"/>
                <w:szCs w:val="20"/>
              </w:rPr>
              <w:t>60 anos</w:t>
            </w:r>
          </w:p>
          <w:p w14:paraId="059832A0" w14:textId="51B104CC" w:rsidR="0071180F" w:rsidRPr="0071180F" w:rsidRDefault="003034C6" w:rsidP="00670805">
            <w:pPr>
              <w:autoSpaceDE w:val="0"/>
              <w:autoSpaceDN w:val="0"/>
              <w:adjustRightInd w:val="0"/>
              <w:spacing w:line="360" w:lineRule="auto"/>
              <w:ind w:left="360"/>
            </w:pPr>
            <w:r>
              <w:rPr>
                <w:noProof/>
                <w:sz w:val="20"/>
                <w:szCs w:val="20"/>
              </w:rPr>
              <mc:AlternateContent>
                <mc:Choice Requires="wps">
                  <w:drawing>
                    <wp:anchor distT="0" distB="0" distL="114300" distR="114300" simplePos="0" relativeHeight="251668480" behindDoc="0" locked="0" layoutInCell="1" allowOverlap="1" wp14:anchorId="0F11F96D" wp14:editId="5AC3C21F">
                      <wp:simplePos x="0" y="0"/>
                      <wp:positionH relativeFrom="column">
                        <wp:posOffset>698259</wp:posOffset>
                      </wp:positionH>
                      <wp:positionV relativeFrom="paragraph">
                        <wp:posOffset>216276</wp:posOffset>
                      </wp:positionV>
                      <wp:extent cx="0" cy="109470"/>
                      <wp:effectExtent l="0" t="0" r="12700" b="17780"/>
                      <wp:wrapNone/>
                      <wp:docPr id="7" name="Conector Reto 7"/>
                      <wp:cNvGraphicFramePr/>
                      <a:graphic xmlns:a="http://schemas.openxmlformats.org/drawingml/2006/main">
                        <a:graphicData uri="http://schemas.microsoft.com/office/word/2010/wordprocessingShape">
                          <wps:wsp>
                            <wps:cNvCnPr/>
                            <wps:spPr>
                              <a:xfrm>
                                <a:off x="0" y="0"/>
                                <a:ext cx="0" cy="1094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B9E2D" id="Conector Reto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5pt,17.05pt" to="5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" strokecolor="black [3213]" strokeweight=".5pt">
                      <v:stroke joinstyle="miter"/>
                    </v:line>
                  </w:pict>
                </mc:Fallback>
              </mc:AlternateContent>
            </w:r>
            <w:r w:rsidR="00670805">
              <w:rPr>
                <w:sz w:val="20"/>
                <w:szCs w:val="20"/>
              </w:rPr>
              <w:t xml:space="preserve">        </w:t>
            </w:r>
            <w:r w:rsidR="0071180F" w:rsidRPr="0071180F">
              <w:rPr>
                <w:sz w:val="20"/>
                <w:szCs w:val="20"/>
              </w:rPr>
              <w:t>n = 116</w:t>
            </w:r>
          </w:p>
        </w:tc>
      </w:tr>
    </w:tbl>
    <w:p w14:paraId="20F74DEC" w14:textId="6EA6BB2E" w:rsidR="00353287" w:rsidRDefault="00353287" w:rsidP="00670805">
      <w:pPr>
        <w:autoSpaceDE w:val="0"/>
        <w:autoSpaceDN w:val="0"/>
        <w:adjustRightInd w:val="0"/>
        <w:spacing w:line="360" w:lineRule="auto"/>
        <w:ind w:left="142"/>
      </w:pPr>
    </w:p>
    <w:tbl>
      <w:tblPr>
        <w:tblStyle w:val="Tabelacomgrade"/>
        <w:tblpPr w:leftFromText="141" w:rightFromText="141" w:vertAnchor="text" w:horzAnchor="margin" w:tblpXSpec="right" w:tblpY="-7"/>
        <w:tblW w:w="0" w:type="auto"/>
        <w:tblLook w:val="04A0" w:firstRow="1" w:lastRow="0" w:firstColumn="1" w:lastColumn="0" w:noHBand="0" w:noVBand="1"/>
      </w:tblPr>
      <w:tblGrid>
        <w:gridCol w:w="4246"/>
      </w:tblGrid>
      <w:tr w:rsidR="003034C6" w14:paraId="6E7ACC26" w14:textId="77777777" w:rsidTr="003034C6">
        <w:tc>
          <w:tcPr>
            <w:tcW w:w="4246" w:type="dxa"/>
            <w:tcBorders>
              <w:top w:val="nil"/>
              <w:left w:val="nil"/>
              <w:bottom w:val="nil"/>
              <w:right w:val="nil"/>
            </w:tcBorders>
            <w:shd w:val="clear" w:color="auto" w:fill="E2EFD9" w:themeFill="accent6" w:themeFillTint="33"/>
          </w:tcPr>
          <w:p w14:paraId="1732FD72" w14:textId="6B9D7911" w:rsidR="003034C6" w:rsidRPr="00670805" w:rsidRDefault="003034C6" w:rsidP="003034C6">
            <w:pPr>
              <w:autoSpaceDE w:val="0"/>
              <w:autoSpaceDN w:val="0"/>
              <w:adjustRightInd w:val="0"/>
              <w:spacing w:line="360" w:lineRule="auto"/>
              <w:rPr>
                <w:color w:val="000000" w:themeColor="text1"/>
                <w:sz w:val="20"/>
                <w:szCs w:val="20"/>
              </w:rPr>
            </w:pPr>
            <w:r w:rsidRPr="00670805">
              <w:rPr>
                <w:color w:val="000000" w:themeColor="text1"/>
                <w:sz w:val="20"/>
                <w:szCs w:val="20"/>
              </w:rPr>
              <w:t>Sexo masculino (n=7)</w:t>
            </w:r>
          </w:p>
          <w:p w14:paraId="1A31B484" w14:textId="77777777" w:rsidR="003034C6" w:rsidRPr="00670805" w:rsidRDefault="003034C6" w:rsidP="003034C6">
            <w:pPr>
              <w:autoSpaceDE w:val="0"/>
              <w:autoSpaceDN w:val="0"/>
              <w:adjustRightInd w:val="0"/>
              <w:spacing w:line="360" w:lineRule="auto"/>
              <w:rPr>
                <w:color w:val="000000" w:themeColor="text1"/>
                <w:sz w:val="20"/>
                <w:szCs w:val="20"/>
              </w:rPr>
            </w:pPr>
            <w:r w:rsidRPr="00670805">
              <w:rPr>
                <w:color w:val="000000" w:themeColor="text1"/>
                <w:sz w:val="20"/>
                <w:szCs w:val="20"/>
              </w:rPr>
              <w:t xml:space="preserve">Doença tireoidiana </w:t>
            </w:r>
            <w:r>
              <w:rPr>
                <w:color w:val="000000" w:themeColor="text1"/>
                <w:sz w:val="20"/>
                <w:szCs w:val="20"/>
              </w:rPr>
              <w:t xml:space="preserve">manifesta ou SC </w:t>
            </w:r>
            <w:r w:rsidRPr="00670805">
              <w:rPr>
                <w:color w:val="000000" w:themeColor="text1"/>
                <w:sz w:val="20"/>
                <w:szCs w:val="20"/>
              </w:rPr>
              <w:t>(n=18)</w:t>
            </w:r>
          </w:p>
          <w:p w14:paraId="7FE6E4F8" w14:textId="77777777" w:rsidR="003034C6" w:rsidRDefault="003034C6" w:rsidP="003034C6">
            <w:pPr>
              <w:autoSpaceDE w:val="0"/>
              <w:autoSpaceDN w:val="0"/>
              <w:adjustRightInd w:val="0"/>
              <w:spacing w:line="360" w:lineRule="auto"/>
              <w:rPr>
                <w:color w:val="000000" w:themeColor="text1"/>
                <w:sz w:val="20"/>
                <w:szCs w:val="20"/>
              </w:rPr>
            </w:pPr>
            <w:r w:rsidRPr="00670805">
              <w:rPr>
                <w:color w:val="000000" w:themeColor="text1"/>
                <w:sz w:val="20"/>
                <w:szCs w:val="20"/>
              </w:rPr>
              <w:t>Não realização da totalidade dos exames laboratoriais específicos da pesquisa (n=21)</w:t>
            </w:r>
          </w:p>
          <w:p w14:paraId="57EB0710" w14:textId="77777777" w:rsidR="003034C6" w:rsidRPr="00670805" w:rsidRDefault="003034C6" w:rsidP="003034C6">
            <w:pPr>
              <w:autoSpaceDE w:val="0"/>
              <w:autoSpaceDN w:val="0"/>
              <w:adjustRightInd w:val="0"/>
              <w:spacing w:line="360" w:lineRule="auto"/>
              <w:rPr>
                <w:color w:val="000000" w:themeColor="text1"/>
                <w:sz w:val="20"/>
                <w:szCs w:val="20"/>
              </w:rPr>
            </w:pPr>
            <w:r>
              <w:rPr>
                <w:color w:val="000000" w:themeColor="text1"/>
                <w:sz w:val="20"/>
                <w:szCs w:val="20"/>
              </w:rPr>
              <w:t>Não realização da genotipagem em pelo menos 1 dos SNP (n=13)</w:t>
            </w:r>
          </w:p>
        </w:tc>
      </w:tr>
    </w:tbl>
    <w:p w14:paraId="41C54AE8" w14:textId="0BD8A7AE" w:rsidR="00F00C6F" w:rsidRDefault="00F00C6F" w:rsidP="00670805">
      <w:pPr>
        <w:autoSpaceDE w:val="0"/>
        <w:autoSpaceDN w:val="0"/>
        <w:adjustRightInd w:val="0"/>
        <w:spacing w:line="360" w:lineRule="auto"/>
        <w:ind w:left="142"/>
      </w:pPr>
    </w:p>
    <w:p w14:paraId="0A2A97CB" w14:textId="456884A9" w:rsidR="00353287" w:rsidRDefault="003034C6" w:rsidP="00670805">
      <w:pPr>
        <w:autoSpaceDE w:val="0"/>
        <w:autoSpaceDN w:val="0"/>
        <w:adjustRightInd w:val="0"/>
        <w:spacing w:line="360" w:lineRule="auto"/>
        <w:ind w:left="142"/>
      </w:pPr>
      <w:r>
        <w:rPr>
          <w:noProof/>
        </w:rPr>
        <mc:AlternateContent>
          <mc:Choice Requires="wps">
            <w:drawing>
              <wp:anchor distT="0" distB="0" distL="114300" distR="114300" simplePos="0" relativeHeight="251667456" behindDoc="0" locked="0" layoutInCell="1" allowOverlap="1" wp14:anchorId="55B6159E" wp14:editId="731D8847">
                <wp:simplePos x="0" y="0"/>
                <wp:positionH relativeFrom="column">
                  <wp:posOffset>2122805</wp:posOffset>
                </wp:positionH>
                <wp:positionV relativeFrom="paragraph">
                  <wp:posOffset>62865</wp:posOffset>
                </wp:positionV>
                <wp:extent cx="824248" cy="0"/>
                <wp:effectExtent l="0" t="63500" r="0" b="76200"/>
                <wp:wrapNone/>
                <wp:docPr id="6" name="Conector de Seta Reta 6"/>
                <wp:cNvGraphicFramePr/>
                <a:graphic xmlns:a="http://schemas.openxmlformats.org/drawingml/2006/main">
                  <a:graphicData uri="http://schemas.microsoft.com/office/word/2010/wordprocessingShape">
                    <wps:wsp>
                      <wps:cNvCnPr/>
                      <wps:spPr>
                        <a:xfrm>
                          <a:off x="0" y="0"/>
                          <a:ext cx="8242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CCD387" id="_x0000_t32" coordsize="21600,21600" o:spt="32" o:oned="t" path="m,l21600,21600e" filled="f">
                <v:path arrowok="t" fillok="f" o:connecttype="none"/>
                <o:lock v:ext="edit" shapetype="t"/>
              </v:shapetype>
              <v:shape id="Conector de Seta Reta 6" o:spid="_x0000_s1026" type="#_x0000_t32" style="position:absolute;margin-left:167.15pt;margin-top:4.95pt;width:64.9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" strokecolor="black [3213]" strokeweight=".5pt">
                <v:stroke endarrow="block" joinstyle="miter"/>
              </v:shape>
            </w:pict>
          </mc:Fallback>
        </mc:AlternateContent>
      </w:r>
    </w:p>
    <w:tbl>
      <w:tblPr>
        <w:tblStyle w:val="Tabelacomgrade"/>
        <w:tblpPr w:leftFromText="141" w:rightFromText="141" w:vertAnchor="text" w:horzAnchor="page" w:tblpX="2161" w:tblpY="163"/>
        <w:tblW w:w="0" w:type="auto"/>
        <w:tblLook w:val="04A0" w:firstRow="1" w:lastRow="0" w:firstColumn="1" w:lastColumn="0" w:noHBand="0" w:noVBand="1"/>
      </w:tblPr>
      <w:tblGrid>
        <w:gridCol w:w="2552"/>
      </w:tblGrid>
      <w:tr w:rsidR="0071180F" w14:paraId="467BCB91" w14:textId="77777777" w:rsidTr="003034C6">
        <w:trPr>
          <w:trHeight w:val="709"/>
        </w:trPr>
        <w:tc>
          <w:tcPr>
            <w:tcW w:w="2552" w:type="dxa"/>
            <w:tcBorders>
              <w:top w:val="nil"/>
              <w:left w:val="nil"/>
              <w:bottom w:val="nil"/>
              <w:right w:val="nil"/>
            </w:tcBorders>
            <w:shd w:val="clear" w:color="auto" w:fill="E2EFD9" w:themeFill="accent6" w:themeFillTint="33"/>
          </w:tcPr>
          <w:p w14:paraId="05D20469" w14:textId="717447CC" w:rsidR="0071180F" w:rsidRPr="0071180F" w:rsidRDefault="0071180F" w:rsidP="00670805">
            <w:pPr>
              <w:autoSpaceDE w:val="0"/>
              <w:autoSpaceDN w:val="0"/>
              <w:adjustRightInd w:val="0"/>
              <w:spacing w:line="360" w:lineRule="auto"/>
              <w:jc w:val="center"/>
              <w:rPr>
                <w:sz w:val="20"/>
                <w:szCs w:val="20"/>
                <w:lang w:val="en-US"/>
              </w:rPr>
            </w:pPr>
            <w:r w:rsidRPr="0071180F">
              <w:rPr>
                <w:sz w:val="20"/>
                <w:szCs w:val="20"/>
                <w:lang w:val="en-US"/>
              </w:rPr>
              <w:t>Inclu</w:t>
            </w:r>
            <w:r>
              <w:rPr>
                <w:sz w:val="20"/>
                <w:szCs w:val="20"/>
                <w:lang w:val="en-US"/>
              </w:rPr>
              <w:t>í</w:t>
            </w:r>
            <w:r w:rsidRPr="0071180F">
              <w:rPr>
                <w:sz w:val="20"/>
                <w:szCs w:val="20"/>
                <w:lang w:val="en-US"/>
              </w:rPr>
              <w:t>dos no estudo</w:t>
            </w:r>
          </w:p>
          <w:p w14:paraId="64FFDADA" w14:textId="619582ED" w:rsidR="0071180F" w:rsidRPr="0071180F" w:rsidRDefault="00670805" w:rsidP="00670805">
            <w:pPr>
              <w:autoSpaceDE w:val="0"/>
              <w:autoSpaceDN w:val="0"/>
              <w:adjustRightInd w:val="0"/>
              <w:spacing w:line="360" w:lineRule="auto"/>
              <w:ind w:left="360"/>
              <w:rPr>
                <w:lang w:val="en-US"/>
              </w:rPr>
            </w:pPr>
            <w:r>
              <w:rPr>
                <w:sz w:val="20"/>
                <w:szCs w:val="20"/>
                <w:lang w:val="en-US"/>
              </w:rPr>
              <w:t xml:space="preserve">        </w:t>
            </w:r>
            <w:r w:rsidR="0071180F" w:rsidRPr="0071180F">
              <w:rPr>
                <w:sz w:val="20"/>
                <w:szCs w:val="20"/>
                <w:lang w:val="en-US"/>
              </w:rPr>
              <w:t>n = 64</w:t>
            </w:r>
          </w:p>
        </w:tc>
      </w:tr>
    </w:tbl>
    <w:p w14:paraId="76480E3F" w14:textId="6CA26225" w:rsidR="00353287" w:rsidRDefault="00353287" w:rsidP="00670805">
      <w:pPr>
        <w:autoSpaceDE w:val="0"/>
        <w:autoSpaceDN w:val="0"/>
        <w:adjustRightInd w:val="0"/>
        <w:spacing w:line="360" w:lineRule="auto"/>
        <w:ind w:left="142"/>
      </w:pPr>
    </w:p>
    <w:p w14:paraId="59E40152" w14:textId="474220F8" w:rsidR="00066A86" w:rsidRDefault="00066A86" w:rsidP="00670805">
      <w:pPr>
        <w:autoSpaceDE w:val="0"/>
        <w:autoSpaceDN w:val="0"/>
        <w:adjustRightInd w:val="0"/>
        <w:spacing w:line="360" w:lineRule="auto"/>
        <w:ind w:left="142"/>
      </w:pPr>
    </w:p>
    <w:tbl>
      <w:tblPr>
        <w:tblStyle w:val="Tabelacomgrade"/>
        <w:tblpPr w:leftFromText="141" w:rightFromText="141" w:vertAnchor="text" w:horzAnchor="page" w:tblpX="2173" w:tblpY="230"/>
        <w:tblW w:w="0" w:type="auto"/>
        <w:tblLook w:val="04A0" w:firstRow="1" w:lastRow="0" w:firstColumn="1" w:lastColumn="0" w:noHBand="0" w:noVBand="1"/>
      </w:tblPr>
      <w:tblGrid>
        <w:gridCol w:w="2552"/>
      </w:tblGrid>
      <w:tr w:rsidR="0071180F" w14:paraId="3FA29669" w14:textId="77777777" w:rsidTr="003034C6">
        <w:trPr>
          <w:trHeight w:val="1276"/>
        </w:trPr>
        <w:tc>
          <w:tcPr>
            <w:tcW w:w="2552" w:type="dxa"/>
            <w:tcBorders>
              <w:top w:val="nil"/>
              <w:left w:val="nil"/>
              <w:bottom w:val="nil"/>
              <w:right w:val="nil"/>
            </w:tcBorders>
            <w:shd w:val="clear" w:color="auto" w:fill="E2EFD9" w:themeFill="accent6" w:themeFillTint="33"/>
          </w:tcPr>
          <w:p w14:paraId="1397E656" w14:textId="648A71DA" w:rsidR="0071180F" w:rsidRPr="0071180F" w:rsidRDefault="0071180F" w:rsidP="00670805">
            <w:pPr>
              <w:autoSpaceDE w:val="0"/>
              <w:autoSpaceDN w:val="0"/>
              <w:adjustRightInd w:val="0"/>
              <w:spacing w:line="360" w:lineRule="auto"/>
              <w:jc w:val="center"/>
              <w:rPr>
                <w:sz w:val="20"/>
                <w:szCs w:val="20"/>
              </w:rPr>
            </w:pPr>
            <w:r w:rsidRPr="0071180F">
              <w:rPr>
                <w:sz w:val="20"/>
                <w:szCs w:val="20"/>
              </w:rPr>
              <w:t>TSH, T4l, T3l</w:t>
            </w:r>
          </w:p>
          <w:p w14:paraId="17C1A42B" w14:textId="77777777" w:rsidR="0071180F" w:rsidRDefault="0071180F" w:rsidP="00670805">
            <w:pPr>
              <w:autoSpaceDE w:val="0"/>
              <w:autoSpaceDN w:val="0"/>
              <w:adjustRightInd w:val="0"/>
              <w:spacing w:line="360" w:lineRule="auto"/>
              <w:jc w:val="center"/>
              <w:rPr>
                <w:sz w:val="20"/>
                <w:szCs w:val="20"/>
              </w:rPr>
            </w:pPr>
            <w:r w:rsidRPr="0071180F">
              <w:rPr>
                <w:sz w:val="20"/>
                <w:szCs w:val="20"/>
              </w:rPr>
              <w:t xml:space="preserve">Composição corporal por </w:t>
            </w:r>
            <w:r>
              <w:rPr>
                <w:sz w:val="20"/>
                <w:szCs w:val="20"/>
              </w:rPr>
              <w:t xml:space="preserve">    </w:t>
            </w:r>
            <w:r w:rsidRPr="0071180F">
              <w:rPr>
                <w:sz w:val="20"/>
                <w:szCs w:val="20"/>
              </w:rPr>
              <w:t>DXA</w:t>
            </w:r>
            <w:r w:rsidR="00670805">
              <w:rPr>
                <w:sz w:val="20"/>
                <w:szCs w:val="20"/>
              </w:rPr>
              <w:t xml:space="preserve"> e </w:t>
            </w:r>
            <w:r w:rsidRPr="0071180F">
              <w:rPr>
                <w:sz w:val="20"/>
                <w:szCs w:val="20"/>
              </w:rPr>
              <w:t>Antropometria</w:t>
            </w:r>
          </w:p>
          <w:p w14:paraId="61E8EB95" w14:textId="745C5159" w:rsidR="00670805" w:rsidRPr="0071180F" w:rsidRDefault="00670805" w:rsidP="00670805">
            <w:pPr>
              <w:autoSpaceDE w:val="0"/>
              <w:autoSpaceDN w:val="0"/>
              <w:adjustRightInd w:val="0"/>
              <w:spacing w:line="360" w:lineRule="auto"/>
              <w:jc w:val="center"/>
              <w:rPr>
                <w:sz w:val="20"/>
                <w:szCs w:val="20"/>
              </w:rPr>
            </w:pPr>
            <w:r>
              <w:rPr>
                <w:sz w:val="20"/>
                <w:szCs w:val="20"/>
              </w:rPr>
              <w:t>Genotipagem</w:t>
            </w:r>
            <w:r w:rsidR="00437A6F">
              <w:rPr>
                <w:sz w:val="20"/>
                <w:szCs w:val="20"/>
              </w:rPr>
              <w:t xml:space="preserve"> </w:t>
            </w:r>
          </w:p>
        </w:tc>
      </w:tr>
    </w:tbl>
    <w:p w14:paraId="59BB49CF" w14:textId="077A5086" w:rsidR="00066A86" w:rsidRDefault="003034C6" w:rsidP="00353287">
      <w:pPr>
        <w:autoSpaceDE w:val="0"/>
        <w:autoSpaceDN w:val="0"/>
        <w:adjustRightInd w:val="0"/>
        <w:spacing w:line="360" w:lineRule="auto"/>
        <w:ind w:left="142"/>
        <w:jc w:val="both"/>
      </w:pPr>
      <w:r>
        <w:rPr>
          <w:noProof/>
          <w:sz w:val="20"/>
          <w:szCs w:val="20"/>
        </w:rPr>
        <mc:AlternateContent>
          <mc:Choice Requires="wps">
            <w:drawing>
              <wp:anchor distT="0" distB="0" distL="114300" distR="114300" simplePos="0" relativeHeight="251670528" behindDoc="0" locked="0" layoutInCell="1" allowOverlap="1" wp14:anchorId="7EE01857" wp14:editId="60CD1741">
                <wp:simplePos x="0" y="0"/>
                <wp:positionH relativeFrom="column">
                  <wp:posOffset>1052195</wp:posOffset>
                </wp:positionH>
                <wp:positionV relativeFrom="paragraph">
                  <wp:posOffset>37278</wp:posOffset>
                </wp:positionV>
                <wp:extent cx="0" cy="109470"/>
                <wp:effectExtent l="0" t="0" r="12700" b="17780"/>
                <wp:wrapNone/>
                <wp:docPr id="9" name="Conector Reto 9"/>
                <wp:cNvGraphicFramePr/>
                <a:graphic xmlns:a="http://schemas.openxmlformats.org/drawingml/2006/main">
                  <a:graphicData uri="http://schemas.microsoft.com/office/word/2010/wordprocessingShape">
                    <wps:wsp>
                      <wps:cNvCnPr/>
                      <wps:spPr>
                        <a:xfrm>
                          <a:off x="0" y="0"/>
                          <a:ext cx="0" cy="1094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272DC" id="Conector Reto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2.85pt,2.95pt" to="82.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" strokecolor="black [3213]" strokeweight=".5pt">
                <v:stroke joinstyle="miter"/>
              </v:line>
            </w:pict>
          </mc:Fallback>
        </mc:AlternateContent>
      </w:r>
    </w:p>
    <w:p w14:paraId="2FC14602" w14:textId="248E7063" w:rsidR="00066A86" w:rsidRDefault="00066A86" w:rsidP="00353287">
      <w:pPr>
        <w:autoSpaceDE w:val="0"/>
        <w:autoSpaceDN w:val="0"/>
        <w:adjustRightInd w:val="0"/>
        <w:spacing w:line="360" w:lineRule="auto"/>
        <w:ind w:left="142"/>
        <w:jc w:val="both"/>
      </w:pPr>
    </w:p>
    <w:p w14:paraId="4BEFDC5E" w14:textId="4BE5D44F" w:rsidR="00066A86" w:rsidRDefault="00066A86" w:rsidP="00353287">
      <w:pPr>
        <w:autoSpaceDE w:val="0"/>
        <w:autoSpaceDN w:val="0"/>
        <w:adjustRightInd w:val="0"/>
        <w:spacing w:line="360" w:lineRule="auto"/>
        <w:ind w:left="142"/>
        <w:jc w:val="both"/>
      </w:pPr>
    </w:p>
    <w:p w14:paraId="5A352609" w14:textId="21ABAADB" w:rsidR="00297109" w:rsidRDefault="00297109" w:rsidP="00DC5EC4">
      <w:pPr>
        <w:autoSpaceDE w:val="0"/>
        <w:autoSpaceDN w:val="0"/>
        <w:adjustRightInd w:val="0"/>
        <w:spacing w:line="360" w:lineRule="auto"/>
        <w:ind w:left="142"/>
        <w:jc w:val="both"/>
      </w:pPr>
    </w:p>
    <w:p w14:paraId="51C64B3B" w14:textId="77777777" w:rsidR="003034C6" w:rsidRDefault="003034C6" w:rsidP="00DC5EC4">
      <w:pPr>
        <w:autoSpaceDE w:val="0"/>
        <w:autoSpaceDN w:val="0"/>
        <w:adjustRightInd w:val="0"/>
        <w:spacing w:line="360" w:lineRule="auto"/>
        <w:ind w:left="142"/>
        <w:jc w:val="both"/>
      </w:pPr>
    </w:p>
    <w:p w14:paraId="3BC017C7" w14:textId="77777777" w:rsidR="00B1381F" w:rsidRPr="00CC09D0" w:rsidRDefault="00B1381F" w:rsidP="00DC5EC4">
      <w:pPr>
        <w:autoSpaceDE w:val="0"/>
        <w:autoSpaceDN w:val="0"/>
        <w:adjustRightInd w:val="0"/>
        <w:spacing w:line="360" w:lineRule="auto"/>
        <w:ind w:left="142"/>
        <w:jc w:val="both"/>
      </w:pPr>
    </w:p>
    <w:p w14:paraId="169292B4" w14:textId="77777777" w:rsidR="00DF0524" w:rsidRDefault="00893370" w:rsidP="00B6048A">
      <w:pPr>
        <w:pStyle w:val="PargrafodaLista"/>
        <w:numPr>
          <w:ilvl w:val="1"/>
          <w:numId w:val="44"/>
        </w:numPr>
        <w:pBdr>
          <w:top w:val="nil"/>
          <w:left w:val="nil"/>
          <w:bottom w:val="nil"/>
          <w:right w:val="nil"/>
          <w:between w:val="nil"/>
        </w:pBdr>
        <w:spacing w:line="360" w:lineRule="auto"/>
        <w:jc w:val="both"/>
        <w:rPr>
          <w:color w:val="222222"/>
        </w:rPr>
      </w:pPr>
      <w:r w:rsidRPr="00451B99">
        <w:rPr>
          <w:color w:val="222222"/>
        </w:rPr>
        <w:t xml:space="preserve"> </w:t>
      </w:r>
      <w:r w:rsidR="00DF0524" w:rsidRPr="00451B99">
        <w:rPr>
          <w:color w:val="222222"/>
        </w:rPr>
        <w:t>DADOS SOCIOECON</w:t>
      </w:r>
      <w:r w:rsidR="004241B1" w:rsidRPr="00451B99">
        <w:rPr>
          <w:color w:val="222222"/>
        </w:rPr>
        <w:t>Ô</w:t>
      </w:r>
      <w:r w:rsidR="00DF0524" w:rsidRPr="00451B99">
        <w:rPr>
          <w:color w:val="222222"/>
        </w:rPr>
        <w:t xml:space="preserve">MICOS </w:t>
      </w:r>
      <w:r w:rsidRPr="00451B99">
        <w:rPr>
          <w:color w:val="222222"/>
        </w:rPr>
        <w:t>E CLÍNICOS</w:t>
      </w:r>
    </w:p>
    <w:p w14:paraId="565DDD6A" w14:textId="388FEA85" w:rsidR="00B6048A" w:rsidRDefault="00B6048A" w:rsidP="00B6048A">
      <w:pPr>
        <w:spacing w:line="360" w:lineRule="auto"/>
        <w:ind w:left="360" w:right="335"/>
        <w:jc w:val="both"/>
      </w:pPr>
    </w:p>
    <w:p w14:paraId="05DF338A" w14:textId="6A040DBD" w:rsidR="004226DE" w:rsidRDefault="00A259C8" w:rsidP="00B6048A">
      <w:pPr>
        <w:spacing w:line="360" w:lineRule="auto"/>
        <w:ind w:left="14" w:right="335" w:firstLine="346"/>
        <w:jc w:val="both"/>
      </w:pPr>
      <w:r w:rsidRPr="00FD0772">
        <w:t xml:space="preserve">Para caracterização da população estudada, foram coletadas informações socioeconômicas, demográficas e de saúde </w:t>
      </w:r>
      <w:r w:rsidR="00E24846">
        <w:t xml:space="preserve">mediante </w:t>
      </w:r>
      <w:r w:rsidRPr="00FD0772">
        <w:t>a aplicação de</w:t>
      </w:r>
      <w:r w:rsidR="009D1B18">
        <w:t xml:space="preserve"> </w:t>
      </w:r>
      <w:r w:rsidRPr="00FD0772">
        <w:t>questionário</w:t>
      </w:r>
      <w:r w:rsidR="00E24846">
        <w:t>,</w:t>
      </w:r>
      <w:r w:rsidR="009D1B18">
        <w:t xml:space="preserve"> </w:t>
      </w:r>
      <w:r w:rsidR="00CE5C83">
        <w:t xml:space="preserve">realizada no próprio </w:t>
      </w:r>
      <w:r w:rsidR="00CE5C83" w:rsidRPr="00E247D1">
        <w:rPr>
          <w:i/>
        </w:rPr>
        <w:t>campus</w:t>
      </w:r>
      <w:r w:rsidR="00CE5C83">
        <w:t xml:space="preserve"> da UATI-UNEB por equipe de </w:t>
      </w:r>
      <w:r w:rsidR="009D1B18">
        <w:t>alunos universitários vinculados ao projeto</w:t>
      </w:r>
      <w:r w:rsidR="00CE5C83">
        <w:t>.</w:t>
      </w:r>
    </w:p>
    <w:p w14:paraId="0E42B9F4" w14:textId="77777777" w:rsidR="00A663FF" w:rsidRDefault="00A663FF" w:rsidP="009F39E7">
      <w:pPr>
        <w:spacing w:line="360" w:lineRule="auto"/>
        <w:ind w:left="14" w:right="335"/>
        <w:jc w:val="both"/>
      </w:pPr>
    </w:p>
    <w:p w14:paraId="5144A4AF" w14:textId="23AAEB8F" w:rsidR="004226DE" w:rsidRDefault="0034399A" w:rsidP="00B6048A">
      <w:pPr>
        <w:pStyle w:val="Ttulo2"/>
        <w:numPr>
          <w:ilvl w:val="1"/>
          <w:numId w:val="44"/>
        </w:numPr>
        <w:spacing w:before="0" w:line="360" w:lineRule="auto"/>
        <w:rPr>
          <w:rFonts w:ascii="Times New Roman" w:hAnsi="Times New Roman"/>
          <w:b w:val="0"/>
          <w:bCs w:val="0"/>
          <w:sz w:val="24"/>
          <w:szCs w:val="24"/>
        </w:rPr>
      </w:pPr>
      <w:r w:rsidRPr="00451B99">
        <w:rPr>
          <w:rFonts w:ascii="Times New Roman" w:hAnsi="Times New Roman"/>
          <w:b w:val="0"/>
          <w:bCs w:val="0"/>
          <w:sz w:val="24"/>
          <w:szCs w:val="24"/>
        </w:rPr>
        <w:t>AVALIAÇÃO NUTRICIONAL</w:t>
      </w:r>
    </w:p>
    <w:p w14:paraId="5AA7C4C9" w14:textId="77777777" w:rsidR="003F06DE" w:rsidRDefault="003F06DE" w:rsidP="009F39E7">
      <w:pPr>
        <w:autoSpaceDE w:val="0"/>
        <w:autoSpaceDN w:val="0"/>
        <w:adjustRightInd w:val="0"/>
        <w:spacing w:line="360" w:lineRule="auto"/>
        <w:ind w:firstLine="284"/>
        <w:jc w:val="both"/>
      </w:pPr>
    </w:p>
    <w:p w14:paraId="5A63D12E" w14:textId="168C5C19" w:rsidR="00A259C8" w:rsidRDefault="004226DE" w:rsidP="009F39E7">
      <w:pPr>
        <w:autoSpaceDE w:val="0"/>
        <w:autoSpaceDN w:val="0"/>
        <w:adjustRightInd w:val="0"/>
        <w:spacing w:line="360" w:lineRule="auto"/>
        <w:jc w:val="both"/>
      </w:pPr>
      <w:r>
        <w:t xml:space="preserve">     </w:t>
      </w:r>
      <w:r w:rsidR="00A259C8">
        <w:t xml:space="preserve">A avaliação nutricional foi realizada </w:t>
      </w:r>
      <w:r w:rsidR="00E24846">
        <w:t>mediante</w:t>
      </w:r>
      <w:r w:rsidR="00A259C8">
        <w:t xml:space="preserve"> questionário </w:t>
      </w:r>
      <w:r w:rsidR="00C666C6">
        <w:t>de Mini Avaliação Nutricional (M</w:t>
      </w:r>
      <w:r w:rsidR="00A259C8">
        <w:t>NA</w:t>
      </w:r>
      <w:r w:rsidR="00C666C6">
        <w:t>),</w:t>
      </w:r>
      <w:r w:rsidR="00A259C8">
        <w:t xml:space="preserve"> da análise da composição corporal por DXA e da avaliação antropométrica</w:t>
      </w:r>
      <w:r w:rsidR="004C5041">
        <w:t xml:space="preserve"> </w:t>
      </w:r>
      <w:r w:rsidR="004C5041">
        <w:fldChar w:fldCharType="begin"/>
      </w:r>
      <w:r w:rsidR="00344DCD">
        <w:instrText xml:space="preserve"> ADDIN ZOTERO_ITEM CSL_CITATION {"citationID":"Smrt4zEN","properties":{"formattedCitation":"(94)","plainCitation":"(94)","noteIndex":0},"citationItems":[{"id":2281,"uris":["http://zotero.org/users/7110448/items/R8ANHWTG"],"itemData":{"id":2281,"type":"article-journal","abstract":"OBJETIVO: Avaliar o risco nutricional de idosos institucionalizados por diferentes instrumentos de avaliação nutricional. MÉTODOS: Estudo transversal com 37 idosos (60 a 100 anos) residentes em Instituição de Longa Permanência do Distrito Federal. A avaliação incluiu diferentes critérios antropométricos: índice de massa corporal, circunferência do braço, da panturrilha, da intura, razão cintura/quadril, perda e ganho ponderal, contagem total de linfócitos e a aplicação da Mini Avaliação Nutricional. RESULTADOS: As proporções de 36,1% de desnutridos, 16,7% de sobrepeso + obesidade e 47,2% de eutróficos foram verificadas, quando a medida de circunferência do braço foi o instrumento utilizado. A avaliação realizada com o índice de massa corporal mostrou a presença de 47,9% de eutrofia, menor proporção de baixo peso (27,0%) e de sobrepeso (27,0%). O risco para doenças cardiovasculares, segundo a circunferência da cintura, foi estimado em 86,4% das mulheres e 57,1% dos homens. Contudo, quando este mesmo risco foi julgado utilizando-se a razão entre a circunferência da cintura e a circunferência do quadril, a proporção de 95,5% foi significantemente maior no grupo de mulheres (42,9%, masculino). A depleção imunológica foi constatada em 46,7% dos homens e 66,7% das mulheres. O estado nutricional, classificado pela Mini Avaliação Nutricional, apontou 50,0% de mulheres e 40,0% de homens com risco de desnutrição. O risco nutricional foi observado em 83,8% dos idosos quando considerada, como critério para este diagnóstico, a presença de pelo menos um dos índices antropométricos abaixo da normalidade. Resultado semelhante, de 75,7% de risco, foi obtido com a Mini Avaliação Nutricional. CONCLUSÃO: Na instituição sob estudo uma maioria significativa de idosos, independentemente do sexo, apresentou risco nutricional, a julgar pelos indicadores antropométricos utilizados ou pela Mini Avaliação Nutricional.","container-title":"Revista de Nutrição","DOI":"10.1590/S1415-52732009000400012","ISSN":"1415-5273, 1678-9865","journalAbbreviation":"Rev. Nutr.","language":"pt","note":"publisher: Pontifícia Universidade Católica de Campinas","page":"571-580","source":"SciELO","title":"Avaliação nutricional de idosos em uma instituição por diferentes instrumentos","volume":"22","author":[{"family":"Félix","given":"Luciana Nabuco"},{"family":"Souza","given":"Elizabeth Maria Talá","dropping-particle":"de"}],"issued":{"date-parts":[["2009",8]]}}}],"schema":"https://github.com/citation-style-language/schema/raw/master/csl-citation.json"} </w:instrText>
      </w:r>
      <w:r w:rsidR="004C5041">
        <w:fldChar w:fldCharType="separate"/>
      </w:r>
      <w:r w:rsidR="004C5041">
        <w:rPr>
          <w:noProof/>
        </w:rPr>
        <w:t>(94)</w:t>
      </w:r>
      <w:r w:rsidR="004C5041">
        <w:fldChar w:fldCharType="end"/>
      </w:r>
      <w:r w:rsidR="004C5041">
        <w:t>.</w:t>
      </w:r>
    </w:p>
    <w:p w14:paraId="5BE12587" w14:textId="5B3EAD52" w:rsidR="00A259C8" w:rsidRDefault="00A259C8" w:rsidP="0034399A">
      <w:pPr>
        <w:autoSpaceDE w:val="0"/>
        <w:autoSpaceDN w:val="0"/>
        <w:adjustRightInd w:val="0"/>
        <w:spacing w:line="360" w:lineRule="auto"/>
        <w:ind w:firstLine="284"/>
        <w:jc w:val="both"/>
      </w:pPr>
    </w:p>
    <w:p w14:paraId="3F1DC3CA" w14:textId="36384A0B" w:rsidR="00893370" w:rsidRDefault="0034399A" w:rsidP="00B6048A">
      <w:pPr>
        <w:pStyle w:val="PargrafodaLista"/>
        <w:numPr>
          <w:ilvl w:val="2"/>
          <w:numId w:val="44"/>
        </w:numPr>
        <w:autoSpaceDE w:val="0"/>
        <w:autoSpaceDN w:val="0"/>
        <w:adjustRightInd w:val="0"/>
        <w:spacing w:line="360" w:lineRule="auto"/>
        <w:jc w:val="both"/>
      </w:pPr>
      <w:r w:rsidRPr="00A663FF">
        <w:rPr>
          <w:b/>
        </w:rPr>
        <w:t xml:space="preserve">Mini Avaliação </w:t>
      </w:r>
      <w:r w:rsidRPr="00B1381F">
        <w:rPr>
          <w:b/>
        </w:rPr>
        <w:t>Nutricional – (MNA</w:t>
      </w:r>
      <w:r w:rsidRPr="00893370">
        <w:t xml:space="preserve">) </w:t>
      </w:r>
    </w:p>
    <w:p w14:paraId="72653AE0" w14:textId="3E547899" w:rsidR="001C05F1" w:rsidRDefault="001C05F1" w:rsidP="001C05F1">
      <w:pPr>
        <w:autoSpaceDE w:val="0"/>
        <w:autoSpaceDN w:val="0"/>
        <w:adjustRightInd w:val="0"/>
        <w:spacing w:line="360" w:lineRule="auto"/>
        <w:jc w:val="both"/>
      </w:pPr>
    </w:p>
    <w:p w14:paraId="5F31E28B" w14:textId="6F9C3DFD" w:rsidR="0034399A" w:rsidRDefault="004226DE" w:rsidP="00D56FB7">
      <w:pPr>
        <w:autoSpaceDE w:val="0"/>
        <w:autoSpaceDN w:val="0"/>
        <w:adjustRightInd w:val="0"/>
        <w:spacing w:line="360" w:lineRule="auto"/>
        <w:jc w:val="both"/>
      </w:pPr>
      <w:r>
        <w:rPr>
          <w:lang w:val="pt-PT"/>
        </w:rPr>
        <w:t xml:space="preserve">     </w:t>
      </w:r>
      <w:r w:rsidR="0034399A" w:rsidRPr="00B876AE">
        <w:rPr>
          <w:lang w:val="pt-PT"/>
        </w:rPr>
        <w:t xml:space="preserve">A MNA é uma ferramenta de triagem para avaliação nutricional que visa identificar idosos com risco de desnutrição. </w:t>
      </w:r>
      <w:r w:rsidR="0034399A" w:rsidRPr="00B876AE">
        <w:t xml:space="preserve">Consiste em um questionário que pode ser completado em </w:t>
      </w:r>
      <w:r w:rsidR="00CE5C83">
        <w:t xml:space="preserve">até </w:t>
      </w:r>
      <w:r w:rsidR="008C260C">
        <w:t>dez</w:t>
      </w:r>
      <w:r w:rsidR="0034399A" w:rsidRPr="00B876AE">
        <w:t xml:space="preserve"> </w:t>
      </w:r>
      <w:r w:rsidR="0034399A" w:rsidRPr="006333CC">
        <w:t>minutos</w:t>
      </w:r>
      <w:r w:rsidR="00CE5C83" w:rsidRPr="006333CC">
        <w:t xml:space="preserve"> (</w:t>
      </w:r>
      <w:r w:rsidR="00E24846" w:rsidRPr="006333CC">
        <w:t>ANEXO</w:t>
      </w:r>
      <w:r w:rsidR="00CE5C83" w:rsidRPr="006333CC">
        <w:t xml:space="preserve"> </w:t>
      </w:r>
      <w:r w:rsidR="00E24846" w:rsidRPr="006333CC">
        <w:t>B</w:t>
      </w:r>
      <w:r w:rsidR="00CE5C83" w:rsidRPr="006333CC">
        <w:t xml:space="preserve">), </w:t>
      </w:r>
      <w:r w:rsidR="0034399A" w:rsidRPr="006333CC">
        <w:t>dividid</w:t>
      </w:r>
      <w:r w:rsidR="00CE5C83" w:rsidRPr="006333CC">
        <w:t>o</w:t>
      </w:r>
      <w:r w:rsidR="00CE5C83">
        <w:t xml:space="preserve"> </w:t>
      </w:r>
      <w:r w:rsidR="00E24846">
        <w:t xml:space="preserve">em </w:t>
      </w:r>
      <w:r w:rsidR="00CE5C83">
        <w:t xml:space="preserve">quatro </w:t>
      </w:r>
      <w:r w:rsidR="0034399A" w:rsidRPr="00B876AE">
        <w:t xml:space="preserve">partes: </w:t>
      </w:r>
      <w:r w:rsidR="00CE5C83">
        <w:t xml:space="preserve">triagem; </w:t>
      </w:r>
      <w:r w:rsidR="0034399A" w:rsidRPr="00B876AE">
        <w:t xml:space="preserve">avaliação antropométrica </w:t>
      </w:r>
      <w:r w:rsidR="00D56FB7">
        <w:t xml:space="preserve">e </w:t>
      </w:r>
      <w:r w:rsidR="0034399A" w:rsidRPr="00B876AE">
        <w:t xml:space="preserve">global (perguntas relacionadas com o modo de vida, medicação, mobilidade e problemas psicológicos); avaliação dietética (perguntas relativas ao número de refeições, ingestão de alimentos e líquidos e autonomia na alimentação); e autoavaliação (autopercepção da saúde e da condição nutricional). </w:t>
      </w:r>
      <w:r w:rsidR="00AC36DE">
        <w:t>O</w:t>
      </w:r>
      <w:r w:rsidR="0034399A" w:rsidRPr="00B876AE">
        <w:t xml:space="preserve"> estado nutricional </w:t>
      </w:r>
      <w:r w:rsidR="00AC36DE">
        <w:t>é determinado a parti</w:t>
      </w:r>
      <w:r w:rsidR="004D762E">
        <w:t>r da soma dos escores conforme T</w:t>
      </w:r>
      <w:r w:rsidR="00AC36DE">
        <w:t xml:space="preserve">abela </w:t>
      </w:r>
      <w:r w:rsidR="00D7409C">
        <w:t>1</w:t>
      </w:r>
      <w:r w:rsidR="00AC36DE">
        <w:t xml:space="preserve"> </w:t>
      </w:r>
      <w:r w:rsidR="00AC36DE">
        <w:fldChar w:fldCharType="begin"/>
      </w:r>
      <w:r w:rsidR="00344DCD">
        <w:instrText xml:space="preserve"> ADDIN ZOTERO_ITEM CSL_CITATION {"citationID":"ct1NNxio","properties":{"formattedCitation":"(94\\uc0\\u8211{}97)","plainCitation":"(94–97)","noteIndex":0},"citationItems":[{"id":2281,"uris":["http://zotero.org/users/7110448/items/R8ANHWTG"],"itemData":{"id":2281,"type":"article-journal","abstract":"OBJETIVO: Avaliar o risco nutricional de idosos institucionalizados por diferentes instrumentos de avaliação nutricional. MÉTODOS: Estudo transversal com 37 idosos (60 a 100 anos) residentes em Instituição de Longa Permanência do Distrito Federal. A avaliação incluiu diferentes critérios antropométricos: índice de massa corporal, circunferência do braço, da panturrilha, da intura, razão cintura/quadril, perda e ganho ponderal, contagem total de linfócitos e a aplicação da Mini Avaliação Nutricional. RESULTADOS: As proporções de 36,1% de desnutridos, 16,7% de sobrepeso + obesidade e 47,2% de eutróficos foram verificadas, quando a medida de circunferência do braço foi o instrumento utilizado. A avaliação realizada com o índice de massa corporal mostrou a presença de 47,9% de eutrofia, menor proporção de baixo peso (27,0%) e de sobrepeso (27,0%). O risco para doenças cardiovasculares, segundo a circunferência da cintura, foi estimado em 86,4% das mulheres e 57,1% dos homens. Contudo, quando este mesmo risco foi julgado utilizando-se a razão entre a circunferência da cintura e a circunferência do quadril, a proporção de 95,5% foi significantemente maior no grupo de mulheres (42,9%, masculino). A depleção imunológica foi constatada em 46,7% dos homens e 66,7% das mulheres. O estado nutricional, classificado pela Mini Avaliação Nutricional, apontou 50,0% de mulheres e 40,0% de homens com risco de desnutrição. O risco nutricional foi observado em 83,8% dos idosos quando considerada, como critério para este diagnóstico, a presença de pelo menos um dos índices antropométricos abaixo da normalidade. Resultado semelhante, de 75,7% de risco, foi obtido com a Mini Avaliação Nutricional. CONCLUSÃO: Na instituição sob estudo uma maioria significativa de idosos, independentemente do sexo, apresentou risco nutricional, a julgar pelos indicadores antropométricos utilizados ou pela Mini Avaliação Nutricional.","container-title":"Revista de Nutrição","DOI":"10.1590/S1415-52732009000400012","ISSN":"1415-5273, 1678-9865","journalAbbreviation":"Rev. Nutr.","language":"pt","note":"publisher: Pontifícia Universidade Católica de Campinas","page":"571-580","source":"SciELO","title":"Avaliação nutricional de idosos em uma instituição por diferentes instrumentos","volume":"22","author":[{"family":"Félix","given":"Luciana Nabuco"},{"family":"Souza","given":"Elizabeth Maria Talá","dropping-particle":"de"}],"issued":{"date-parts":[["2009",8]]}},"label":"page"},{"id":1895,"uris":["http://zotero.org/users/7110448/items/IYD4WTSB"],"itemData":{"id":1895,"type":"book","abstract":"This book is the first of a new series which will present the proceedings of the newly established Nestlé Nutrition Workshop Series: Clinical &amp; Performance Programme aimed at adult nutrition.    Undernutrition is a common phenomenon in elderly people, and malnutrition reaches significant levels in those being in hospital, nursing homes or home care","language":"en","source":"www.karger.com","title":"Mini Nutritional Assessment (MNA): Research and Practice in the Elderly | Karger Book","title-short":"Mini Nutritional Assessment (MNA)","URL":"https://www.karger.com/Book/Home/223519","accessed":{"date-parts":[["2022",2,23]]}},"label":"page"},{"id":2254,"uris":["http://zotero.org/users/7110448/items/IZ7Z7ZGX"],"itemData":{"id":2254,"type":"article-journal","abstract":"The Mini Nutritional Assessment (MNA®) is a simple tool, useful in clinical practice to measure nutritional status in elderly persons. From its validation in 1994, the MNA® has been used in hundreds of studies and translated into more then 20 languages. It is a well-validated tool, with high sensitivity, specificity, and reliability. An MNA® score ≥24 identifies patients with a good nutritional status. Scores between 17 and 23.5 identify patients at risk for malnutrition. These patients have not yet started to lose weight and do not show low plasma albumin levels but have lower protein-calorie intakes than recommended. For them, a multidisciplinary geriatric intervention is needed, which takes into account all aspects that might interfere with proper alimentation and, when necessary, proposes therapeutic interventions for diet or supplementation. If the MNA® score is less than 17, the patient has protein-calorie malnutrition. It is important at this stage to quantify the severity of the malnutrition (by measuring biochemical parameters like plasma albumin or prealbumin levels, establishing a 3day record of food intake, and measuring anthropometric features like weight, BMI, arm circumference and skin folds). Nutritional intervention is clearly needed and should be based on achievable objectives established after a detailed comprehensive geriatric assessment. The MNA® has been shown to be useful for nutritional intervention follow-up as well. The MNA® can help clinicians design an intervention by noting where the patient loses points when performing the MNA®. Moreover, when a nutritional intervention is successful, the MNA® score increases. The MNA® is recommended by many national and international clinical and scientific organizations. It can be used by a variety of professionals, including physicians, dietitians, nurses or research assistants. A short screening version (MNA®-SF) has been developed, which, if positive, indicates the need to complete the full MNA®. It takes less than 4 minutes to administer the MNA®-SF and between 10 and 15 minutes for the full MNA®.","container-title":"The Journal of Nutrition","issue":"6","language":"en","page":"11","source":"Zotero","title":"OVERVIEW OF THE MNA® – ITS HISTORY AND CHALLENGES","volume":"10","author":[{"family":"Vellas","given":"B"},{"family":"Villars","given":"H"},{"family":"Abellan","given":"G"},{"family":"Soto","given":"M E"},{"family":"Rolland","given":"Y"},{"family":"Guigoz","given":"Y"},{"family":"Morley","given":"J E"},{"family":"Chumlea","given":"W"},{"family":"Salva","given":"A"},{"family":"Rubenstein","given":"L Z"},{"family":"Garry","given":"P"}],"issued":{"date-parts":[["2006"]]}},"label":"page"},{"id":1893,"uris":["http://zotero.org/users/7110448/items/VJMSELDJ"],"itemData":{"id":1893,"type":"article-journal","abstract":"OBJECTIVE: The aim of the study was to identify the most significant MNA-items to accelerate the determination of nutritional risk of elderly patients in routine clinical practice in a geriatric hospital. Since MNA requires 10-15 min it is hardly applicable to clinical routine.\nDESIGN: The study was a cross-sectional study.\nSETTING: The study centre was an acute geriatric hospital.\nPARTICIPANTS: In total 808 multimorbid elderly patients were recruited.\nMETHODS: We applied the MNA in 808 (528 f/280 m) geriatric multimorbid patients (78.5+/-8.7f / 74.6+/-9 m yrs) without cognitive impairment 48 h after hospital admission. Admission diagnoses covered orthopaedical (40%), internal (34%) and cerebrovascular (24%) diseases. According to analysis of reliability the consistency of the MNA scale for multimorbid patients has been verified. In preparation for scale reduction a factor analysis was applied. A reduced scale with selected cutoffs was configured and compared with MNA.\nRESULTS: According to MNA, 15% of patients were well-nourished, 65% at risk of malnutrition and 20% were malnourished. The reliability analyses showed a Cronbach's Alpha of 0.60 that represented a satisfactory result. By means of factor analysis the MNA-items were reduced from 18 to 7 items (weight loss, mobility, BMI, number of full meals, fluid consumption, mode of feeding, health status). with new cutoffs (12.5-15 well-nourished, 9-12 at risk of malnutrition, &lt;9 malnourished). According to the modified MNA (m-MNA) 21.7% of the patients were well-nourished, 54.5% at risk of malnutrition and 21.7% were malnourished. The score of the MNA and m-MNA correlated with r=0.910. Furthermore, there was a strong correlation between MNA and m- MNA group classification of 83%.\nCONCLUSION: The m-MNA enables a rapid (3 min) and efficient screening of malnutrition in multimorbid geriatric patients. The m-MNA is easy to apply and may also be suitable in multimorbid patients with cognitive dysfunction. Due to the variety of items the m-MNA seems to be superior to other screening tools.","container-title":"The Journal of Nutrition, Health &amp; Aging","DOI":"10.1007/BF02982563","ISSN":"1279-7707","issue":"2","journalAbbreviation":"J Nutr Health Aging","language":"eng","note":"PMID: 18264638","page":"117-122","source":"PubMed","title":"Which are the most efficient items of mini nutritional assessment in multimorbid patients?","volume":"12","author":[{"family":"Hengstermann","given":"S."},{"family":"Nieczaj","given":"R."},{"family":"Steinhagen-Thiessen","given":"E."},{"family":"Schulz","given":"R.-J."}],"issued":{"date-parts":[["2008",2]]}},"label":"page"}],"schema":"https://github.com/citation-style-language/schema/raw/master/csl-citation.json"} </w:instrText>
      </w:r>
      <w:r w:rsidR="00AC36DE">
        <w:fldChar w:fldCharType="separate"/>
      </w:r>
      <w:r w:rsidR="00AC36DE" w:rsidRPr="00AC36DE">
        <w:t>(94–97)</w:t>
      </w:r>
      <w:r w:rsidR="00AC36DE">
        <w:fldChar w:fldCharType="end"/>
      </w:r>
      <w:r w:rsidR="00AC36DE">
        <w:t>.</w:t>
      </w:r>
    </w:p>
    <w:p w14:paraId="11531C3F" w14:textId="77777777" w:rsidR="00F25F02" w:rsidRDefault="00F25F02" w:rsidP="00893370">
      <w:pPr>
        <w:autoSpaceDE w:val="0"/>
        <w:autoSpaceDN w:val="0"/>
        <w:adjustRightInd w:val="0"/>
        <w:spacing w:line="360" w:lineRule="auto"/>
        <w:jc w:val="both"/>
      </w:pPr>
    </w:p>
    <w:p w14:paraId="08572CA3" w14:textId="77777777" w:rsidR="008C260C" w:rsidRDefault="008C260C" w:rsidP="004241B1">
      <w:pPr>
        <w:autoSpaceDE w:val="0"/>
        <w:autoSpaceDN w:val="0"/>
        <w:adjustRightInd w:val="0"/>
        <w:spacing w:line="360" w:lineRule="auto"/>
        <w:jc w:val="both"/>
        <w:rPr>
          <w:b/>
          <w:bCs/>
          <w:sz w:val="22"/>
          <w:szCs w:val="22"/>
        </w:rPr>
      </w:pPr>
    </w:p>
    <w:p w14:paraId="13582B61" w14:textId="6D8B6204" w:rsidR="008C260C" w:rsidRDefault="008C260C" w:rsidP="004241B1">
      <w:pPr>
        <w:autoSpaceDE w:val="0"/>
        <w:autoSpaceDN w:val="0"/>
        <w:adjustRightInd w:val="0"/>
        <w:spacing w:line="360" w:lineRule="auto"/>
        <w:jc w:val="both"/>
        <w:rPr>
          <w:b/>
          <w:bCs/>
          <w:sz w:val="22"/>
          <w:szCs w:val="22"/>
        </w:rPr>
      </w:pPr>
    </w:p>
    <w:p w14:paraId="3FDAF792" w14:textId="5FB24E2E" w:rsidR="004241B1" w:rsidRDefault="00893370" w:rsidP="00FC1A41">
      <w:pPr>
        <w:autoSpaceDE w:val="0"/>
        <w:autoSpaceDN w:val="0"/>
        <w:adjustRightInd w:val="0"/>
        <w:spacing w:line="360" w:lineRule="auto"/>
        <w:rPr>
          <w:sz w:val="22"/>
          <w:szCs w:val="22"/>
        </w:rPr>
      </w:pPr>
      <w:r w:rsidRPr="00874A69">
        <w:rPr>
          <w:b/>
          <w:bCs/>
          <w:sz w:val="22"/>
          <w:szCs w:val="22"/>
        </w:rPr>
        <w:t>T</w:t>
      </w:r>
      <w:r w:rsidR="00874A69" w:rsidRPr="00874A69">
        <w:rPr>
          <w:b/>
          <w:bCs/>
          <w:sz w:val="22"/>
          <w:szCs w:val="22"/>
        </w:rPr>
        <w:t xml:space="preserve">abela </w:t>
      </w:r>
      <w:r w:rsidR="00D7409C" w:rsidRPr="00874A69">
        <w:rPr>
          <w:b/>
          <w:bCs/>
          <w:sz w:val="22"/>
          <w:szCs w:val="22"/>
        </w:rPr>
        <w:t>1</w:t>
      </w:r>
      <w:r w:rsidR="00024EBF" w:rsidRPr="00874A69">
        <w:rPr>
          <w:b/>
          <w:bCs/>
          <w:sz w:val="22"/>
          <w:szCs w:val="22"/>
        </w:rPr>
        <w:t xml:space="preserve">: </w:t>
      </w:r>
      <w:r w:rsidR="00024EBF" w:rsidRPr="00874A69">
        <w:rPr>
          <w:sz w:val="22"/>
          <w:szCs w:val="22"/>
        </w:rPr>
        <w:t xml:space="preserve">Estado </w:t>
      </w:r>
      <w:r w:rsidR="00CD389B" w:rsidRPr="00874A69">
        <w:rPr>
          <w:sz w:val="22"/>
          <w:szCs w:val="22"/>
        </w:rPr>
        <w:t>n</w:t>
      </w:r>
      <w:r w:rsidR="00024EBF" w:rsidRPr="00874A69">
        <w:rPr>
          <w:sz w:val="22"/>
          <w:szCs w:val="22"/>
        </w:rPr>
        <w:t xml:space="preserve">utricional </w:t>
      </w:r>
      <w:r w:rsidR="00CD389B" w:rsidRPr="00874A69">
        <w:rPr>
          <w:sz w:val="22"/>
          <w:szCs w:val="22"/>
        </w:rPr>
        <w:t>segundo critérios da Mini Avaliação Nutricional</w:t>
      </w:r>
    </w:p>
    <w:tbl>
      <w:tblPr>
        <w:tblStyle w:val="SimplesTabela2"/>
        <w:tblpPr w:leftFromText="141" w:rightFromText="141" w:vertAnchor="text" w:horzAnchor="margin" w:tblpY="355"/>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977"/>
      </w:tblGrid>
      <w:tr w:rsidR="00FC1A41" w14:paraId="7C575B46" w14:textId="77777777" w:rsidTr="00FC1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left w:val="nil"/>
              <w:bottom w:val="single" w:sz="4" w:space="0" w:color="auto"/>
              <w:right w:val="nil"/>
            </w:tcBorders>
          </w:tcPr>
          <w:p w14:paraId="6056A73F" w14:textId="77777777" w:rsidR="00FC1A41" w:rsidRPr="00893370" w:rsidRDefault="00FC1A41" w:rsidP="00FC1A41">
            <w:pPr>
              <w:autoSpaceDE w:val="0"/>
              <w:autoSpaceDN w:val="0"/>
              <w:adjustRightInd w:val="0"/>
              <w:spacing w:line="360" w:lineRule="auto"/>
            </w:pPr>
            <w:r w:rsidRPr="00B876AE">
              <w:t>Estado nutricional adequado</w:t>
            </w:r>
          </w:p>
        </w:tc>
        <w:tc>
          <w:tcPr>
            <w:tcW w:w="2977" w:type="dxa"/>
            <w:tcBorders>
              <w:left w:val="nil"/>
              <w:bottom w:val="none" w:sz="0" w:space="0" w:color="auto"/>
              <w:right w:val="nil"/>
            </w:tcBorders>
          </w:tcPr>
          <w:p w14:paraId="775B1591" w14:textId="77777777" w:rsidR="00FC1A41" w:rsidRPr="00CD389B" w:rsidRDefault="00FC1A41" w:rsidP="00FC1A41">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b w:val="0"/>
                <w:bCs w:val="0"/>
              </w:rPr>
            </w:pPr>
            <w:r w:rsidRPr="00CD389B">
              <w:rPr>
                <w:b w:val="0"/>
                <w:bCs w:val="0"/>
              </w:rPr>
              <w:t>MNA ≥ 24</w:t>
            </w:r>
          </w:p>
        </w:tc>
      </w:tr>
      <w:tr w:rsidR="00FC1A41" w14:paraId="1E039723" w14:textId="77777777" w:rsidTr="00FC1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il"/>
              <w:bottom w:val="single" w:sz="4" w:space="0" w:color="auto"/>
              <w:right w:val="nil"/>
            </w:tcBorders>
          </w:tcPr>
          <w:p w14:paraId="3E559985" w14:textId="77777777" w:rsidR="00FC1A41" w:rsidRPr="006D244F" w:rsidRDefault="00FC1A41" w:rsidP="00FC1A41">
            <w:pPr>
              <w:autoSpaceDE w:val="0"/>
              <w:autoSpaceDN w:val="0"/>
              <w:adjustRightInd w:val="0"/>
              <w:spacing w:line="360" w:lineRule="auto"/>
              <w:ind w:left="29"/>
            </w:pPr>
            <w:r w:rsidRPr="00B876AE">
              <w:t>Risco de desnutrição</w:t>
            </w:r>
          </w:p>
        </w:tc>
        <w:tc>
          <w:tcPr>
            <w:tcW w:w="2977" w:type="dxa"/>
            <w:tcBorders>
              <w:top w:val="none" w:sz="0" w:space="0" w:color="auto"/>
              <w:left w:val="nil"/>
              <w:bottom w:val="none" w:sz="0" w:space="0" w:color="auto"/>
              <w:right w:val="nil"/>
            </w:tcBorders>
          </w:tcPr>
          <w:p w14:paraId="74EF5E5A" w14:textId="77777777" w:rsidR="00FC1A41" w:rsidRPr="00B876AE" w:rsidRDefault="00FC1A41" w:rsidP="00FC1A41">
            <w:pPr>
              <w:autoSpaceDE w:val="0"/>
              <w:autoSpaceDN w:val="0"/>
              <w:adjustRightInd w:val="0"/>
              <w:spacing w:line="360" w:lineRule="auto"/>
              <w:ind w:left="29"/>
              <w:cnfStyle w:val="000000100000" w:firstRow="0" w:lastRow="0" w:firstColumn="0" w:lastColumn="0" w:oddVBand="0" w:evenVBand="0" w:oddHBand="1" w:evenHBand="0" w:firstRowFirstColumn="0" w:firstRowLastColumn="0" w:lastRowFirstColumn="0" w:lastRowLastColumn="0"/>
            </w:pPr>
            <w:r w:rsidRPr="00B876AE">
              <w:t>MNA entre 17 e 23,5</w:t>
            </w:r>
          </w:p>
        </w:tc>
      </w:tr>
      <w:tr w:rsidR="00FC1A41" w14:paraId="25D4BE0B" w14:textId="77777777" w:rsidTr="00FC1A41">
        <w:tc>
          <w:tcPr>
            <w:cnfStyle w:val="001000000000" w:firstRow="0" w:lastRow="0" w:firstColumn="1" w:lastColumn="0" w:oddVBand="0" w:evenVBand="0" w:oddHBand="0" w:evenHBand="0" w:firstRowFirstColumn="0" w:firstRowLastColumn="0" w:lastRowFirstColumn="0" w:lastRowLastColumn="0"/>
            <w:tcW w:w="3397" w:type="dxa"/>
            <w:tcBorders>
              <w:left w:val="nil"/>
              <w:right w:val="nil"/>
            </w:tcBorders>
          </w:tcPr>
          <w:p w14:paraId="0AC9D7AF" w14:textId="77777777" w:rsidR="00FC1A41" w:rsidRPr="00893370" w:rsidRDefault="00FC1A41" w:rsidP="00FC1A41">
            <w:pPr>
              <w:autoSpaceDE w:val="0"/>
              <w:autoSpaceDN w:val="0"/>
              <w:adjustRightInd w:val="0"/>
              <w:spacing w:line="360" w:lineRule="auto"/>
            </w:pPr>
            <w:r w:rsidRPr="00B876AE">
              <w:t>Desnutrição</w:t>
            </w:r>
          </w:p>
        </w:tc>
        <w:tc>
          <w:tcPr>
            <w:tcW w:w="2977" w:type="dxa"/>
            <w:tcBorders>
              <w:left w:val="nil"/>
              <w:right w:val="nil"/>
            </w:tcBorders>
          </w:tcPr>
          <w:p w14:paraId="7C64105D" w14:textId="77777777" w:rsidR="00FC1A41" w:rsidRPr="00B876AE" w:rsidRDefault="00FC1A41" w:rsidP="00FC1A41">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pPr>
            <w:r w:rsidRPr="00B876AE">
              <w:t>MNA &lt; 17</w:t>
            </w:r>
          </w:p>
        </w:tc>
      </w:tr>
    </w:tbl>
    <w:p w14:paraId="400DDB19" w14:textId="6E9B1EB4" w:rsidR="00FC1A41" w:rsidRDefault="00FC1A41" w:rsidP="00FC1A41">
      <w:pPr>
        <w:autoSpaceDE w:val="0"/>
        <w:autoSpaceDN w:val="0"/>
        <w:adjustRightInd w:val="0"/>
        <w:spacing w:line="360" w:lineRule="auto"/>
        <w:rPr>
          <w:sz w:val="22"/>
          <w:szCs w:val="22"/>
        </w:rPr>
      </w:pPr>
    </w:p>
    <w:p w14:paraId="4FF5CA50" w14:textId="235F40B2" w:rsidR="00FC1A41" w:rsidRDefault="00FC1A41" w:rsidP="00FC1A41">
      <w:pPr>
        <w:autoSpaceDE w:val="0"/>
        <w:autoSpaceDN w:val="0"/>
        <w:adjustRightInd w:val="0"/>
        <w:spacing w:line="360" w:lineRule="auto"/>
        <w:rPr>
          <w:sz w:val="22"/>
          <w:szCs w:val="22"/>
        </w:rPr>
      </w:pPr>
    </w:p>
    <w:p w14:paraId="157C9D90" w14:textId="77777777" w:rsidR="00874A69" w:rsidRPr="00874A69" w:rsidRDefault="00874A69" w:rsidP="00FC1A41">
      <w:pPr>
        <w:spacing w:line="360" w:lineRule="auto"/>
        <w:rPr>
          <w:color w:val="000000" w:themeColor="text1"/>
          <w:sz w:val="20"/>
          <w:szCs w:val="20"/>
        </w:rPr>
      </w:pPr>
    </w:p>
    <w:p w14:paraId="68B5520F" w14:textId="77777777" w:rsidR="00874A69" w:rsidRPr="00874A69" w:rsidRDefault="00874A69" w:rsidP="00F364A0">
      <w:pPr>
        <w:spacing w:line="360" w:lineRule="auto"/>
        <w:ind w:firstLine="284"/>
        <w:jc w:val="center"/>
        <w:rPr>
          <w:color w:val="000000" w:themeColor="text1"/>
          <w:sz w:val="20"/>
          <w:szCs w:val="20"/>
        </w:rPr>
      </w:pPr>
    </w:p>
    <w:p w14:paraId="7439259D" w14:textId="77777777" w:rsidR="00874A69" w:rsidRPr="00874A69" w:rsidRDefault="00874A69" w:rsidP="00F364A0">
      <w:pPr>
        <w:spacing w:line="360" w:lineRule="auto"/>
        <w:ind w:firstLine="284"/>
        <w:jc w:val="center"/>
        <w:rPr>
          <w:color w:val="000000" w:themeColor="text1"/>
          <w:sz w:val="20"/>
          <w:szCs w:val="20"/>
        </w:rPr>
      </w:pPr>
    </w:p>
    <w:p w14:paraId="5215F2C2" w14:textId="380F30AB" w:rsidR="00AC36DE" w:rsidRPr="00E247D1" w:rsidRDefault="008E4FC6" w:rsidP="00B6048A">
      <w:pPr>
        <w:spacing w:line="360" w:lineRule="auto"/>
        <w:rPr>
          <w:color w:val="000000" w:themeColor="text1"/>
          <w:sz w:val="22"/>
          <w:szCs w:val="22"/>
          <w:lang w:val="en-US"/>
        </w:rPr>
      </w:pPr>
      <w:r w:rsidRPr="00874A69">
        <w:rPr>
          <w:color w:val="000000" w:themeColor="text1"/>
          <w:sz w:val="22"/>
          <w:szCs w:val="22"/>
          <w:lang w:val="en-US"/>
        </w:rPr>
        <w:t xml:space="preserve">Fonte: Mini Nutritional Assessment (MNA): Research and Practice in the Elderly </w:t>
      </w:r>
      <w:r w:rsidRPr="00874A69">
        <w:rPr>
          <w:color w:val="000000" w:themeColor="text1"/>
          <w:sz w:val="22"/>
          <w:szCs w:val="22"/>
        </w:rPr>
        <w:fldChar w:fldCharType="begin"/>
      </w:r>
      <w:r w:rsidR="004C5041" w:rsidRPr="00874A69">
        <w:rPr>
          <w:color w:val="000000" w:themeColor="text1"/>
          <w:sz w:val="22"/>
          <w:szCs w:val="22"/>
          <w:lang w:val="en-US"/>
        </w:rPr>
        <w:instrText xml:space="preserve"> ADDIN ZOTERO_ITEM CSL_CITATION {"citationID":"M8oLafJQ","properties":{"formattedCitation":"(95)","plainCitation":"(95)","noteIndex":0},"citationItems":[{"id":1895,"uris":["http://zotero.org/users/7110448/items/IYD4WTSB"],"itemData":{"id":1895,"type":"book","abstract":"This book is the first of a new series which will present the proceedings of the newly established Nestlé Nutrition Workshop Series: Clinical &amp; Performance Programme aimed at adult nutrition.    Undernutrition is a common phenomenon in elderly people, and malnutrition reaches significant levels in those being in hospital, nursing homes or home care","language":"en","source":"www.karger.com","title":"Mini Nutritional Assessment (MNA): Research and Practice in the Elderly | Karger Book","title-short":"Mini Nutritional Assessment (MNA)","URL":"https://www.karger.com/Book/Home/223519","accessed":{"date-parts":[["2022",2,23]]}}}],"schema":"https://github.com/citation-style-language/schema/raw/master/csl-citation.json"} </w:instrText>
      </w:r>
      <w:r w:rsidRPr="00874A69">
        <w:rPr>
          <w:color w:val="000000" w:themeColor="text1"/>
          <w:sz w:val="22"/>
          <w:szCs w:val="22"/>
        </w:rPr>
        <w:fldChar w:fldCharType="separate"/>
      </w:r>
      <w:r w:rsidR="004C5041" w:rsidRPr="00874A69">
        <w:rPr>
          <w:noProof/>
          <w:color w:val="000000" w:themeColor="text1"/>
          <w:sz w:val="22"/>
          <w:szCs w:val="22"/>
          <w:lang w:val="en-US"/>
        </w:rPr>
        <w:t>(95)</w:t>
      </w:r>
      <w:r w:rsidRPr="00874A69">
        <w:rPr>
          <w:color w:val="000000" w:themeColor="text1"/>
          <w:sz w:val="22"/>
          <w:szCs w:val="22"/>
        </w:rPr>
        <w:fldChar w:fldCharType="end"/>
      </w:r>
    </w:p>
    <w:p w14:paraId="7494F983" w14:textId="704380DA" w:rsidR="00874A69" w:rsidRDefault="00874A69" w:rsidP="00F364A0">
      <w:pPr>
        <w:spacing w:line="360" w:lineRule="auto"/>
        <w:ind w:firstLine="284"/>
        <w:jc w:val="center"/>
        <w:rPr>
          <w:sz w:val="22"/>
          <w:szCs w:val="22"/>
          <w:lang w:val="en-US"/>
        </w:rPr>
      </w:pPr>
    </w:p>
    <w:p w14:paraId="221F7E53" w14:textId="329FC736" w:rsidR="00E24846" w:rsidRDefault="0034399A" w:rsidP="00B6048A">
      <w:pPr>
        <w:pStyle w:val="PargrafodaLista"/>
        <w:numPr>
          <w:ilvl w:val="2"/>
          <w:numId w:val="44"/>
        </w:numPr>
        <w:spacing w:before="100" w:beforeAutospacing="1" w:after="100" w:afterAutospacing="1"/>
        <w:rPr>
          <w:b/>
        </w:rPr>
      </w:pPr>
      <w:r w:rsidRPr="00874A69">
        <w:rPr>
          <w:b/>
          <w:bCs/>
        </w:rPr>
        <w:t xml:space="preserve">Análise da </w:t>
      </w:r>
      <w:r w:rsidR="00874A69" w:rsidRPr="00874A69">
        <w:rPr>
          <w:b/>
          <w:bCs/>
        </w:rPr>
        <w:t>C</w:t>
      </w:r>
      <w:proofErr w:type="spellStart"/>
      <w:r w:rsidRPr="00874A69">
        <w:rPr>
          <w:b/>
          <w:bCs/>
          <w:lang w:val="pt-PT"/>
        </w:rPr>
        <w:t>omposição</w:t>
      </w:r>
      <w:proofErr w:type="spellEnd"/>
      <w:r w:rsidRPr="00874A69">
        <w:rPr>
          <w:b/>
          <w:bCs/>
          <w:lang w:val="pt-PT"/>
        </w:rPr>
        <w:t xml:space="preserve"> Corporal </w:t>
      </w:r>
      <w:r w:rsidR="007C1DA4" w:rsidRPr="00874A69">
        <w:rPr>
          <w:b/>
        </w:rPr>
        <w:t xml:space="preserve">por </w:t>
      </w:r>
      <w:proofErr w:type="spellStart"/>
      <w:r w:rsidR="007C1DA4" w:rsidRPr="00874A69">
        <w:rPr>
          <w:b/>
        </w:rPr>
        <w:t>absorciometria</w:t>
      </w:r>
      <w:proofErr w:type="spellEnd"/>
      <w:r w:rsidR="007C1DA4" w:rsidRPr="00874A69">
        <w:rPr>
          <w:b/>
        </w:rPr>
        <w:t xml:space="preserve"> </w:t>
      </w:r>
      <w:r w:rsidR="00F236F9" w:rsidRPr="00874A69">
        <w:rPr>
          <w:b/>
        </w:rPr>
        <w:t>radiológica</w:t>
      </w:r>
      <w:r w:rsidR="007C1DA4" w:rsidRPr="00874A69">
        <w:rPr>
          <w:b/>
        </w:rPr>
        <w:t xml:space="preserve"> de dupla energia (DXA), feita em </w:t>
      </w:r>
      <w:proofErr w:type="spellStart"/>
      <w:r w:rsidR="004D762E" w:rsidRPr="00874A69">
        <w:rPr>
          <w:b/>
        </w:rPr>
        <w:t>densitômetro</w:t>
      </w:r>
      <w:proofErr w:type="spellEnd"/>
    </w:p>
    <w:p w14:paraId="7B276FD3" w14:textId="3E2F7505" w:rsidR="007C1DA4" w:rsidRPr="00874A69" w:rsidRDefault="007C1DA4" w:rsidP="00E24846">
      <w:pPr>
        <w:pStyle w:val="PargrafodaLista"/>
        <w:spacing w:before="100" w:beforeAutospacing="1" w:after="100" w:afterAutospacing="1"/>
        <w:rPr>
          <w:b/>
        </w:rPr>
      </w:pPr>
    </w:p>
    <w:p w14:paraId="44609A8F" w14:textId="0262A073" w:rsidR="00F236F9" w:rsidRDefault="004226DE" w:rsidP="00874A69">
      <w:pPr>
        <w:pStyle w:val="NormalWeb"/>
        <w:shd w:val="clear" w:color="auto" w:fill="FFFFFF"/>
        <w:spacing w:before="0" w:beforeAutospacing="0" w:after="0" w:afterAutospacing="0" w:line="360" w:lineRule="auto"/>
        <w:jc w:val="both"/>
        <w:rPr>
          <w:color w:val="000000"/>
        </w:rPr>
      </w:pPr>
      <w:r>
        <w:rPr>
          <w:color w:val="000000"/>
        </w:rPr>
        <w:t xml:space="preserve">     </w:t>
      </w:r>
      <w:r w:rsidR="00874A69">
        <w:rPr>
          <w:color w:val="000000"/>
        </w:rPr>
        <w:t xml:space="preserve">      </w:t>
      </w:r>
      <w:r w:rsidR="00027215">
        <w:rPr>
          <w:color w:val="000000"/>
        </w:rPr>
        <w:t>A DXA</w:t>
      </w:r>
      <w:r w:rsidR="00A26A0A">
        <w:rPr>
          <w:color w:val="000000"/>
        </w:rPr>
        <w:t xml:space="preserve"> </w:t>
      </w:r>
      <w:r w:rsidR="00027215">
        <w:rPr>
          <w:color w:val="000000"/>
        </w:rPr>
        <w:t xml:space="preserve">é um instrumento amplamente disponível para </w:t>
      </w:r>
      <w:r w:rsidR="00986397">
        <w:rPr>
          <w:color w:val="000000"/>
        </w:rPr>
        <w:t>análise d</w:t>
      </w:r>
      <w:r w:rsidR="00027215">
        <w:rPr>
          <w:color w:val="000000"/>
        </w:rPr>
        <w:t>a</w:t>
      </w:r>
      <w:r w:rsidR="00A26A0A">
        <w:rPr>
          <w:color w:val="000000"/>
        </w:rPr>
        <w:t xml:space="preserve"> composição corporal</w:t>
      </w:r>
      <w:r w:rsidR="00027215">
        <w:rPr>
          <w:color w:val="000000"/>
        </w:rPr>
        <w:t xml:space="preserve"> de forma não invasiva</w:t>
      </w:r>
      <w:r w:rsidR="00B3166A">
        <w:rPr>
          <w:color w:val="000000"/>
        </w:rPr>
        <w:t xml:space="preserve"> e reproduzível</w:t>
      </w:r>
      <w:r w:rsidR="00F236F9">
        <w:rPr>
          <w:color w:val="000000"/>
        </w:rPr>
        <w:t xml:space="preserve"> </w:t>
      </w:r>
      <w:r w:rsidR="00F236F9">
        <w:rPr>
          <w:color w:val="000000"/>
        </w:rPr>
        <w:fldChar w:fldCharType="begin"/>
      </w:r>
      <w:r w:rsidR="00344DCD">
        <w:rPr>
          <w:color w:val="000000"/>
        </w:rPr>
        <w:instrText xml:space="preserve"> ADDIN ZOTERO_ITEM CSL_CITATION {"citationID":"viJNrXfX","properties":{"formattedCitation":"(98)","plainCitation":"(98)","noteIndex":0},"citationItems":[{"id":2272,"uris":["http://zotero.org/users/7110448/items/UMZYNZFS"],"itemData":{"id":2272,"type":"article-journal","abstract":"To review the technical aspects of body composition assessment by dual-energy X-ray absorptiometry (DXA) and other methods based on the most recent scientific evidence.","container-title":"Advances in Rheumatology","DOI":"10.1186/s42358-022-00241-8","ISSN":"2523-3106","issue":"1","journalAbbreviation":"Advances in Rheumatology","page":"7","source":"BioMed Central","title":"Official position of the Brazilian Association of Bone Assessment and Metabolism (ABRASSO) on the evaluation of body composition by densitometry: part I (technical aspects)—general concepts, indications, acquisition, and analysis","title-short":"Official position of the Brazilian Association of Bone Assessment and Metabolism (ABRASSO) on the evaluation of body composition by densitometry","volume":"62","author":[{"family":"Maeda","given":"Sergio Setsuo"},{"family":"Peters","given":"Barbara Santarosa Emo"},{"family":"Martini","given":"Lígia Araújo"},{"family":"Antunes","given":"Hannah Karen Moreira"},{"family":"Gonzalez","given":"Maria Cristina"},{"family":"Arantes","given":"Henrique Pierotti"},{"family":"Prado","given":"Carla M."},{"family":"Pinto","given":"Camila Lemos"},{"family":"Araújo","given":"Iana Mizumukai","non-dropping-particle":"de"},{"family":"Paula","given":"Francisco José Albuquerque","non-dropping-particle":"de"},{"family":"Borges","given":"Joao Lindolfo Cunha"},{"family":"Albergaria","given":"Ben-Hur"},{"family":"Ushida","given":"Marcela"},{"family":"Souza","given":"Guilherme Cardenaz","non-dropping-particle":"de"},{"family":"Mendonça","given":"Laura Maria Carvalho","non-dropping-particle":"de"},{"family":"Prado","given":"Mirley","non-dropping-particle":"do"},{"family":"Medeiros Pinheiro","given":"Marcelo","non-dropping-particle":"de"}],"issued":{"date-parts":[["2022",3,20]]}}}],"schema":"https://github.com/citation-style-language/schema/raw/master/csl-citation.json"} </w:instrText>
      </w:r>
      <w:r w:rsidR="00F236F9">
        <w:rPr>
          <w:color w:val="000000"/>
        </w:rPr>
        <w:fldChar w:fldCharType="separate"/>
      </w:r>
      <w:r w:rsidR="004C5041">
        <w:rPr>
          <w:noProof/>
          <w:color w:val="000000"/>
        </w:rPr>
        <w:t>(98)</w:t>
      </w:r>
      <w:r w:rsidR="00F236F9">
        <w:rPr>
          <w:color w:val="000000"/>
        </w:rPr>
        <w:fldChar w:fldCharType="end"/>
      </w:r>
      <w:r w:rsidR="00B3166A">
        <w:rPr>
          <w:color w:val="000000"/>
        </w:rPr>
        <w:t xml:space="preserve">. </w:t>
      </w:r>
      <w:r w:rsidR="001404AC">
        <w:rPr>
          <w:color w:val="000000"/>
        </w:rPr>
        <w:t xml:space="preserve">Os valores absolutos estimados de </w:t>
      </w:r>
      <w:r w:rsidR="00027215">
        <w:rPr>
          <w:color w:val="000000"/>
        </w:rPr>
        <w:t>massa</w:t>
      </w:r>
      <w:r w:rsidR="001404AC">
        <w:rPr>
          <w:color w:val="000000"/>
        </w:rPr>
        <w:t xml:space="preserve"> gorda ou muscular, seja esquelética total ou apendicular, </w:t>
      </w:r>
      <w:r w:rsidR="00027215">
        <w:rPr>
          <w:color w:val="000000"/>
        </w:rPr>
        <w:t>est</w:t>
      </w:r>
      <w:r w:rsidR="001404AC">
        <w:rPr>
          <w:color w:val="000000"/>
        </w:rPr>
        <w:t>ão</w:t>
      </w:r>
      <w:r w:rsidR="00027215">
        <w:rPr>
          <w:color w:val="000000"/>
        </w:rPr>
        <w:t xml:space="preserve"> correlaciona</w:t>
      </w:r>
      <w:r w:rsidR="001404AC">
        <w:rPr>
          <w:color w:val="000000"/>
        </w:rPr>
        <w:t>dos</w:t>
      </w:r>
      <w:r w:rsidR="00027215">
        <w:rPr>
          <w:color w:val="000000"/>
        </w:rPr>
        <w:t xml:space="preserve"> com o tamanho do corpo</w:t>
      </w:r>
      <w:r w:rsidR="00B3166A">
        <w:rPr>
          <w:color w:val="000000"/>
        </w:rPr>
        <w:t xml:space="preserve"> e, p</w:t>
      </w:r>
      <w:r w:rsidR="001404AC">
        <w:rPr>
          <w:color w:val="000000"/>
        </w:rPr>
        <w:t>or isso, deve</w:t>
      </w:r>
      <w:r w:rsidR="00B3166A">
        <w:rPr>
          <w:color w:val="000000"/>
        </w:rPr>
        <w:t>m</w:t>
      </w:r>
      <w:r w:rsidR="001404AC">
        <w:rPr>
          <w:color w:val="000000"/>
        </w:rPr>
        <w:t xml:space="preserve"> ser ajustado</w:t>
      </w:r>
      <w:r w:rsidR="00B3166A">
        <w:rPr>
          <w:color w:val="000000"/>
        </w:rPr>
        <w:t>s</w:t>
      </w:r>
      <w:r w:rsidR="001404AC">
        <w:rPr>
          <w:color w:val="000000"/>
        </w:rPr>
        <w:t xml:space="preserve"> para altura, peso ou IM</w:t>
      </w:r>
      <w:r w:rsidR="00F236F9">
        <w:rPr>
          <w:color w:val="000000"/>
        </w:rPr>
        <w:t xml:space="preserve">C </w:t>
      </w:r>
      <w:r w:rsidR="00F236F9">
        <w:rPr>
          <w:color w:val="000000"/>
        </w:rPr>
        <w:fldChar w:fldCharType="begin"/>
      </w:r>
      <w:r w:rsidR="004C5041">
        <w:rPr>
          <w:color w:val="000000"/>
        </w:rPr>
        <w:instrText xml:space="preserve"> ADDIN ZOTERO_ITEM CSL_CITATION {"citationID":"T3tLjL7i","properties":{"formattedCitation":"(99)","plainCitation":"(99)","noteIndex":0},"citationItems":[{"id":2270,"uris":["http://zotero.org/users/7110448/items/JCXJMYG4"],"itemData":{"id":2270,"type":"webpage","title":"Official Position of the Brazilian Association of Bone Assessment and Metabolism (ABRASSO) on the evaluation of body composition by densitometry—part II (clinical aspects): interpretation, reporting, and special situations | Advances in Rheumatology | Full Text","URL":"https://advancesinrheumatology.biomedcentral.com/articles/10.1186/s42358-022-00240-9","accessed":{"date-parts":[["2022",7,10]]}}}],"schema":"https://github.com/citation-style-language/schema/raw/master/csl-citation.json"} </w:instrText>
      </w:r>
      <w:r w:rsidR="00F236F9">
        <w:rPr>
          <w:color w:val="000000"/>
        </w:rPr>
        <w:fldChar w:fldCharType="separate"/>
      </w:r>
      <w:r w:rsidR="004C5041">
        <w:rPr>
          <w:noProof/>
          <w:color w:val="000000"/>
        </w:rPr>
        <w:t>(99)</w:t>
      </w:r>
      <w:r w:rsidR="00F236F9">
        <w:rPr>
          <w:color w:val="000000"/>
        </w:rPr>
        <w:fldChar w:fldCharType="end"/>
      </w:r>
      <w:r w:rsidR="00F236F9">
        <w:rPr>
          <w:color w:val="000000"/>
        </w:rPr>
        <w:t>.</w:t>
      </w:r>
    </w:p>
    <w:p w14:paraId="5568C6F6" w14:textId="72F81491" w:rsidR="00147893" w:rsidRDefault="00F236F9" w:rsidP="007847A0">
      <w:pPr>
        <w:pStyle w:val="NormalWeb"/>
        <w:shd w:val="clear" w:color="auto" w:fill="FFFFFF"/>
        <w:spacing w:before="166" w:beforeAutospacing="0" w:after="166" w:afterAutospacing="0" w:line="360" w:lineRule="auto"/>
        <w:jc w:val="both"/>
        <w:rPr>
          <w:color w:val="000000"/>
        </w:rPr>
      </w:pPr>
      <w:r>
        <w:rPr>
          <w:color w:val="000000"/>
        </w:rPr>
        <w:t xml:space="preserve">     </w:t>
      </w:r>
      <w:r w:rsidR="00B3166A">
        <w:rPr>
          <w:color w:val="000000"/>
        </w:rPr>
        <w:t xml:space="preserve">Os participantes deste estudo realizaram </w:t>
      </w:r>
      <w:r w:rsidR="002D77CB">
        <w:rPr>
          <w:color w:val="000000"/>
        </w:rPr>
        <w:t xml:space="preserve">este exame </w:t>
      </w:r>
      <w:r w:rsidR="00B3166A">
        <w:rPr>
          <w:color w:val="000000"/>
        </w:rPr>
        <w:t xml:space="preserve">no Laboratório a+ Medicina Diagnóstica, </w:t>
      </w:r>
      <w:r w:rsidR="004241B1">
        <w:rPr>
          <w:color w:val="000000"/>
        </w:rPr>
        <w:t xml:space="preserve">Grupo Fleury, </w:t>
      </w:r>
      <w:r w:rsidR="00B3166A">
        <w:rPr>
          <w:color w:val="000000"/>
        </w:rPr>
        <w:t>localizado na rua</w:t>
      </w:r>
      <w:r w:rsidR="002D77CB">
        <w:rPr>
          <w:color w:val="000000"/>
        </w:rPr>
        <w:t xml:space="preserve"> Pernambuco, bairro Pituba</w:t>
      </w:r>
      <w:r w:rsidR="00B3166A">
        <w:rPr>
          <w:color w:val="000000"/>
        </w:rPr>
        <w:t xml:space="preserve">, </w:t>
      </w:r>
      <w:r w:rsidR="002D77CB">
        <w:rPr>
          <w:color w:val="000000"/>
        </w:rPr>
        <w:t xml:space="preserve">com </w:t>
      </w:r>
      <w:proofErr w:type="spellStart"/>
      <w:r w:rsidR="002D77CB">
        <w:rPr>
          <w:color w:val="000000"/>
        </w:rPr>
        <w:t>densitômetro</w:t>
      </w:r>
      <w:proofErr w:type="spellEnd"/>
      <w:r w:rsidR="002D77CB">
        <w:rPr>
          <w:color w:val="000000"/>
        </w:rPr>
        <w:t xml:space="preserve"> modelo </w:t>
      </w:r>
      <w:r w:rsidR="002D77CB" w:rsidRPr="00E24846">
        <w:rPr>
          <w:iCs/>
          <w:color w:val="000000"/>
        </w:rPr>
        <w:t>PRODIGY ADVANCE</w:t>
      </w:r>
      <w:r w:rsidR="002D77CB">
        <w:rPr>
          <w:color w:val="000000"/>
        </w:rPr>
        <w:t xml:space="preserve"> Lunar-GE. Estavam em jejum de </w:t>
      </w:r>
      <w:r w:rsidR="00E24846">
        <w:rPr>
          <w:color w:val="000000"/>
        </w:rPr>
        <w:t xml:space="preserve">quatro </w:t>
      </w:r>
      <w:r w:rsidR="00986397">
        <w:rPr>
          <w:color w:val="000000"/>
        </w:rPr>
        <w:t>horas e com vestimentas leves.</w:t>
      </w:r>
      <w:r w:rsidR="00A259C8">
        <w:rPr>
          <w:color w:val="000000"/>
        </w:rPr>
        <w:t xml:space="preserve"> O laudo </w:t>
      </w:r>
      <w:r w:rsidR="004241B1">
        <w:rPr>
          <w:color w:val="000000"/>
        </w:rPr>
        <w:t xml:space="preserve">foi dado por observador único, médico radiologista, </w:t>
      </w:r>
      <w:r w:rsidR="00A259C8">
        <w:rPr>
          <w:color w:val="000000"/>
        </w:rPr>
        <w:t>fornece</w:t>
      </w:r>
      <w:r w:rsidR="00E24846">
        <w:rPr>
          <w:color w:val="000000"/>
        </w:rPr>
        <w:t>ndo</w:t>
      </w:r>
      <w:r w:rsidR="00A259C8">
        <w:rPr>
          <w:color w:val="000000"/>
        </w:rPr>
        <w:t xml:space="preserve"> informações sobre: </w:t>
      </w:r>
      <w:r w:rsidR="00421B9C">
        <w:rPr>
          <w:color w:val="000000"/>
        </w:rPr>
        <w:t>índice de gordura corporal (</w:t>
      </w:r>
      <w:r w:rsidR="00A259C8">
        <w:rPr>
          <w:color w:val="000000"/>
        </w:rPr>
        <w:t>FMI</w:t>
      </w:r>
      <w:r w:rsidR="00421B9C">
        <w:rPr>
          <w:color w:val="000000"/>
        </w:rPr>
        <w:t>)</w:t>
      </w:r>
      <w:r w:rsidR="00A259C8">
        <w:rPr>
          <w:color w:val="000000"/>
        </w:rPr>
        <w:t xml:space="preserve">, </w:t>
      </w:r>
      <w:r w:rsidR="00421B9C">
        <w:rPr>
          <w:color w:val="000000"/>
        </w:rPr>
        <w:t>massa magra apendicular (</w:t>
      </w:r>
      <w:r w:rsidR="00A259C8">
        <w:rPr>
          <w:color w:val="000000"/>
        </w:rPr>
        <w:t>ALM</w:t>
      </w:r>
      <w:r w:rsidR="00421B9C">
        <w:rPr>
          <w:color w:val="000000"/>
        </w:rPr>
        <w:t>)</w:t>
      </w:r>
      <w:r w:rsidR="00A259C8">
        <w:rPr>
          <w:color w:val="000000"/>
        </w:rPr>
        <w:t xml:space="preserve"> e Índice de Baumgartner, conforme </w:t>
      </w:r>
      <w:r w:rsidR="00E24846">
        <w:rPr>
          <w:color w:val="000000"/>
        </w:rPr>
        <w:t>Quadro 1</w:t>
      </w:r>
      <w:r>
        <w:rPr>
          <w:color w:val="000000"/>
        </w:rPr>
        <w:t>.</w:t>
      </w:r>
    </w:p>
    <w:p w14:paraId="493F0BD1" w14:textId="77777777" w:rsidR="00E247D1" w:rsidRDefault="00E247D1" w:rsidP="00874A69">
      <w:pPr>
        <w:pStyle w:val="NormalWeb"/>
        <w:shd w:val="clear" w:color="auto" w:fill="FFFFFF"/>
        <w:spacing w:before="0" w:beforeAutospacing="0" w:after="0" w:afterAutospacing="0"/>
        <w:ind w:left="1134" w:hanging="1134"/>
        <w:jc w:val="both"/>
        <w:rPr>
          <w:b/>
          <w:bCs/>
          <w:color w:val="000000"/>
          <w:sz w:val="22"/>
          <w:szCs w:val="22"/>
        </w:rPr>
      </w:pPr>
    </w:p>
    <w:p w14:paraId="4102B5F6" w14:textId="5558CFE2" w:rsidR="002043D7" w:rsidRPr="00E247D1" w:rsidRDefault="00874A69" w:rsidP="00B6048A">
      <w:pPr>
        <w:pStyle w:val="NormalWeb"/>
        <w:shd w:val="clear" w:color="auto" w:fill="FFFFFF"/>
        <w:spacing w:before="0" w:beforeAutospacing="0" w:after="0" w:afterAutospacing="0"/>
        <w:ind w:left="993" w:hanging="993"/>
        <w:jc w:val="both"/>
        <w:rPr>
          <w:sz w:val="22"/>
          <w:szCs w:val="22"/>
        </w:rPr>
      </w:pPr>
      <w:r w:rsidRPr="00E247D1">
        <w:rPr>
          <w:b/>
          <w:bCs/>
          <w:color w:val="000000"/>
          <w:sz w:val="22"/>
          <w:szCs w:val="22"/>
        </w:rPr>
        <w:t xml:space="preserve">Quadro </w:t>
      </w:r>
      <w:r w:rsidR="00E24846">
        <w:rPr>
          <w:b/>
          <w:bCs/>
          <w:color w:val="000000"/>
          <w:sz w:val="22"/>
          <w:szCs w:val="22"/>
        </w:rPr>
        <w:t>1</w:t>
      </w:r>
      <w:r w:rsidR="00A259C8" w:rsidRPr="00E247D1">
        <w:rPr>
          <w:b/>
          <w:bCs/>
          <w:color w:val="000000"/>
          <w:sz w:val="22"/>
          <w:szCs w:val="22"/>
        </w:rPr>
        <w:t>:</w:t>
      </w:r>
      <w:r w:rsidR="00A259C8" w:rsidRPr="00E247D1">
        <w:rPr>
          <w:color w:val="000000"/>
          <w:sz w:val="22"/>
          <w:szCs w:val="22"/>
        </w:rPr>
        <w:t xml:space="preserve"> Laudo </w:t>
      </w:r>
      <w:r w:rsidR="00A31996" w:rsidRPr="00E247D1">
        <w:rPr>
          <w:color w:val="000000"/>
          <w:sz w:val="22"/>
          <w:szCs w:val="22"/>
        </w:rPr>
        <w:t xml:space="preserve">da análise de </w:t>
      </w:r>
      <w:r w:rsidR="00A31996" w:rsidRPr="00E247D1">
        <w:rPr>
          <w:bCs/>
          <w:sz w:val="22"/>
          <w:szCs w:val="22"/>
          <w:lang w:val="pt-PT"/>
        </w:rPr>
        <w:t xml:space="preserve">composição corporal </w:t>
      </w:r>
      <w:r w:rsidR="00A31996" w:rsidRPr="00E247D1">
        <w:rPr>
          <w:sz w:val="22"/>
          <w:szCs w:val="22"/>
        </w:rPr>
        <w:t xml:space="preserve">por </w:t>
      </w:r>
      <w:proofErr w:type="spellStart"/>
      <w:r w:rsidR="00A31996" w:rsidRPr="00E247D1">
        <w:rPr>
          <w:sz w:val="22"/>
          <w:szCs w:val="22"/>
        </w:rPr>
        <w:t>absorciometria</w:t>
      </w:r>
      <w:proofErr w:type="spellEnd"/>
      <w:r w:rsidR="00A31996" w:rsidRPr="00E247D1">
        <w:rPr>
          <w:sz w:val="22"/>
          <w:szCs w:val="22"/>
        </w:rPr>
        <w:t xml:space="preserve"> radiológica de dupla energia feita em </w:t>
      </w:r>
      <w:proofErr w:type="spellStart"/>
      <w:r w:rsidR="00393841" w:rsidRPr="00E247D1">
        <w:rPr>
          <w:sz w:val="22"/>
          <w:szCs w:val="22"/>
        </w:rPr>
        <w:t>densitômetro</w:t>
      </w:r>
      <w:proofErr w:type="spellEnd"/>
    </w:p>
    <w:tbl>
      <w:tblPr>
        <w:tblStyle w:val="SimplesTabela2"/>
        <w:tblW w:w="0" w:type="auto"/>
        <w:tblLook w:val="04A0" w:firstRow="1" w:lastRow="0" w:firstColumn="1" w:lastColumn="0" w:noHBand="0" w:noVBand="1"/>
      </w:tblPr>
      <w:tblGrid>
        <w:gridCol w:w="8494"/>
      </w:tblGrid>
      <w:tr w:rsidR="002043D7" w14:paraId="19F60893" w14:textId="77777777" w:rsidTr="00D46D4C">
        <w:trPr>
          <w:cnfStyle w:val="100000000000" w:firstRow="1" w:lastRow="0"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auto"/>
              <w:right w:val="single" w:sz="4" w:space="0" w:color="auto"/>
            </w:tcBorders>
          </w:tcPr>
          <w:p w14:paraId="6D0C7331" w14:textId="77777777" w:rsidR="00246A48" w:rsidRDefault="002043D7" w:rsidP="00874A69">
            <w:pPr>
              <w:pStyle w:val="NormalWeb"/>
              <w:spacing w:before="0" w:beforeAutospacing="0" w:after="0" w:afterAutospacing="0" w:line="360" w:lineRule="auto"/>
              <w:jc w:val="center"/>
              <w:rPr>
                <w:color w:val="000000"/>
                <w:sz w:val="20"/>
                <w:szCs w:val="20"/>
              </w:rPr>
            </w:pPr>
            <w:r w:rsidRPr="00AC36DE">
              <w:rPr>
                <w:color w:val="000000"/>
                <w:sz w:val="20"/>
                <w:szCs w:val="20"/>
              </w:rPr>
              <w:t>MASSA TOTAL</w:t>
            </w:r>
            <w:r w:rsidR="00246A48">
              <w:rPr>
                <w:b w:val="0"/>
                <w:bCs w:val="0"/>
                <w:color w:val="000000"/>
                <w:sz w:val="20"/>
                <w:szCs w:val="20"/>
              </w:rPr>
              <w:t xml:space="preserve"> </w:t>
            </w:r>
          </w:p>
          <w:p w14:paraId="7012BD53" w14:textId="3CCBAF2F" w:rsidR="002043D7" w:rsidRPr="00AC36DE" w:rsidRDefault="002043D7" w:rsidP="00874A69">
            <w:pPr>
              <w:pStyle w:val="NormalWeb"/>
              <w:spacing w:before="0" w:beforeAutospacing="0" w:after="0" w:afterAutospacing="0" w:line="360" w:lineRule="auto"/>
              <w:jc w:val="center"/>
              <w:rPr>
                <w:b w:val="0"/>
                <w:bCs w:val="0"/>
                <w:color w:val="000000"/>
                <w:sz w:val="20"/>
                <w:szCs w:val="20"/>
              </w:rPr>
            </w:pPr>
            <w:r w:rsidRPr="00AC36DE">
              <w:rPr>
                <w:b w:val="0"/>
                <w:bCs w:val="0"/>
                <w:color w:val="000000"/>
                <w:sz w:val="20"/>
                <w:szCs w:val="20"/>
              </w:rPr>
              <w:t>Gordura + Massa Magra + Massa Óssea</w:t>
            </w:r>
          </w:p>
        </w:tc>
      </w:tr>
      <w:tr w:rsidR="002043D7" w14:paraId="1D11DCB0" w14:textId="77777777" w:rsidTr="00D46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auto"/>
              <w:right w:val="single" w:sz="4" w:space="0" w:color="auto"/>
            </w:tcBorders>
          </w:tcPr>
          <w:p w14:paraId="7ADD7C55" w14:textId="77777777" w:rsidR="002043D7" w:rsidRPr="00AC36DE" w:rsidRDefault="002043D7" w:rsidP="00874A69">
            <w:pPr>
              <w:pStyle w:val="NormalWeb"/>
              <w:spacing w:before="0" w:beforeAutospacing="0" w:after="0" w:afterAutospacing="0" w:line="360" w:lineRule="auto"/>
              <w:jc w:val="center"/>
              <w:rPr>
                <w:b w:val="0"/>
                <w:bCs w:val="0"/>
                <w:color w:val="000000"/>
                <w:sz w:val="20"/>
                <w:szCs w:val="20"/>
              </w:rPr>
            </w:pPr>
            <w:r w:rsidRPr="00AC36DE">
              <w:rPr>
                <w:color w:val="000000"/>
                <w:sz w:val="20"/>
                <w:szCs w:val="20"/>
              </w:rPr>
              <w:t>AVALIAÇÃO GORDURA CORPORAL</w:t>
            </w:r>
          </w:p>
          <w:p w14:paraId="0FD5A826" w14:textId="42BEE06C" w:rsidR="00511C8F" w:rsidRPr="00AC36DE" w:rsidRDefault="002043D7" w:rsidP="00874A69">
            <w:pPr>
              <w:pStyle w:val="NormalWeb"/>
              <w:spacing w:before="0" w:beforeAutospacing="0" w:after="0" w:afterAutospacing="0" w:line="360" w:lineRule="auto"/>
              <w:jc w:val="center"/>
              <w:rPr>
                <w:b w:val="0"/>
                <w:bCs w:val="0"/>
                <w:color w:val="000000"/>
                <w:sz w:val="20"/>
                <w:szCs w:val="20"/>
              </w:rPr>
            </w:pPr>
            <w:r w:rsidRPr="00AC36DE">
              <w:rPr>
                <w:b w:val="0"/>
                <w:bCs w:val="0"/>
                <w:color w:val="000000"/>
                <w:sz w:val="20"/>
                <w:szCs w:val="20"/>
              </w:rPr>
              <w:t>Gordura Corporal total</w:t>
            </w:r>
            <w:r w:rsidR="00246A48">
              <w:rPr>
                <w:b w:val="0"/>
                <w:bCs w:val="0"/>
                <w:color w:val="000000"/>
                <w:sz w:val="20"/>
                <w:szCs w:val="20"/>
              </w:rPr>
              <w:t xml:space="preserve"> - </w:t>
            </w:r>
            <w:r w:rsidR="00511C8F" w:rsidRPr="00AC36DE">
              <w:rPr>
                <w:b w:val="0"/>
                <w:bCs w:val="0"/>
                <w:color w:val="000000"/>
                <w:sz w:val="20"/>
                <w:szCs w:val="20"/>
              </w:rPr>
              <w:t>Índice de Gordura Corporal (FMI)</w:t>
            </w:r>
          </w:p>
          <w:p w14:paraId="0EB3A6C7" w14:textId="65B07029" w:rsidR="00511C8F" w:rsidRPr="00246A48" w:rsidRDefault="002043D7" w:rsidP="00874A69">
            <w:pPr>
              <w:pStyle w:val="NormalWeb"/>
              <w:spacing w:before="0" w:beforeAutospacing="0" w:after="0" w:afterAutospacing="0" w:line="360" w:lineRule="auto"/>
              <w:jc w:val="center"/>
              <w:rPr>
                <w:b w:val="0"/>
                <w:bCs w:val="0"/>
                <w:color w:val="000000"/>
                <w:sz w:val="20"/>
                <w:szCs w:val="20"/>
              </w:rPr>
            </w:pPr>
            <w:r w:rsidRPr="00AC36DE">
              <w:rPr>
                <w:b w:val="0"/>
                <w:bCs w:val="0"/>
                <w:color w:val="000000"/>
                <w:sz w:val="20"/>
                <w:szCs w:val="20"/>
              </w:rPr>
              <w:t>Gordura Androide</w:t>
            </w:r>
            <w:r w:rsidR="00246A48">
              <w:rPr>
                <w:b w:val="0"/>
                <w:bCs w:val="0"/>
                <w:color w:val="000000"/>
                <w:sz w:val="20"/>
                <w:szCs w:val="20"/>
              </w:rPr>
              <w:t xml:space="preserve"> - </w:t>
            </w:r>
            <w:r w:rsidRPr="00AC36DE">
              <w:rPr>
                <w:b w:val="0"/>
                <w:bCs w:val="0"/>
                <w:color w:val="000000"/>
                <w:sz w:val="20"/>
                <w:szCs w:val="20"/>
              </w:rPr>
              <w:t xml:space="preserve">Gordura </w:t>
            </w:r>
            <w:proofErr w:type="spellStart"/>
            <w:r w:rsidRPr="00AC36DE">
              <w:rPr>
                <w:b w:val="0"/>
                <w:bCs w:val="0"/>
                <w:color w:val="000000"/>
                <w:sz w:val="20"/>
                <w:szCs w:val="20"/>
              </w:rPr>
              <w:t>Gin</w:t>
            </w:r>
            <w:r w:rsidR="00511C8F" w:rsidRPr="00AC36DE">
              <w:rPr>
                <w:b w:val="0"/>
                <w:bCs w:val="0"/>
                <w:color w:val="000000"/>
                <w:sz w:val="20"/>
                <w:szCs w:val="20"/>
              </w:rPr>
              <w:t>o</w:t>
            </w:r>
            <w:r w:rsidRPr="00AC36DE">
              <w:rPr>
                <w:b w:val="0"/>
                <w:bCs w:val="0"/>
                <w:color w:val="000000"/>
                <w:sz w:val="20"/>
                <w:szCs w:val="20"/>
              </w:rPr>
              <w:t>ide</w:t>
            </w:r>
            <w:proofErr w:type="spellEnd"/>
            <w:r w:rsidR="00246A48">
              <w:rPr>
                <w:b w:val="0"/>
                <w:bCs w:val="0"/>
                <w:color w:val="000000"/>
                <w:sz w:val="20"/>
                <w:szCs w:val="20"/>
              </w:rPr>
              <w:t xml:space="preserve"> - </w:t>
            </w:r>
            <w:r w:rsidR="00511C8F" w:rsidRPr="00AC36DE">
              <w:rPr>
                <w:b w:val="0"/>
                <w:bCs w:val="0"/>
                <w:color w:val="000000"/>
                <w:sz w:val="20"/>
                <w:szCs w:val="20"/>
              </w:rPr>
              <w:t xml:space="preserve">Relação % Androide / </w:t>
            </w:r>
            <w:proofErr w:type="spellStart"/>
            <w:r w:rsidR="00511C8F" w:rsidRPr="00AC36DE">
              <w:rPr>
                <w:b w:val="0"/>
                <w:bCs w:val="0"/>
                <w:color w:val="000000"/>
                <w:sz w:val="20"/>
                <w:szCs w:val="20"/>
              </w:rPr>
              <w:t>Ginoide</w:t>
            </w:r>
            <w:proofErr w:type="spellEnd"/>
          </w:p>
        </w:tc>
      </w:tr>
      <w:tr w:rsidR="002043D7" w14:paraId="6DE27C89" w14:textId="77777777" w:rsidTr="00D46D4C">
        <w:trPr>
          <w:trHeight w:val="841"/>
        </w:trPr>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auto"/>
              <w:right w:val="single" w:sz="4" w:space="0" w:color="auto"/>
            </w:tcBorders>
          </w:tcPr>
          <w:p w14:paraId="08445DA6" w14:textId="77777777" w:rsidR="002043D7" w:rsidRPr="00AC36DE" w:rsidRDefault="002043D7" w:rsidP="00874A69">
            <w:pPr>
              <w:pStyle w:val="NormalWeb"/>
              <w:spacing w:before="0" w:beforeAutospacing="0" w:after="0" w:afterAutospacing="0" w:line="360" w:lineRule="auto"/>
              <w:jc w:val="center"/>
              <w:rPr>
                <w:b w:val="0"/>
                <w:bCs w:val="0"/>
                <w:color w:val="000000"/>
                <w:sz w:val="20"/>
                <w:szCs w:val="20"/>
              </w:rPr>
            </w:pPr>
            <w:r w:rsidRPr="00AC36DE">
              <w:rPr>
                <w:color w:val="000000"/>
                <w:sz w:val="20"/>
                <w:szCs w:val="20"/>
              </w:rPr>
              <w:t>AVALIAÇÃO MASSA MAGRA</w:t>
            </w:r>
          </w:p>
          <w:p w14:paraId="405E6BE4" w14:textId="3B7B7A60" w:rsidR="00511C8F" w:rsidRPr="00AC36DE" w:rsidRDefault="00511C8F" w:rsidP="00874A69">
            <w:pPr>
              <w:pStyle w:val="NormalWeb"/>
              <w:spacing w:before="0" w:beforeAutospacing="0" w:after="0" w:afterAutospacing="0" w:line="360" w:lineRule="auto"/>
              <w:jc w:val="center"/>
              <w:rPr>
                <w:b w:val="0"/>
                <w:bCs w:val="0"/>
                <w:color w:val="000000"/>
                <w:sz w:val="20"/>
                <w:szCs w:val="20"/>
              </w:rPr>
            </w:pPr>
            <w:r w:rsidRPr="00AC36DE">
              <w:rPr>
                <w:b w:val="0"/>
                <w:bCs w:val="0"/>
                <w:color w:val="000000"/>
                <w:sz w:val="20"/>
                <w:szCs w:val="20"/>
              </w:rPr>
              <w:t xml:space="preserve">Massa Magra Total </w:t>
            </w:r>
            <w:r w:rsidR="00246A48">
              <w:rPr>
                <w:b w:val="0"/>
                <w:bCs w:val="0"/>
                <w:color w:val="000000"/>
                <w:sz w:val="20"/>
                <w:szCs w:val="20"/>
              </w:rPr>
              <w:t xml:space="preserve">- </w:t>
            </w:r>
            <w:r w:rsidRPr="00AC36DE">
              <w:rPr>
                <w:b w:val="0"/>
                <w:bCs w:val="0"/>
                <w:color w:val="000000"/>
                <w:sz w:val="20"/>
                <w:szCs w:val="20"/>
              </w:rPr>
              <w:t>Massa Magra Apendicular (ALM)</w:t>
            </w:r>
          </w:p>
          <w:p w14:paraId="514C0ED9" w14:textId="309A0792" w:rsidR="00511C8F" w:rsidRPr="00AC36DE" w:rsidRDefault="00511C8F" w:rsidP="00874A69">
            <w:pPr>
              <w:pStyle w:val="NormalWeb"/>
              <w:spacing w:before="0" w:beforeAutospacing="0" w:after="0" w:afterAutospacing="0" w:line="360" w:lineRule="auto"/>
              <w:jc w:val="center"/>
              <w:rPr>
                <w:color w:val="000000"/>
                <w:sz w:val="20"/>
                <w:szCs w:val="20"/>
              </w:rPr>
            </w:pPr>
            <w:r w:rsidRPr="00AC36DE">
              <w:rPr>
                <w:b w:val="0"/>
                <w:bCs w:val="0"/>
                <w:color w:val="000000"/>
                <w:sz w:val="20"/>
                <w:szCs w:val="20"/>
              </w:rPr>
              <w:t xml:space="preserve">ALM / (Altura) </w:t>
            </w:r>
            <w:r w:rsidRPr="00246A48">
              <w:rPr>
                <w:b w:val="0"/>
                <w:bCs w:val="0"/>
                <w:color w:val="000000"/>
                <w:sz w:val="20"/>
                <w:szCs w:val="20"/>
                <w:vertAlign w:val="superscript"/>
              </w:rPr>
              <w:t>2</w:t>
            </w:r>
            <w:r w:rsidRPr="00AC36DE">
              <w:rPr>
                <w:b w:val="0"/>
                <w:bCs w:val="0"/>
                <w:color w:val="000000"/>
                <w:sz w:val="20"/>
                <w:szCs w:val="20"/>
              </w:rPr>
              <w:t xml:space="preserve"> (Índice de Baumgartner)</w:t>
            </w:r>
          </w:p>
        </w:tc>
      </w:tr>
      <w:tr w:rsidR="002043D7" w14:paraId="6FFA9283" w14:textId="77777777" w:rsidTr="00D46D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tcBorders>
              <w:left w:val="single" w:sz="4" w:space="0" w:color="auto"/>
              <w:right w:val="single" w:sz="4" w:space="0" w:color="auto"/>
            </w:tcBorders>
          </w:tcPr>
          <w:p w14:paraId="24D08E94" w14:textId="0FB8A584" w:rsidR="002043D7" w:rsidRPr="00AC36DE" w:rsidRDefault="002043D7" w:rsidP="00874A69">
            <w:pPr>
              <w:pStyle w:val="NormalWeb"/>
              <w:spacing w:before="0" w:beforeAutospacing="0" w:after="0" w:afterAutospacing="0" w:line="360" w:lineRule="auto"/>
              <w:jc w:val="center"/>
              <w:rPr>
                <w:b w:val="0"/>
                <w:bCs w:val="0"/>
                <w:color w:val="000000"/>
                <w:sz w:val="20"/>
                <w:szCs w:val="20"/>
              </w:rPr>
            </w:pPr>
            <w:r w:rsidRPr="00AC36DE">
              <w:rPr>
                <w:color w:val="000000"/>
                <w:sz w:val="20"/>
                <w:szCs w:val="20"/>
              </w:rPr>
              <w:t>AVALIAÇÃO MASSA ÓSSEA</w:t>
            </w:r>
          </w:p>
        </w:tc>
      </w:tr>
    </w:tbl>
    <w:p w14:paraId="4811878C" w14:textId="38D0E4CC" w:rsidR="00874A69" w:rsidRPr="00874A69" w:rsidRDefault="00874A69" w:rsidP="00874A69">
      <w:pPr>
        <w:autoSpaceDE w:val="0"/>
        <w:autoSpaceDN w:val="0"/>
        <w:adjustRightInd w:val="0"/>
        <w:spacing w:line="360" w:lineRule="auto"/>
        <w:jc w:val="both"/>
        <w:rPr>
          <w:bCs/>
          <w:sz w:val="22"/>
          <w:szCs w:val="22"/>
        </w:rPr>
      </w:pPr>
      <w:r w:rsidRPr="00874A69">
        <w:rPr>
          <w:bCs/>
          <w:sz w:val="22"/>
          <w:szCs w:val="22"/>
        </w:rPr>
        <w:t xml:space="preserve">Fonte: </w:t>
      </w:r>
      <w:r>
        <w:rPr>
          <w:bCs/>
          <w:sz w:val="22"/>
          <w:szCs w:val="22"/>
        </w:rPr>
        <w:t>Dados da pesquisa.</w:t>
      </w:r>
    </w:p>
    <w:p w14:paraId="69E6A017" w14:textId="77777777" w:rsidR="00CA4AD9" w:rsidRDefault="00CA4AD9" w:rsidP="00CA4AD9">
      <w:pPr>
        <w:pStyle w:val="PargrafodaLista"/>
        <w:autoSpaceDE w:val="0"/>
        <w:autoSpaceDN w:val="0"/>
        <w:adjustRightInd w:val="0"/>
        <w:spacing w:line="360" w:lineRule="auto"/>
        <w:jc w:val="both"/>
        <w:rPr>
          <w:b/>
          <w:bCs/>
        </w:rPr>
      </w:pPr>
    </w:p>
    <w:p w14:paraId="61C1B4AF" w14:textId="77777777" w:rsidR="00B6048A" w:rsidRDefault="00B6048A" w:rsidP="00CA4AD9">
      <w:pPr>
        <w:pStyle w:val="PargrafodaLista"/>
        <w:autoSpaceDE w:val="0"/>
        <w:autoSpaceDN w:val="0"/>
        <w:adjustRightInd w:val="0"/>
        <w:spacing w:line="360" w:lineRule="auto"/>
        <w:jc w:val="both"/>
        <w:rPr>
          <w:b/>
          <w:bCs/>
        </w:rPr>
      </w:pPr>
    </w:p>
    <w:p w14:paraId="0509EF12" w14:textId="1E19211E" w:rsidR="00FF4E1F" w:rsidRPr="00274482" w:rsidRDefault="0034399A" w:rsidP="00B6048A">
      <w:pPr>
        <w:pStyle w:val="PargrafodaLista"/>
        <w:numPr>
          <w:ilvl w:val="2"/>
          <w:numId w:val="44"/>
        </w:numPr>
        <w:autoSpaceDE w:val="0"/>
        <w:autoSpaceDN w:val="0"/>
        <w:adjustRightInd w:val="0"/>
        <w:spacing w:line="360" w:lineRule="auto"/>
        <w:jc w:val="both"/>
        <w:rPr>
          <w:b/>
          <w:bCs/>
        </w:rPr>
      </w:pPr>
      <w:r w:rsidRPr="00274482">
        <w:rPr>
          <w:b/>
          <w:bCs/>
        </w:rPr>
        <w:t>Avaliação antropométrica</w:t>
      </w:r>
    </w:p>
    <w:p w14:paraId="6DD68D69" w14:textId="77777777" w:rsidR="005637B7" w:rsidRPr="00274482" w:rsidRDefault="005637B7" w:rsidP="00A31996">
      <w:pPr>
        <w:autoSpaceDE w:val="0"/>
        <w:autoSpaceDN w:val="0"/>
        <w:adjustRightInd w:val="0"/>
        <w:spacing w:line="360" w:lineRule="auto"/>
        <w:jc w:val="both"/>
        <w:rPr>
          <w:bCs/>
          <w:color w:val="FF0000"/>
        </w:rPr>
      </w:pPr>
    </w:p>
    <w:p w14:paraId="7889769D" w14:textId="24A83814" w:rsidR="003F06DE" w:rsidRPr="00274482" w:rsidRDefault="004226DE" w:rsidP="003F06DE">
      <w:pPr>
        <w:autoSpaceDE w:val="0"/>
        <w:autoSpaceDN w:val="0"/>
        <w:adjustRightInd w:val="0"/>
        <w:spacing w:line="360" w:lineRule="auto"/>
        <w:jc w:val="both"/>
      </w:pPr>
      <w:r w:rsidRPr="00274482">
        <w:t xml:space="preserve">     </w:t>
      </w:r>
      <w:r w:rsidR="00A259C8" w:rsidRPr="00274482">
        <w:t xml:space="preserve">A medida da circunferência da cintura (CC) foi feita com fita métrica </w:t>
      </w:r>
      <w:r w:rsidR="00A259C8" w:rsidRPr="00274482">
        <w:rPr>
          <w:lang w:val="pt-PT"/>
        </w:rPr>
        <w:t>inelástica</w:t>
      </w:r>
      <w:r w:rsidR="00874A69" w:rsidRPr="00274482">
        <w:rPr>
          <w:lang w:val="pt-PT"/>
        </w:rPr>
        <w:t>,</w:t>
      </w:r>
      <w:r w:rsidR="00A259C8" w:rsidRPr="00274482">
        <w:rPr>
          <w:lang w:val="pt-PT"/>
        </w:rPr>
        <w:t xml:space="preserve"> a partir do </w:t>
      </w:r>
      <w:r w:rsidR="00A259C8" w:rsidRPr="00274482">
        <w:t xml:space="preserve">ponto </w:t>
      </w:r>
      <w:r w:rsidR="00A259C8" w:rsidRPr="00274482">
        <w:rPr>
          <w:color w:val="000000" w:themeColor="text1"/>
        </w:rPr>
        <w:t xml:space="preserve">médio entre a última </w:t>
      </w:r>
      <w:proofErr w:type="gramStart"/>
      <w:r w:rsidR="00A259C8" w:rsidRPr="00274482">
        <w:rPr>
          <w:color w:val="000000" w:themeColor="text1"/>
        </w:rPr>
        <w:t>costela e parte superior</w:t>
      </w:r>
      <w:proofErr w:type="gramEnd"/>
      <w:r w:rsidR="00A259C8" w:rsidRPr="00274482">
        <w:rPr>
          <w:color w:val="000000" w:themeColor="text1"/>
        </w:rPr>
        <w:t xml:space="preserve"> do osso ilíaco. O ponto de corte para mulheres</w:t>
      </w:r>
      <w:r w:rsidR="006F1478" w:rsidRPr="00274482">
        <w:rPr>
          <w:color w:val="000000" w:themeColor="text1"/>
        </w:rPr>
        <w:t>,</w:t>
      </w:r>
      <w:r w:rsidR="00A259C8" w:rsidRPr="00274482">
        <w:rPr>
          <w:color w:val="000000" w:themeColor="text1"/>
        </w:rPr>
        <w:t xml:space="preserve"> pela O</w:t>
      </w:r>
      <w:r w:rsidR="00B811D1" w:rsidRPr="00274482">
        <w:rPr>
          <w:color w:val="000000" w:themeColor="text1"/>
        </w:rPr>
        <w:t>rganização Mundial da Saúde (OMS)</w:t>
      </w:r>
      <w:r w:rsidR="00874A69" w:rsidRPr="00274482">
        <w:rPr>
          <w:color w:val="000000" w:themeColor="text1"/>
        </w:rPr>
        <w:t>,</w:t>
      </w:r>
      <w:r w:rsidR="00A259C8" w:rsidRPr="00274482">
        <w:rPr>
          <w:color w:val="000000" w:themeColor="text1"/>
        </w:rPr>
        <w:t xml:space="preserve"> é 88c</w:t>
      </w:r>
      <w:r w:rsidR="00B811D1" w:rsidRPr="00274482">
        <w:rPr>
          <w:color w:val="000000" w:themeColor="text1"/>
        </w:rPr>
        <w:t>m</w:t>
      </w:r>
      <w:r w:rsidR="00147893" w:rsidRPr="00274482">
        <w:rPr>
          <w:color w:val="000000" w:themeColor="text1"/>
        </w:rPr>
        <w:t xml:space="preserve"> (99)</w:t>
      </w:r>
      <w:r w:rsidR="00B811D1" w:rsidRPr="00274482">
        <w:rPr>
          <w:color w:val="000000" w:themeColor="text1"/>
        </w:rPr>
        <w:t>.</w:t>
      </w:r>
    </w:p>
    <w:p w14:paraId="3892C7A5" w14:textId="564282D3" w:rsidR="003F06DE" w:rsidRPr="00274482" w:rsidRDefault="003F06DE" w:rsidP="003F06DE">
      <w:pPr>
        <w:autoSpaceDE w:val="0"/>
        <w:autoSpaceDN w:val="0"/>
        <w:adjustRightInd w:val="0"/>
        <w:spacing w:line="360" w:lineRule="auto"/>
        <w:jc w:val="both"/>
        <w:rPr>
          <w:color w:val="000000"/>
        </w:rPr>
      </w:pPr>
      <w:r w:rsidRPr="00274482">
        <w:t xml:space="preserve">     </w:t>
      </w:r>
      <w:r w:rsidR="00981ED4" w:rsidRPr="00274482">
        <w:rPr>
          <w:color w:val="000000"/>
        </w:rPr>
        <w:t xml:space="preserve">A </w:t>
      </w:r>
      <w:r w:rsidR="00874A69" w:rsidRPr="00274482">
        <w:rPr>
          <w:color w:val="000000"/>
        </w:rPr>
        <w:t>c</w:t>
      </w:r>
      <w:r w:rsidR="00981ED4" w:rsidRPr="00274482">
        <w:rPr>
          <w:color w:val="000000"/>
        </w:rPr>
        <w:t xml:space="preserve">ircunferência da panturrilha (CP) </w:t>
      </w:r>
      <w:r w:rsidRPr="00274482">
        <w:rPr>
          <w:color w:val="000000"/>
        </w:rPr>
        <w:t xml:space="preserve">foi </w:t>
      </w:r>
      <w:r w:rsidR="00981ED4" w:rsidRPr="00274482">
        <w:rPr>
          <w:color w:val="000000"/>
        </w:rPr>
        <w:t xml:space="preserve">obtida </w:t>
      </w:r>
      <w:r w:rsidR="00874A69" w:rsidRPr="00274482">
        <w:rPr>
          <w:color w:val="000000"/>
        </w:rPr>
        <w:t>por</w:t>
      </w:r>
      <w:r w:rsidR="00981ED4" w:rsidRPr="00274482">
        <w:rPr>
          <w:color w:val="000000"/>
        </w:rPr>
        <w:t xml:space="preserve"> fita antropométrica inelástica, posicionada na perna esquerda (ou na perna direita para os canhotos)</w:t>
      </w:r>
      <w:r w:rsidR="00874A69" w:rsidRPr="00274482">
        <w:rPr>
          <w:color w:val="000000"/>
        </w:rPr>
        <w:t>,</w:t>
      </w:r>
      <w:r w:rsidR="00981ED4" w:rsidRPr="00274482">
        <w:rPr>
          <w:color w:val="000000"/>
        </w:rPr>
        <w:t xml:space="preserve"> no ponto de maior circunferência</w:t>
      </w:r>
      <w:r w:rsidR="00874A69" w:rsidRPr="00274482">
        <w:rPr>
          <w:color w:val="000000"/>
        </w:rPr>
        <w:t>,</w:t>
      </w:r>
      <w:r w:rsidR="00981ED4" w:rsidRPr="00274482">
        <w:rPr>
          <w:color w:val="000000"/>
        </w:rPr>
        <w:t xml:space="preserve"> com a pessoa em uma posição sentada com o joelho e o tornozelo em ângulo reto e os pés</w:t>
      </w:r>
      <w:r w:rsidR="00874A69" w:rsidRPr="00274482">
        <w:rPr>
          <w:color w:val="000000"/>
        </w:rPr>
        <w:t>,</w:t>
      </w:r>
      <w:r w:rsidR="00981ED4" w:rsidRPr="00274482">
        <w:rPr>
          <w:color w:val="000000"/>
        </w:rPr>
        <w:t xml:space="preserve"> descansando no chão. </w:t>
      </w:r>
      <w:r w:rsidRPr="00274482">
        <w:rPr>
          <w:color w:val="000000"/>
        </w:rPr>
        <w:t xml:space="preserve">É </w:t>
      </w:r>
      <w:r w:rsidR="00981ED4" w:rsidRPr="00274482">
        <w:rPr>
          <w:color w:val="000000"/>
        </w:rPr>
        <w:t xml:space="preserve">necessário remover a roupa na parte inferior do corpo para que a medida possa ser </w:t>
      </w:r>
      <w:r w:rsidR="00EF2C15" w:rsidRPr="00274482">
        <w:rPr>
          <w:color w:val="000000"/>
        </w:rPr>
        <w:t>tomada</w:t>
      </w:r>
      <w:r w:rsidR="00981ED4" w:rsidRPr="00274482">
        <w:rPr>
          <w:color w:val="000000"/>
        </w:rPr>
        <w:t xml:space="preserve"> em pele nua</w:t>
      </w:r>
      <w:r w:rsidR="00225832" w:rsidRPr="00274482">
        <w:rPr>
          <w:color w:val="000000"/>
        </w:rPr>
        <w:t xml:space="preserve">. </w:t>
      </w:r>
      <w:r w:rsidR="00981ED4" w:rsidRPr="00274482">
        <w:rPr>
          <w:color w:val="000000"/>
        </w:rPr>
        <w:t>Conforme descrito por Cruz-</w:t>
      </w:r>
      <w:proofErr w:type="spellStart"/>
      <w:r w:rsidR="00981ED4" w:rsidRPr="00274482">
        <w:rPr>
          <w:color w:val="000000"/>
        </w:rPr>
        <w:t>Jentoft</w:t>
      </w:r>
      <w:proofErr w:type="spellEnd"/>
      <w:r w:rsidRPr="00274482">
        <w:rPr>
          <w:color w:val="000000"/>
        </w:rPr>
        <w:t xml:space="preserve"> e colaboradores, </w:t>
      </w:r>
      <w:r w:rsidR="00981ED4" w:rsidRPr="00274482">
        <w:rPr>
          <w:color w:val="000000"/>
        </w:rPr>
        <w:t xml:space="preserve"> CP menor que 31 cm é considerado indicativo de baixa massa muscular</w:t>
      </w:r>
      <w:r w:rsidRPr="00274482">
        <w:rPr>
          <w:color w:val="000000"/>
        </w:rPr>
        <w:t xml:space="preserve"> </w:t>
      </w:r>
      <w:r w:rsidRPr="00274482">
        <w:rPr>
          <w:color w:val="000000"/>
        </w:rPr>
        <w:fldChar w:fldCharType="begin"/>
      </w:r>
      <w:r w:rsidR="00344DCD" w:rsidRPr="00274482">
        <w:rPr>
          <w:color w:val="000000"/>
        </w:rPr>
        <w:instrText xml:space="preserve"> ADDIN ZOTERO_ITEM CSL_CITATION {"citationID":"pGAJPVoV","properties":{"formattedCitation":"(100)","plainCitation":"(100)","noteIndex":0},"citationItems":[{"id":221,"uris":["http://zotero.org/users/7110448/items/NLDL5J9X"],"itemData":{"id":221,"type":"article-journal","abstract":"The European Working Group on Sarcopenia in Older People (EWGSOP) developed a practical clinical deﬁnition and consensus diagnostic criteria for age-related sarcopenia. EWGSOP included representatives from four participant organisations, i.e. the European Geriatric Medicine Society, the European Society for Clinical Nutrition and Metabolism, the International Association of Gerontology and Geriatrics—European Region and the International Association of Nutrition and Aging. These organisations endorsed the ﬁndings in the ﬁnal document.","container-title":"Age and Ageing","DOI":"10.1093/ageing/afq034","ISSN":"0002-0729, 1468-2834","issue":"4","journalAbbreviation":"Age and Ageing","language":"en","page":"412-423","source":"DOI.org (Crossref)","title":"Sarcopenia: European consensus on definition and diagnosis: Report of the European Working Group on Sarcopenia in Older People","title-short":"Sarcopenia","volume":"39","author":[{"family":"Cruz-Jentoft","given":"A. J."},{"family":"Baeyens","given":"J. P."},{"family":"Bauer","given":"J. M."},{"family":"Boirie","given":"Y."},{"family":"Cederholm","given":"T."},{"family":"Landi","given":"F."},{"family":"Martin","given":"F. C."},{"family":"Michel","given":"J.-P."},{"family":"Rolland","given":"Y."},{"family":"Schneider","given":"S. M."},{"family":"Topinkova","given":"E."},{"family":"Vandewoude","given":"M."},{"family":"Zamboni","given":"M."}],"issued":{"date-parts":[["2010",7,1]]}}}],"schema":"https://github.com/citation-style-language/schema/raw/master/csl-citation.json"} </w:instrText>
      </w:r>
      <w:r w:rsidRPr="00274482">
        <w:rPr>
          <w:color w:val="000000"/>
        </w:rPr>
        <w:fldChar w:fldCharType="separate"/>
      </w:r>
      <w:r w:rsidR="004C5041" w:rsidRPr="00274482">
        <w:rPr>
          <w:noProof/>
          <w:color w:val="000000"/>
        </w:rPr>
        <w:t>(100)</w:t>
      </w:r>
      <w:r w:rsidRPr="00274482">
        <w:rPr>
          <w:color w:val="000000"/>
        </w:rPr>
        <w:fldChar w:fldCharType="end"/>
      </w:r>
      <w:r w:rsidR="00981ED4" w:rsidRPr="00274482">
        <w:rPr>
          <w:color w:val="000000"/>
        </w:rPr>
        <w:t>. Es</w:t>
      </w:r>
      <w:r w:rsidR="00874A69" w:rsidRPr="00274482">
        <w:rPr>
          <w:color w:val="000000"/>
        </w:rPr>
        <w:t>s</w:t>
      </w:r>
      <w:r w:rsidR="00981ED4" w:rsidRPr="00274482">
        <w:rPr>
          <w:color w:val="000000"/>
        </w:rPr>
        <w:t>e ponto de corte é recomendado em pessoas idosas pelo Comitê de Peritos da</w:t>
      </w:r>
      <w:r w:rsidR="00B811D1" w:rsidRPr="00274482">
        <w:rPr>
          <w:color w:val="000000"/>
        </w:rPr>
        <w:t xml:space="preserve"> </w:t>
      </w:r>
      <w:r w:rsidR="00981ED4" w:rsidRPr="00274482">
        <w:rPr>
          <w:color w:val="000000"/>
        </w:rPr>
        <w:t>OMS</w:t>
      </w:r>
      <w:r w:rsidR="00B811D1" w:rsidRPr="00274482">
        <w:rPr>
          <w:color w:val="000000"/>
        </w:rPr>
        <w:t xml:space="preserve"> </w:t>
      </w:r>
      <w:r w:rsidR="00981ED4" w:rsidRPr="00274482">
        <w:rPr>
          <w:color w:val="000000"/>
        </w:rPr>
        <w:t xml:space="preserve">e utilizado como critério da </w:t>
      </w:r>
      <w:r w:rsidR="00981ED4" w:rsidRPr="00274482">
        <w:rPr>
          <w:color w:val="000000" w:themeColor="text1"/>
        </w:rPr>
        <w:t>MNA</w:t>
      </w:r>
      <w:r w:rsidR="005E799D" w:rsidRPr="00274482">
        <w:rPr>
          <w:color w:val="000000" w:themeColor="text1"/>
        </w:rPr>
        <w:t xml:space="preserve"> </w:t>
      </w:r>
      <w:r w:rsidR="0054619F" w:rsidRPr="00274482">
        <w:rPr>
          <w:color w:val="000000" w:themeColor="text1"/>
        </w:rPr>
        <w:fldChar w:fldCharType="begin"/>
      </w:r>
      <w:r w:rsidR="00AC36DE" w:rsidRPr="00274482">
        <w:rPr>
          <w:color w:val="000000" w:themeColor="text1"/>
        </w:rPr>
        <w:instrText xml:space="preserve"> ADDIN ZOTERO_ITEM CSL_CITATION {"citationID":"Yux0Arxp","properties":{"formattedCitation":"(96)","plainCitation":"(96)","noteIndex":0},"citationItems":[{"id":2254,"uris":["http://zotero.org/users/7110448/items/IZ7Z7ZGX"],"itemData":{"id":2254,"type":"article-journal","abstract":"The Mini Nutritional Assessment (MNA®) is a simple tool, useful in clinical practice to measure nutritional status in elderly persons. From its validation in 1994, the MNA® has been used in hundreds of studies and translated into more then 20 languages. It is a well-validated tool, with high sensitivity, specificity, and reliability. An MNA® score ≥24 identifies patients with a good nutritional status. Scores between 17 and 23.5 identify patients at risk for malnutrition. These patients have not yet started to lose weight and do not show low plasma albumin levels but have lower protein-calorie intakes than recommended. For them, a multidisciplinary geriatric intervention is needed, which takes into account all aspects that might interfere with proper alimentation and, when necessary, proposes therapeutic interventions for diet or supplementation. If the MNA® score is less than 17, the patient has protein-calorie malnutrition. It is important at this stage to quantify the severity of the malnutrition (by measuring biochemical parameters like plasma albumin or prealbumin levels, establishing a 3day record of food intake, and measuring anthropometric features like weight, BMI, arm circumference and skin folds). Nutritional intervention is clearly needed and should be based on achievable objectives established after a detailed comprehensive geriatric assessment. The MNA® has been shown to be useful for nutritional intervention follow-up as well. The MNA® can help clinicians design an intervention by noting where the patient loses points when performing the MNA®. Moreover, when a nutritional intervention is successful, the MNA® score increases. The MNA® is recommended by many national and international clinical and scientific organizations. It can be used by a variety of professionals, including physicians, dietitians, nurses or research assistants. A short screening version (MNA®-SF) has been developed, which, if positive, indicates the need to complete the full MNA®. It takes less than 4 minutes to administer the MNA®-SF and between 10 and 15 minutes for the full MNA®.","container-title":"The Journal of Nutrition","issue":"6","language":"en","page":"11","source":"Zotero","title":"OVERVIEW OF THE MNA® – ITS HISTORY AND CHALLENGES","volume":"10","author":[{"family":"Vellas","given":"B"},{"family":"Villars","given":"H"},{"family":"Abellan","given":"G"},{"family":"Soto","given":"M E"},{"family":"Rolland","given":"Y"},{"family":"Guigoz","given":"Y"},{"family":"Morley","given":"J E"},{"family":"Chumlea","given":"W"},{"family":"Salva","given":"A"},{"family":"Rubenstein","given":"L Z"},{"family":"Garry","given":"P"}],"issued":{"date-parts":[["2006"]]}}}],"schema":"https://github.com/citation-style-language/schema/raw/master/csl-citation.json"} </w:instrText>
      </w:r>
      <w:r w:rsidR="0054619F" w:rsidRPr="00274482">
        <w:rPr>
          <w:color w:val="000000" w:themeColor="text1"/>
        </w:rPr>
        <w:fldChar w:fldCharType="separate"/>
      </w:r>
      <w:r w:rsidR="00AC36DE" w:rsidRPr="00274482">
        <w:rPr>
          <w:noProof/>
          <w:color w:val="000000" w:themeColor="text1"/>
        </w:rPr>
        <w:t>(96)</w:t>
      </w:r>
      <w:r w:rsidR="0054619F" w:rsidRPr="00274482">
        <w:rPr>
          <w:color w:val="000000" w:themeColor="text1"/>
        </w:rPr>
        <w:fldChar w:fldCharType="end"/>
      </w:r>
      <w:r w:rsidR="0054619F" w:rsidRPr="00274482">
        <w:rPr>
          <w:color w:val="000000" w:themeColor="text1"/>
        </w:rPr>
        <w:t>.</w:t>
      </w:r>
    </w:p>
    <w:p w14:paraId="0019C450" w14:textId="27DF5FD5" w:rsidR="009B392F" w:rsidRPr="00981ED4" w:rsidRDefault="003F06DE" w:rsidP="003F06DE">
      <w:pPr>
        <w:autoSpaceDE w:val="0"/>
        <w:autoSpaceDN w:val="0"/>
        <w:adjustRightInd w:val="0"/>
        <w:spacing w:line="360" w:lineRule="auto"/>
        <w:jc w:val="both"/>
        <w:rPr>
          <w:color w:val="000000"/>
        </w:rPr>
      </w:pPr>
      <w:r w:rsidRPr="00274482">
        <w:rPr>
          <w:color w:val="000000"/>
        </w:rPr>
        <w:t xml:space="preserve">     </w:t>
      </w:r>
      <w:r w:rsidR="007847A0" w:rsidRPr="00274482">
        <w:rPr>
          <w:color w:val="212121"/>
          <w:lang w:val="pt-PT"/>
        </w:rPr>
        <w:t>O peso foi aferido</w:t>
      </w:r>
      <w:r w:rsidR="007847A0" w:rsidRPr="00274482">
        <w:rPr>
          <w:lang w:val="pt-PT"/>
        </w:rPr>
        <w:t xml:space="preserve"> </w:t>
      </w:r>
      <w:r w:rsidR="00874A69" w:rsidRPr="00274482">
        <w:rPr>
          <w:lang w:val="pt-PT"/>
        </w:rPr>
        <w:t xml:space="preserve">em </w:t>
      </w:r>
      <w:r w:rsidR="0034399A" w:rsidRPr="00274482">
        <w:t xml:space="preserve">balança digital portátil da marca </w:t>
      </w:r>
      <w:proofErr w:type="spellStart"/>
      <w:r w:rsidR="0034399A" w:rsidRPr="00274482">
        <w:t>Plenna</w:t>
      </w:r>
      <w:proofErr w:type="spellEnd"/>
      <w:r w:rsidR="0034399A" w:rsidRPr="00274482">
        <w:t xml:space="preserve">® modelo Sport, com capacidade de 150 kg e divisão de 100 gramas. </w:t>
      </w:r>
      <w:r w:rsidR="006E61C4" w:rsidRPr="00274482">
        <w:rPr>
          <w:color w:val="212121"/>
          <w:lang w:val="pt-PT"/>
        </w:rPr>
        <w:t>Para mensuração</w:t>
      </w:r>
      <w:r w:rsidR="006E61C4" w:rsidRPr="00B876AE">
        <w:rPr>
          <w:color w:val="212121"/>
          <w:lang w:val="pt-PT"/>
        </w:rPr>
        <w:t xml:space="preserve"> d</w:t>
      </w:r>
      <w:r w:rsidR="006E61C4">
        <w:rPr>
          <w:color w:val="212121"/>
          <w:lang w:val="pt-PT"/>
        </w:rPr>
        <w:t>o peso,</w:t>
      </w:r>
      <w:r w:rsidR="006E61C4" w:rsidRPr="00B876AE">
        <w:rPr>
          <w:color w:val="212121"/>
          <w:lang w:val="pt-PT"/>
        </w:rPr>
        <w:t xml:space="preserve"> o indivíduo </w:t>
      </w:r>
      <w:r w:rsidR="006E61C4">
        <w:rPr>
          <w:color w:val="212121"/>
          <w:lang w:val="pt-PT"/>
        </w:rPr>
        <w:t xml:space="preserve">subia na balança e permanecia </w:t>
      </w:r>
      <w:r w:rsidR="006E61C4" w:rsidRPr="00B876AE">
        <w:rPr>
          <w:color w:val="212121"/>
          <w:lang w:val="pt-PT"/>
        </w:rPr>
        <w:t xml:space="preserve">parado na posição contrária ao leitor. </w:t>
      </w:r>
      <w:r w:rsidR="00874A69">
        <w:rPr>
          <w:color w:val="212121"/>
          <w:lang w:val="pt-PT"/>
        </w:rPr>
        <w:t>Realizaram-se</w:t>
      </w:r>
      <w:r w:rsidR="006E61C4">
        <w:rPr>
          <w:color w:val="212121"/>
          <w:lang w:val="pt-PT"/>
        </w:rPr>
        <w:t xml:space="preserve"> duas medidas e registr</w:t>
      </w:r>
      <w:r w:rsidR="00874A69">
        <w:rPr>
          <w:color w:val="212121"/>
          <w:lang w:val="pt-PT"/>
        </w:rPr>
        <w:t xml:space="preserve">ou-se a </w:t>
      </w:r>
      <w:r w:rsidR="006E61C4">
        <w:rPr>
          <w:color w:val="212121"/>
          <w:lang w:val="pt-PT"/>
        </w:rPr>
        <w:t xml:space="preserve">média das aferições. </w:t>
      </w:r>
    </w:p>
    <w:p w14:paraId="71390770" w14:textId="269EBD5A" w:rsidR="0034399A" w:rsidRDefault="004226DE" w:rsidP="009C0FAE">
      <w:pPr>
        <w:autoSpaceDE w:val="0"/>
        <w:autoSpaceDN w:val="0"/>
        <w:adjustRightInd w:val="0"/>
        <w:spacing w:line="360" w:lineRule="auto"/>
        <w:jc w:val="both"/>
        <w:rPr>
          <w:color w:val="212121"/>
          <w:lang w:val="pt-PT"/>
        </w:rPr>
      </w:pPr>
      <w:r>
        <w:t xml:space="preserve">     </w:t>
      </w:r>
      <w:r w:rsidR="0034399A">
        <w:t xml:space="preserve">A mensuração da estatura </w:t>
      </w:r>
      <w:r w:rsidR="007847A0">
        <w:t>foi</w:t>
      </w:r>
      <w:r w:rsidR="0034399A">
        <w:t xml:space="preserve"> realizada utilizando</w:t>
      </w:r>
      <w:r w:rsidR="00874A69">
        <w:t>-s</w:t>
      </w:r>
      <w:r w:rsidR="00CA4AD9">
        <w:t>e</w:t>
      </w:r>
      <w:r w:rsidR="0034399A">
        <w:t xml:space="preserve"> </w:t>
      </w:r>
      <w:proofErr w:type="spellStart"/>
      <w:r w:rsidR="0034399A">
        <w:t>estadi</w:t>
      </w:r>
      <w:r w:rsidR="006F1478">
        <w:t>ô</w:t>
      </w:r>
      <w:r w:rsidR="0034399A">
        <w:t>metro</w:t>
      </w:r>
      <w:proofErr w:type="spellEnd"/>
      <w:r w:rsidR="0034399A">
        <w:t xml:space="preserve"> portátil marca </w:t>
      </w:r>
      <w:proofErr w:type="spellStart"/>
      <w:r w:rsidR="0034399A">
        <w:t>Sanny</w:t>
      </w:r>
      <w:proofErr w:type="spellEnd"/>
      <w:r w:rsidR="0034399A">
        <w:t xml:space="preserve">®, </w:t>
      </w:r>
      <w:r w:rsidR="007847A0">
        <w:t xml:space="preserve">com </w:t>
      </w:r>
      <w:r w:rsidR="0034399A">
        <w:t>capacidade máxima de 204 centímetros e precisão de 5 mm</w:t>
      </w:r>
      <w:r w:rsidR="009B392F">
        <w:t xml:space="preserve">, com </w:t>
      </w:r>
      <w:r w:rsidR="009B392F" w:rsidRPr="00B876AE">
        <w:rPr>
          <w:color w:val="212121"/>
          <w:lang w:val="pt-PT"/>
        </w:rPr>
        <w:t xml:space="preserve">participante </w:t>
      </w:r>
      <w:r w:rsidR="009B392F">
        <w:rPr>
          <w:color w:val="212121"/>
          <w:lang w:val="pt-PT"/>
        </w:rPr>
        <w:t xml:space="preserve">em ortostase, pés alinhados, coluna ereta e </w:t>
      </w:r>
      <w:r w:rsidR="009B392F" w:rsidRPr="00B876AE">
        <w:rPr>
          <w:color w:val="212121"/>
          <w:lang w:val="pt-PT"/>
        </w:rPr>
        <w:t xml:space="preserve">contra o </w:t>
      </w:r>
      <w:r w:rsidR="001B6824" w:rsidRPr="00B876AE">
        <w:rPr>
          <w:color w:val="212121"/>
          <w:lang w:val="pt-PT"/>
        </w:rPr>
        <w:t>estadiómetro</w:t>
      </w:r>
      <w:r w:rsidR="009B392F" w:rsidRPr="00B876AE">
        <w:rPr>
          <w:color w:val="212121"/>
          <w:lang w:val="pt-PT"/>
        </w:rPr>
        <w:t xml:space="preserve"> montado na parede, no plano horizontal de </w:t>
      </w:r>
      <w:proofErr w:type="spellStart"/>
      <w:r w:rsidR="009B392F" w:rsidRPr="00B876AE">
        <w:rPr>
          <w:color w:val="212121"/>
          <w:lang w:val="pt-PT"/>
        </w:rPr>
        <w:t>Frankfort</w:t>
      </w:r>
      <w:proofErr w:type="spellEnd"/>
      <w:r w:rsidR="009B392F" w:rsidRPr="00B876AE">
        <w:rPr>
          <w:color w:val="212121"/>
          <w:lang w:val="pt-PT"/>
        </w:rPr>
        <w:t>.</w:t>
      </w:r>
    </w:p>
    <w:p w14:paraId="732EEA50" w14:textId="13049C5C" w:rsidR="00311653" w:rsidRDefault="004226DE" w:rsidP="00A31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lang w:val="pt-PT"/>
        </w:rPr>
      </w:pPr>
      <w:r>
        <w:rPr>
          <w:color w:val="212121"/>
          <w:lang w:val="pt-PT"/>
        </w:rPr>
        <w:t xml:space="preserve">     </w:t>
      </w:r>
      <w:r w:rsidR="00A259C8" w:rsidRPr="00B876AE">
        <w:rPr>
          <w:color w:val="212121"/>
          <w:lang w:val="pt-PT"/>
        </w:rPr>
        <w:t xml:space="preserve">O </w:t>
      </w:r>
      <w:r w:rsidR="00147893">
        <w:rPr>
          <w:color w:val="212121"/>
          <w:lang w:val="pt-PT"/>
        </w:rPr>
        <w:t>índice de massa corporal (</w:t>
      </w:r>
      <w:r w:rsidR="00A259C8" w:rsidRPr="00B876AE">
        <w:rPr>
          <w:color w:val="212121"/>
          <w:lang w:val="pt-PT"/>
        </w:rPr>
        <w:t>IMC</w:t>
      </w:r>
      <w:r w:rsidR="00147893">
        <w:rPr>
          <w:color w:val="212121"/>
          <w:lang w:val="pt-PT"/>
        </w:rPr>
        <w:t>)</w:t>
      </w:r>
      <w:r w:rsidR="00A259C8" w:rsidRPr="00B876AE">
        <w:rPr>
          <w:color w:val="212121"/>
          <w:lang w:val="pt-PT"/>
        </w:rPr>
        <w:t xml:space="preserve"> é uma ferramenta que mensura</w:t>
      </w:r>
      <w:r w:rsidR="00A259C8">
        <w:rPr>
          <w:color w:val="212121"/>
          <w:lang w:val="pt-PT"/>
        </w:rPr>
        <w:t xml:space="preserve"> e classifica</w:t>
      </w:r>
      <w:r w:rsidR="00A259C8" w:rsidRPr="00B876AE">
        <w:rPr>
          <w:color w:val="212121"/>
          <w:lang w:val="pt-PT"/>
        </w:rPr>
        <w:t xml:space="preserve"> o estado nutricional, a partir das medidas de peso e altura. </w:t>
      </w:r>
      <w:r w:rsidR="00A259C8">
        <w:rPr>
          <w:color w:val="212121"/>
          <w:lang w:val="pt-PT"/>
        </w:rPr>
        <w:t xml:space="preserve">É calculado dividindo o peso (em quilogramas) pela altura ao quadrado (em metros). A partir dessa razão, é possível classificar o </w:t>
      </w:r>
      <w:r w:rsidR="00A259C8" w:rsidRPr="00B876AE">
        <w:rPr>
          <w:color w:val="212121"/>
          <w:lang w:val="pt-PT"/>
        </w:rPr>
        <w:t>indivíduo em:</w:t>
      </w:r>
      <w:r w:rsidR="00A259C8">
        <w:rPr>
          <w:color w:val="212121"/>
          <w:lang w:val="pt-PT"/>
        </w:rPr>
        <w:t xml:space="preserve"> abaixo do peso, peso normal, sobrepeso</w:t>
      </w:r>
      <w:r w:rsidR="00A259C8" w:rsidRPr="00B876AE">
        <w:rPr>
          <w:color w:val="212121"/>
          <w:lang w:val="pt-PT"/>
        </w:rPr>
        <w:t xml:space="preserve"> e</w:t>
      </w:r>
      <w:r w:rsidR="00A259C8">
        <w:rPr>
          <w:color w:val="212121"/>
          <w:lang w:val="pt-PT"/>
        </w:rPr>
        <w:t xml:space="preserve"> obesidade</w:t>
      </w:r>
      <w:r w:rsidR="00147893">
        <w:rPr>
          <w:color w:val="212121"/>
          <w:lang w:val="pt-PT"/>
        </w:rPr>
        <w:t xml:space="preserve"> (99)</w:t>
      </w:r>
      <w:r w:rsidR="00A259C8" w:rsidRPr="00B876AE">
        <w:rPr>
          <w:color w:val="212121"/>
          <w:lang w:val="pt-PT"/>
        </w:rPr>
        <w:t>.</w:t>
      </w:r>
      <w:r w:rsidR="00A259C8">
        <w:rPr>
          <w:color w:val="212121"/>
          <w:lang w:val="pt-PT"/>
        </w:rPr>
        <w:t xml:space="preserve"> A classificação mais atual adotada está descrita na </w:t>
      </w:r>
      <w:r w:rsidR="00BD1483">
        <w:rPr>
          <w:color w:val="212121"/>
          <w:lang w:val="pt-PT"/>
        </w:rPr>
        <w:t>T</w:t>
      </w:r>
      <w:r w:rsidR="00A259C8">
        <w:rPr>
          <w:color w:val="212121"/>
          <w:lang w:val="pt-PT"/>
        </w:rPr>
        <w:t xml:space="preserve">abela </w:t>
      </w:r>
      <w:r w:rsidR="00BD1483">
        <w:rPr>
          <w:color w:val="212121"/>
          <w:lang w:val="pt-PT"/>
        </w:rPr>
        <w:t>2</w:t>
      </w:r>
      <w:r w:rsidR="00A259C8">
        <w:rPr>
          <w:color w:val="212121"/>
          <w:lang w:val="pt-PT"/>
        </w:rPr>
        <w:t>.</w:t>
      </w:r>
    </w:p>
    <w:p w14:paraId="6ECB83A3" w14:textId="77777777" w:rsidR="00297109" w:rsidRDefault="00297109" w:rsidP="00A319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lang w:val="pt-PT"/>
        </w:rPr>
      </w:pPr>
    </w:p>
    <w:p w14:paraId="257B7062" w14:textId="440018B4" w:rsidR="00FF4E1F" w:rsidRPr="009210F5" w:rsidRDefault="00FF4E1F" w:rsidP="009C0F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2"/>
          <w:szCs w:val="22"/>
          <w:lang w:val="pt-PT"/>
        </w:rPr>
      </w:pPr>
      <w:r w:rsidRPr="009210F5">
        <w:rPr>
          <w:b/>
          <w:bCs/>
          <w:color w:val="212121"/>
          <w:sz w:val="22"/>
          <w:szCs w:val="22"/>
          <w:lang w:val="pt-PT"/>
        </w:rPr>
        <w:t>T</w:t>
      </w:r>
      <w:r w:rsidR="00BD1483" w:rsidRPr="009210F5">
        <w:rPr>
          <w:b/>
          <w:bCs/>
          <w:color w:val="212121"/>
          <w:sz w:val="22"/>
          <w:szCs w:val="22"/>
          <w:lang w:val="pt-PT"/>
        </w:rPr>
        <w:t>abela</w:t>
      </w:r>
      <w:r w:rsidRPr="009210F5">
        <w:rPr>
          <w:b/>
          <w:bCs/>
          <w:color w:val="212121"/>
          <w:sz w:val="22"/>
          <w:szCs w:val="22"/>
          <w:lang w:val="pt-PT"/>
        </w:rPr>
        <w:t xml:space="preserve"> </w:t>
      </w:r>
      <w:r w:rsidR="00BD1483" w:rsidRPr="009210F5">
        <w:rPr>
          <w:b/>
          <w:bCs/>
          <w:color w:val="212121"/>
          <w:sz w:val="22"/>
          <w:szCs w:val="22"/>
          <w:lang w:val="pt-PT"/>
        </w:rPr>
        <w:t>2</w:t>
      </w:r>
      <w:r w:rsidRPr="009210F5">
        <w:rPr>
          <w:b/>
          <w:bCs/>
          <w:color w:val="212121"/>
          <w:sz w:val="22"/>
          <w:szCs w:val="22"/>
          <w:lang w:val="pt-PT"/>
        </w:rPr>
        <w:t>:</w:t>
      </w:r>
      <w:r w:rsidRPr="009210F5">
        <w:rPr>
          <w:color w:val="212121"/>
          <w:sz w:val="22"/>
          <w:szCs w:val="22"/>
          <w:lang w:val="pt-PT"/>
        </w:rPr>
        <w:t xml:space="preserve"> Índice de Massa Corpora</w:t>
      </w:r>
      <w:r w:rsidR="009C0FAE" w:rsidRPr="009210F5">
        <w:rPr>
          <w:color w:val="212121"/>
          <w:sz w:val="22"/>
          <w:szCs w:val="22"/>
          <w:lang w:val="pt-PT"/>
        </w:rPr>
        <w:t>l</w:t>
      </w:r>
    </w:p>
    <w:tbl>
      <w:tblPr>
        <w:tblStyle w:val="SimplesTabela2"/>
        <w:tblW w:w="0" w:type="auto"/>
        <w:tblLook w:val="04A0" w:firstRow="1" w:lastRow="0" w:firstColumn="1" w:lastColumn="0" w:noHBand="0" w:noVBand="1"/>
      </w:tblPr>
      <w:tblGrid>
        <w:gridCol w:w="4331"/>
        <w:gridCol w:w="4163"/>
      </w:tblGrid>
      <w:tr w:rsidR="00CA74F6" w:rsidRPr="00AC36DE" w14:paraId="34C9C5A5" w14:textId="369D24F3" w:rsidTr="00A319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1" w:type="dxa"/>
          </w:tcPr>
          <w:p w14:paraId="738447F7" w14:textId="12B60714" w:rsidR="00CA74F6" w:rsidRPr="00AC36DE" w:rsidRDefault="00CA74F6" w:rsidP="00F25F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center"/>
              <w:rPr>
                <w:color w:val="212121"/>
                <w:sz w:val="20"/>
                <w:szCs w:val="20"/>
                <w:lang w:val="pt-PT"/>
              </w:rPr>
            </w:pPr>
            <w:r w:rsidRPr="00AC36DE">
              <w:rPr>
                <w:color w:val="212121"/>
                <w:sz w:val="20"/>
                <w:szCs w:val="20"/>
                <w:lang w:val="pt-PT"/>
              </w:rPr>
              <w:t>Abaixo de 18,5</w:t>
            </w:r>
          </w:p>
        </w:tc>
        <w:tc>
          <w:tcPr>
            <w:tcW w:w="4163" w:type="dxa"/>
          </w:tcPr>
          <w:p w14:paraId="459F5F3C" w14:textId="6DFDA73C" w:rsidR="00CA74F6" w:rsidRPr="00AC36DE" w:rsidRDefault="00CA74F6" w:rsidP="00F25F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center"/>
              <w:cnfStyle w:val="100000000000" w:firstRow="1" w:lastRow="0" w:firstColumn="0" w:lastColumn="0" w:oddVBand="0" w:evenVBand="0" w:oddHBand="0" w:evenHBand="0" w:firstRowFirstColumn="0" w:firstRowLastColumn="0" w:lastRowFirstColumn="0" w:lastRowLastColumn="0"/>
              <w:rPr>
                <w:color w:val="212121"/>
                <w:sz w:val="20"/>
                <w:szCs w:val="20"/>
                <w:lang w:val="pt-PT"/>
              </w:rPr>
            </w:pPr>
            <w:r w:rsidRPr="00AC36DE">
              <w:rPr>
                <w:color w:val="212121"/>
                <w:sz w:val="20"/>
                <w:szCs w:val="20"/>
                <w:lang w:val="pt-PT"/>
              </w:rPr>
              <w:t>Abaixo do peso</w:t>
            </w:r>
          </w:p>
        </w:tc>
      </w:tr>
      <w:tr w:rsidR="00CA74F6" w:rsidRPr="00AC36DE" w14:paraId="6B470EF4" w14:textId="0E155C4A" w:rsidTr="00A3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1" w:type="dxa"/>
          </w:tcPr>
          <w:p w14:paraId="3BB0089C" w14:textId="6C3A3832" w:rsidR="00CA74F6" w:rsidRPr="00AC36DE" w:rsidRDefault="00CA74F6" w:rsidP="00F25F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color w:val="212121"/>
                <w:sz w:val="20"/>
                <w:szCs w:val="20"/>
                <w:lang w:val="pt-PT"/>
              </w:rPr>
            </w:pPr>
            <w:r w:rsidRPr="00AC36DE">
              <w:rPr>
                <w:color w:val="212121"/>
                <w:sz w:val="20"/>
                <w:szCs w:val="20"/>
                <w:lang w:val="pt-PT"/>
              </w:rPr>
              <w:t>Entre 18,6 e 24,9</w:t>
            </w:r>
          </w:p>
        </w:tc>
        <w:tc>
          <w:tcPr>
            <w:tcW w:w="4163" w:type="dxa"/>
          </w:tcPr>
          <w:p w14:paraId="64822E0A" w14:textId="3AECB5C2" w:rsidR="00CA74F6" w:rsidRPr="00AC36DE" w:rsidRDefault="00CA74F6" w:rsidP="00F25F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cnfStyle w:val="000000100000" w:firstRow="0" w:lastRow="0" w:firstColumn="0" w:lastColumn="0" w:oddVBand="0" w:evenVBand="0" w:oddHBand="1" w:evenHBand="0" w:firstRowFirstColumn="0" w:firstRowLastColumn="0" w:lastRowFirstColumn="0" w:lastRowLastColumn="0"/>
              <w:rPr>
                <w:color w:val="212121"/>
                <w:sz w:val="20"/>
                <w:szCs w:val="20"/>
                <w:lang w:val="pt-PT"/>
              </w:rPr>
            </w:pPr>
            <w:r w:rsidRPr="00AC36DE">
              <w:rPr>
                <w:color w:val="212121"/>
                <w:sz w:val="20"/>
                <w:szCs w:val="20"/>
                <w:lang w:val="pt-PT"/>
              </w:rPr>
              <w:t>Peso Normal</w:t>
            </w:r>
          </w:p>
        </w:tc>
      </w:tr>
      <w:tr w:rsidR="00CA74F6" w:rsidRPr="00AC36DE" w14:paraId="761C6757" w14:textId="712D2772" w:rsidTr="00A31996">
        <w:tc>
          <w:tcPr>
            <w:cnfStyle w:val="001000000000" w:firstRow="0" w:lastRow="0" w:firstColumn="1" w:lastColumn="0" w:oddVBand="0" w:evenVBand="0" w:oddHBand="0" w:evenHBand="0" w:firstRowFirstColumn="0" w:firstRowLastColumn="0" w:lastRowFirstColumn="0" w:lastRowLastColumn="0"/>
            <w:tcW w:w="4331" w:type="dxa"/>
          </w:tcPr>
          <w:p w14:paraId="20158F05" w14:textId="108ABD45" w:rsidR="00CA74F6" w:rsidRPr="00AC36DE" w:rsidRDefault="00CA74F6" w:rsidP="00F25F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center"/>
              <w:rPr>
                <w:color w:val="212121"/>
                <w:sz w:val="20"/>
                <w:szCs w:val="20"/>
                <w:lang w:val="pt-PT"/>
              </w:rPr>
            </w:pPr>
            <w:r w:rsidRPr="00AC36DE">
              <w:rPr>
                <w:color w:val="212121"/>
                <w:sz w:val="20"/>
                <w:szCs w:val="20"/>
                <w:lang w:val="pt-PT"/>
              </w:rPr>
              <w:t>Entre 25 e 29,9</w:t>
            </w:r>
          </w:p>
        </w:tc>
        <w:tc>
          <w:tcPr>
            <w:tcW w:w="4163" w:type="dxa"/>
          </w:tcPr>
          <w:p w14:paraId="6C4F3D3E" w14:textId="3C0531DE" w:rsidR="00CA74F6" w:rsidRPr="00AC36DE" w:rsidRDefault="00CA74F6" w:rsidP="00F25F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212121"/>
                <w:sz w:val="20"/>
                <w:szCs w:val="20"/>
                <w:lang w:val="pt-PT"/>
              </w:rPr>
            </w:pPr>
            <w:r w:rsidRPr="00AC36DE">
              <w:rPr>
                <w:color w:val="212121"/>
                <w:sz w:val="20"/>
                <w:szCs w:val="20"/>
                <w:lang w:val="pt-PT"/>
              </w:rPr>
              <w:t>Sobrepeso</w:t>
            </w:r>
          </w:p>
        </w:tc>
      </w:tr>
      <w:tr w:rsidR="00CA74F6" w:rsidRPr="00AC36DE" w14:paraId="5A75073B" w14:textId="36ED650A" w:rsidTr="00A31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1" w:type="dxa"/>
          </w:tcPr>
          <w:p w14:paraId="3AB55B1C" w14:textId="156D0719" w:rsidR="00CA74F6" w:rsidRPr="00AC36DE" w:rsidRDefault="00CA74F6" w:rsidP="00F25F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center"/>
              <w:rPr>
                <w:color w:val="212121"/>
                <w:sz w:val="20"/>
                <w:szCs w:val="20"/>
                <w:lang w:val="pt-PT"/>
              </w:rPr>
            </w:pPr>
            <w:r w:rsidRPr="00AC36DE">
              <w:rPr>
                <w:color w:val="212121"/>
                <w:sz w:val="20"/>
                <w:szCs w:val="20"/>
                <w:lang w:val="pt-PT"/>
              </w:rPr>
              <w:t>Acima de 30</w:t>
            </w:r>
          </w:p>
        </w:tc>
        <w:tc>
          <w:tcPr>
            <w:tcW w:w="4163" w:type="dxa"/>
          </w:tcPr>
          <w:p w14:paraId="4C4A11AA" w14:textId="358BB125" w:rsidR="00CA74F6" w:rsidRPr="00AC36DE" w:rsidRDefault="00CA74F6" w:rsidP="00F25F0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212121"/>
                <w:sz w:val="20"/>
                <w:szCs w:val="20"/>
                <w:lang w:val="pt-PT"/>
              </w:rPr>
            </w:pPr>
            <w:r w:rsidRPr="00AC36DE">
              <w:rPr>
                <w:color w:val="212121"/>
                <w:sz w:val="20"/>
                <w:szCs w:val="20"/>
                <w:lang w:val="pt-PT"/>
              </w:rPr>
              <w:t>Obesidade</w:t>
            </w:r>
          </w:p>
        </w:tc>
      </w:tr>
    </w:tbl>
    <w:p w14:paraId="52357804" w14:textId="77777777" w:rsidR="00451B99" w:rsidRPr="009210F5" w:rsidRDefault="0034399A" w:rsidP="00B138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212121"/>
          <w:sz w:val="22"/>
          <w:szCs w:val="22"/>
        </w:rPr>
      </w:pPr>
      <w:r w:rsidRPr="009210F5">
        <w:rPr>
          <w:color w:val="212121"/>
          <w:sz w:val="22"/>
          <w:szCs w:val="22"/>
        </w:rPr>
        <w:lastRenderedPageBreak/>
        <w:t xml:space="preserve">Fonte: </w:t>
      </w:r>
      <w:r w:rsidR="00B811D1" w:rsidRPr="009210F5">
        <w:rPr>
          <w:color w:val="212121"/>
          <w:sz w:val="22"/>
          <w:szCs w:val="22"/>
        </w:rPr>
        <w:t xml:space="preserve">Organização Mundial da Saúde </w:t>
      </w:r>
    </w:p>
    <w:p w14:paraId="7AF395AD" w14:textId="77777777" w:rsidR="00451B99" w:rsidRDefault="00451B99" w:rsidP="00451B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212121"/>
          <w:sz w:val="20"/>
          <w:szCs w:val="20"/>
        </w:rPr>
      </w:pPr>
    </w:p>
    <w:p w14:paraId="52C08C0E" w14:textId="77777777" w:rsidR="009210F5" w:rsidRDefault="009210F5" w:rsidP="00451B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color w:val="212121"/>
          <w:sz w:val="20"/>
          <w:szCs w:val="20"/>
        </w:rPr>
      </w:pPr>
    </w:p>
    <w:p w14:paraId="764C1A8A" w14:textId="5AFBE084" w:rsidR="004226DE" w:rsidRPr="005637B7" w:rsidRDefault="00DF0524" w:rsidP="00B6048A">
      <w:pPr>
        <w:pStyle w:val="PargrafodaLista"/>
        <w:numPr>
          <w:ilvl w:val="1"/>
          <w:numId w:val="4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color w:val="212121"/>
          <w:sz w:val="20"/>
          <w:szCs w:val="20"/>
        </w:rPr>
      </w:pPr>
      <w:r w:rsidRPr="00451B99">
        <w:rPr>
          <w:color w:val="222222"/>
        </w:rPr>
        <w:t>AVALIAÇÃO LABORATORIAL</w:t>
      </w:r>
    </w:p>
    <w:p w14:paraId="0BE10D09" w14:textId="76E0BC3C" w:rsidR="005637B7" w:rsidRDefault="005637B7" w:rsidP="005637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color w:val="212121"/>
          <w:sz w:val="20"/>
          <w:szCs w:val="20"/>
        </w:rPr>
      </w:pPr>
    </w:p>
    <w:p w14:paraId="26A24A87" w14:textId="77777777" w:rsidR="005637B7" w:rsidRPr="005637B7" w:rsidRDefault="005637B7" w:rsidP="005637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color w:val="212121"/>
          <w:sz w:val="20"/>
          <w:szCs w:val="20"/>
        </w:rPr>
      </w:pPr>
    </w:p>
    <w:p w14:paraId="17E1E991" w14:textId="5BC611E9" w:rsidR="007E0111" w:rsidRPr="003F06DE" w:rsidRDefault="004226DE" w:rsidP="00BD1483">
      <w:pPr>
        <w:pBdr>
          <w:top w:val="nil"/>
          <w:left w:val="nil"/>
          <w:bottom w:val="nil"/>
          <w:right w:val="nil"/>
          <w:between w:val="nil"/>
        </w:pBdr>
        <w:spacing w:before="30" w:after="200" w:line="360" w:lineRule="auto"/>
        <w:jc w:val="both"/>
      </w:pPr>
      <w:r>
        <w:t xml:space="preserve">     </w:t>
      </w:r>
      <w:r w:rsidR="00DF0524">
        <w:t xml:space="preserve">A coleta foi realizada </w:t>
      </w:r>
      <w:r w:rsidR="00FA4687">
        <w:t xml:space="preserve">após jejum noturno, </w:t>
      </w:r>
      <w:r w:rsidR="00DF0524">
        <w:t xml:space="preserve">no sangue venoso periférico, no laboratório DNA, </w:t>
      </w:r>
      <w:r w:rsidR="005407CD">
        <w:t>razão social Centro Laboratorial de Genética e Biologia Molecular Ltda</w:t>
      </w:r>
      <w:r w:rsidR="00BD1483">
        <w:t>,</w:t>
      </w:r>
      <w:r w:rsidR="00744896">
        <w:t xml:space="preserve"> </w:t>
      </w:r>
      <w:r w:rsidR="005407CD">
        <w:t>CNPJ 00.912.031/</w:t>
      </w:r>
      <w:r w:rsidR="00744896">
        <w:t>0004-61. A</w:t>
      </w:r>
      <w:r w:rsidR="00FA4687">
        <w:t xml:space="preserve"> </w:t>
      </w:r>
      <w:r w:rsidR="00DF0524">
        <w:t xml:space="preserve">unidade </w:t>
      </w:r>
      <w:r w:rsidR="00744896">
        <w:t xml:space="preserve">escolhida fica próxima ao campus da UNEB, </w:t>
      </w:r>
      <w:r w:rsidR="00FA4687">
        <w:t>na Rua Estrada das Barreiras, número 86, Cabula</w:t>
      </w:r>
      <w:r w:rsidR="00744896">
        <w:t xml:space="preserve">. </w:t>
      </w:r>
      <w:r w:rsidR="00DF0524">
        <w:t xml:space="preserve">As dosagens do TSH, T4l, T3l, APO e AAT foram feitas pelo método eletroquimioluminescência. Para todos os analitos, foram utilizados testes </w:t>
      </w:r>
      <w:r w:rsidR="006333CC">
        <w:t xml:space="preserve">Do Laboratório </w:t>
      </w:r>
      <w:r w:rsidR="00DF0524" w:rsidRPr="009210F5">
        <w:t>Roche</w:t>
      </w:r>
      <w:r w:rsidR="00DF0524">
        <w:t xml:space="preserve">, compatíveis com o </w:t>
      </w:r>
      <w:proofErr w:type="spellStart"/>
      <w:r w:rsidR="00DF0524">
        <w:t>Cobas</w:t>
      </w:r>
      <w:proofErr w:type="spellEnd"/>
      <w:r w:rsidR="00DF0524">
        <w:t xml:space="preserve"> 601, exceto para APO, </w:t>
      </w:r>
      <w:r w:rsidR="00BD1483">
        <w:t xml:space="preserve">quando foi </w:t>
      </w:r>
      <w:r w:rsidR="00DF0524">
        <w:t xml:space="preserve">utilizado equipamento da </w:t>
      </w:r>
      <w:r w:rsidR="00DF0524" w:rsidRPr="009210F5">
        <w:t>Architect da Abbott</w:t>
      </w:r>
      <w:r w:rsidR="00DF0524">
        <w:t xml:space="preserve">.  </w:t>
      </w:r>
      <w:r w:rsidR="00DF0524" w:rsidRPr="004226DE">
        <w:rPr>
          <w:color w:val="1D2228"/>
          <w:highlight w:val="white"/>
        </w:rPr>
        <w:t xml:space="preserve">Os coeficientes de variabilidade inter </w:t>
      </w:r>
      <w:r w:rsidR="00DF0524" w:rsidRPr="00A12401">
        <w:rPr>
          <w:color w:val="000000" w:themeColor="text1"/>
          <w:highlight w:val="white"/>
        </w:rPr>
        <w:t xml:space="preserve">ensaios para TSH é 1,76%, T3l 2,12% e T4l 3,05% (classificados como ótimos). </w:t>
      </w:r>
      <w:r w:rsidR="00DF0524" w:rsidRPr="00A12401">
        <w:rPr>
          <w:color w:val="000000" w:themeColor="text1"/>
        </w:rPr>
        <w:t>Os valores de referência foram 0,27 - 4,2mU / L para TSH, 0,93 - 1,70 ng / dL para T4l,</w:t>
      </w:r>
      <w:bookmarkStart w:id="8" w:name="OLE_LINK1"/>
      <w:bookmarkStart w:id="9" w:name="OLE_LINK2"/>
      <w:r w:rsidR="00A12401">
        <w:rPr>
          <w:color w:val="000000" w:themeColor="text1"/>
        </w:rPr>
        <w:t xml:space="preserve"> </w:t>
      </w:r>
      <w:r w:rsidR="00DF0524" w:rsidRPr="00A12401">
        <w:rPr>
          <w:color w:val="000000" w:themeColor="text1"/>
        </w:rPr>
        <w:t xml:space="preserve">2,0 - 4,4 pg / mL </w:t>
      </w:r>
      <w:bookmarkEnd w:id="8"/>
      <w:bookmarkEnd w:id="9"/>
      <w:r w:rsidR="00DF0524" w:rsidRPr="00A12401">
        <w:rPr>
          <w:color w:val="000000" w:themeColor="text1"/>
        </w:rPr>
        <w:t>para T3l</w:t>
      </w:r>
      <w:r w:rsidR="00A12401">
        <w:rPr>
          <w:color w:val="000000" w:themeColor="text1"/>
        </w:rPr>
        <w:t xml:space="preserve"> e &lt; 5,61 UI/mL.</w:t>
      </w:r>
      <w:r w:rsidR="00311653">
        <w:rPr>
          <w:color w:val="000000" w:themeColor="text1"/>
        </w:rPr>
        <w:t xml:space="preserve"> As informações sobre método utilizado e valores de referência dos exames laboratoriais re</w:t>
      </w:r>
      <w:r w:rsidR="009210F5">
        <w:rPr>
          <w:color w:val="000000" w:themeColor="text1"/>
        </w:rPr>
        <w:t>alizados estão agrupados na T</w:t>
      </w:r>
      <w:r w:rsidR="00311653">
        <w:rPr>
          <w:color w:val="000000" w:themeColor="text1"/>
        </w:rPr>
        <w:t xml:space="preserve">abela </w:t>
      </w:r>
      <w:r w:rsidR="00C512F1">
        <w:rPr>
          <w:color w:val="000000" w:themeColor="text1"/>
        </w:rPr>
        <w:t>3</w:t>
      </w:r>
      <w:r w:rsidR="00311653">
        <w:rPr>
          <w:color w:val="000000" w:themeColor="text1"/>
        </w:rPr>
        <w:t>.</w:t>
      </w:r>
    </w:p>
    <w:p w14:paraId="4B927B0F" w14:textId="2A1D9CC7" w:rsidR="009C0FAE" w:rsidRPr="00083D5B" w:rsidRDefault="009C0FAE" w:rsidP="00DF0524">
      <w:pPr>
        <w:spacing w:line="360" w:lineRule="auto"/>
      </w:pPr>
      <w:r w:rsidRPr="00083D5B">
        <w:rPr>
          <w:b/>
          <w:bCs/>
        </w:rPr>
        <w:t>T</w:t>
      </w:r>
      <w:r w:rsidR="00BD1483" w:rsidRPr="00083D5B">
        <w:rPr>
          <w:b/>
          <w:bCs/>
        </w:rPr>
        <w:t>abela</w:t>
      </w:r>
      <w:r w:rsidRPr="00083D5B">
        <w:rPr>
          <w:b/>
          <w:bCs/>
        </w:rPr>
        <w:t xml:space="preserve"> </w:t>
      </w:r>
      <w:r w:rsidR="00BD1483">
        <w:rPr>
          <w:b/>
          <w:bCs/>
        </w:rPr>
        <w:t>3</w:t>
      </w:r>
      <w:r w:rsidR="00675B58" w:rsidRPr="00083D5B">
        <w:rPr>
          <w:b/>
          <w:bCs/>
        </w:rPr>
        <w:t>:</w:t>
      </w:r>
      <w:r w:rsidRPr="00083D5B">
        <w:t xml:space="preserve"> Exames laboratoriais</w:t>
      </w:r>
    </w:p>
    <w:tbl>
      <w:tblPr>
        <w:tblStyle w:val="SimplesTabela2"/>
        <w:tblW w:w="0" w:type="auto"/>
        <w:tblLook w:val="04A0" w:firstRow="1" w:lastRow="0" w:firstColumn="1" w:lastColumn="0" w:noHBand="0" w:noVBand="1"/>
      </w:tblPr>
      <w:tblGrid>
        <w:gridCol w:w="2818"/>
        <w:gridCol w:w="2856"/>
        <w:gridCol w:w="2820"/>
      </w:tblGrid>
      <w:tr w:rsidR="009C301D" w:rsidRPr="00311653" w14:paraId="068CA205" w14:textId="77777777" w:rsidTr="003116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8" w:type="dxa"/>
          </w:tcPr>
          <w:p w14:paraId="5F908938" w14:textId="126D33AC" w:rsidR="009C301D" w:rsidRPr="00AC36DE" w:rsidRDefault="009C301D" w:rsidP="009C301D">
            <w:pPr>
              <w:spacing w:line="360" w:lineRule="auto"/>
              <w:jc w:val="center"/>
              <w:rPr>
                <w:sz w:val="20"/>
                <w:szCs w:val="20"/>
              </w:rPr>
            </w:pPr>
            <w:r w:rsidRPr="00AC36DE">
              <w:rPr>
                <w:sz w:val="20"/>
                <w:szCs w:val="20"/>
              </w:rPr>
              <w:t>Exames</w:t>
            </w:r>
          </w:p>
        </w:tc>
        <w:tc>
          <w:tcPr>
            <w:tcW w:w="2856" w:type="dxa"/>
          </w:tcPr>
          <w:p w14:paraId="46ED1BD6" w14:textId="7BA4D71B" w:rsidR="009C301D" w:rsidRPr="00AC36DE" w:rsidRDefault="009C301D" w:rsidP="009C301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C36DE">
              <w:rPr>
                <w:sz w:val="20"/>
                <w:szCs w:val="20"/>
              </w:rPr>
              <w:t>Método utilizado</w:t>
            </w:r>
          </w:p>
        </w:tc>
        <w:tc>
          <w:tcPr>
            <w:tcW w:w="2820" w:type="dxa"/>
          </w:tcPr>
          <w:p w14:paraId="1151B4AA" w14:textId="70C85F61" w:rsidR="009C301D" w:rsidRPr="00AC36DE" w:rsidRDefault="009C301D" w:rsidP="009C301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AC36DE">
              <w:rPr>
                <w:sz w:val="20"/>
                <w:szCs w:val="20"/>
              </w:rPr>
              <w:t>Valores de referência</w:t>
            </w:r>
          </w:p>
        </w:tc>
      </w:tr>
      <w:tr w:rsidR="009C301D" w:rsidRPr="00311653" w14:paraId="39C27757" w14:textId="77777777" w:rsidTr="00311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8" w:type="dxa"/>
          </w:tcPr>
          <w:p w14:paraId="5C305F80" w14:textId="5C8809E1" w:rsidR="009C301D" w:rsidRPr="00AC36DE" w:rsidRDefault="009C301D" w:rsidP="009C301D">
            <w:pPr>
              <w:spacing w:line="360" w:lineRule="auto"/>
              <w:jc w:val="center"/>
              <w:rPr>
                <w:sz w:val="20"/>
                <w:szCs w:val="20"/>
              </w:rPr>
            </w:pPr>
            <w:r w:rsidRPr="00AC36DE">
              <w:rPr>
                <w:sz w:val="20"/>
                <w:szCs w:val="20"/>
              </w:rPr>
              <w:t>TSH</w:t>
            </w:r>
          </w:p>
        </w:tc>
        <w:tc>
          <w:tcPr>
            <w:tcW w:w="2856" w:type="dxa"/>
          </w:tcPr>
          <w:p w14:paraId="46CC887E" w14:textId="3BDB1C82" w:rsidR="009C301D" w:rsidRPr="00AC36DE" w:rsidRDefault="009C301D" w:rsidP="009C301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C36DE">
              <w:rPr>
                <w:sz w:val="20"/>
                <w:szCs w:val="20"/>
              </w:rPr>
              <w:t>Eletroquimioluminescência</w:t>
            </w:r>
          </w:p>
        </w:tc>
        <w:tc>
          <w:tcPr>
            <w:tcW w:w="2820" w:type="dxa"/>
          </w:tcPr>
          <w:p w14:paraId="2F9D1F31" w14:textId="73E8A38D" w:rsidR="009C301D" w:rsidRPr="00AC36DE" w:rsidRDefault="001C469C" w:rsidP="009C301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C36DE">
              <w:rPr>
                <w:sz w:val="20"/>
                <w:szCs w:val="20"/>
              </w:rPr>
              <w:t xml:space="preserve">0,27 - </w:t>
            </w:r>
            <w:proofErr w:type="gramStart"/>
            <w:r w:rsidRPr="00AC36DE">
              <w:rPr>
                <w:sz w:val="20"/>
                <w:szCs w:val="20"/>
              </w:rPr>
              <w:t>4,2</w:t>
            </w:r>
            <w:r w:rsidR="00F25F02" w:rsidRPr="00AC36DE">
              <w:rPr>
                <w:sz w:val="20"/>
                <w:szCs w:val="20"/>
              </w:rPr>
              <w:t xml:space="preserve"> </w:t>
            </w:r>
            <w:r w:rsidRPr="00AC36DE">
              <w:rPr>
                <w:sz w:val="20"/>
                <w:szCs w:val="20"/>
              </w:rPr>
              <w:t>mU</w:t>
            </w:r>
            <w:proofErr w:type="gramEnd"/>
            <w:r w:rsidRPr="00AC36DE">
              <w:rPr>
                <w:sz w:val="20"/>
                <w:szCs w:val="20"/>
              </w:rPr>
              <w:t xml:space="preserve"> / L</w:t>
            </w:r>
          </w:p>
        </w:tc>
      </w:tr>
      <w:tr w:rsidR="009C301D" w:rsidRPr="00311653" w14:paraId="3A24ADD2" w14:textId="77777777" w:rsidTr="00311653">
        <w:tc>
          <w:tcPr>
            <w:cnfStyle w:val="001000000000" w:firstRow="0" w:lastRow="0" w:firstColumn="1" w:lastColumn="0" w:oddVBand="0" w:evenVBand="0" w:oddHBand="0" w:evenHBand="0" w:firstRowFirstColumn="0" w:firstRowLastColumn="0" w:lastRowFirstColumn="0" w:lastRowLastColumn="0"/>
            <w:tcW w:w="2818" w:type="dxa"/>
          </w:tcPr>
          <w:p w14:paraId="74690497" w14:textId="018A3BDE" w:rsidR="009C301D" w:rsidRPr="00AC36DE" w:rsidRDefault="009C301D" w:rsidP="009C301D">
            <w:pPr>
              <w:spacing w:line="360" w:lineRule="auto"/>
              <w:jc w:val="center"/>
              <w:rPr>
                <w:sz w:val="20"/>
                <w:szCs w:val="20"/>
              </w:rPr>
            </w:pPr>
            <w:r w:rsidRPr="00AC36DE">
              <w:rPr>
                <w:sz w:val="20"/>
                <w:szCs w:val="20"/>
              </w:rPr>
              <w:t>T4l</w:t>
            </w:r>
          </w:p>
        </w:tc>
        <w:tc>
          <w:tcPr>
            <w:tcW w:w="2856" w:type="dxa"/>
          </w:tcPr>
          <w:p w14:paraId="7BE219B3" w14:textId="5DF4C7E3" w:rsidR="009C301D" w:rsidRPr="00AC36DE" w:rsidRDefault="009C301D" w:rsidP="009C301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C36DE">
              <w:rPr>
                <w:sz w:val="20"/>
                <w:szCs w:val="20"/>
              </w:rPr>
              <w:t>Eletroquimioluminescência</w:t>
            </w:r>
          </w:p>
        </w:tc>
        <w:tc>
          <w:tcPr>
            <w:tcW w:w="2820" w:type="dxa"/>
          </w:tcPr>
          <w:p w14:paraId="2C00EA2E" w14:textId="47B68BB3" w:rsidR="009C301D" w:rsidRPr="00AC36DE" w:rsidRDefault="001C469C" w:rsidP="009C301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C36DE">
              <w:rPr>
                <w:sz w:val="20"/>
                <w:szCs w:val="20"/>
              </w:rPr>
              <w:t>0,93 - 1,70 ng / dL</w:t>
            </w:r>
          </w:p>
        </w:tc>
      </w:tr>
      <w:tr w:rsidR="009C301D" w:rsidRPr="00311653" w14:paraId="78DBEA8F" w14:textId="77777777" w:rsidTr="00311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8" w:type="dxa"/>
          </w:tcPr>
          <w:p w14:paraId="2C2D133A" w14:textId="4E131C5E" w:rsidR="009C301D" w:rsidRPr="00AC36DE" w:rsidRDefault="009C301D" w:rsidP="009C301D">
            <w:pPr>
              <w:spacing w:line="360" w:lineRule="auto"/>
              <w:jc w:val="center"/>
              <w:rPr>
                <w:sz w:val="20"/>
                <w:szCs w:val="20"/>
              </w:rPr>
            </w:pPr>
            <w:r w:rsidRPr="00AC36DE">
              <w:rPr>
                <w:sz w:val="20"/>
                <w:szCs w:val="20"/>
              </w:rPr>
              <w:t>T3l</w:t>
            </w:r>
          </w:p>
        </w:tc>
        <w:tc>
          <w:tcPr>
            <w:tcW w:w="2856" w:type="dxa"/>
          </w:tcPr>
          <w:p w14:paraId="58476BEA" w14:textId="65BA24F9" w:rsidR="009C301D" w:rsidRPr="00AC36DE" w:rsidRDefault="009C301D" w:rsidP="009C301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C36DE">
              <w:rPr>
                <w:sz w:val="20"/>
                <w:szCs w:val="20"/>
              </w:rPr>
              <w:t>Eletroquimioluminescência</w:t>
            </w:r>
          </w:p>
        </w:tc>
        <w:tc>
          <w:tcPr>
            <w:tcW w:w="2820" w:type="dxa"/>
          </w:tcPr>
          <w:p w14:paraId="4703D3AA" w14:textId="470FA68F" w:rsidR="009C301D" w:rsidRPr="00AC36DE" w:rsidRDefault="001C469C" w:rsidP="009C301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C36DE">
              <w:rPr>
                <w:sz w:val="20"/>
                <w:szCs w:val="20"/>
              </w:rPr>
              <w:t>2,0 - 4,4 pg / mL</w:t>
            </w:r>
          </w:p>
        </w:tc>
      </w:tr>
      <w:tr w:rsidR="009C301D" w:rsidRPr="00311653" w14:paraId="3AEB6BA5" w14:textId="77777777" w:rsidTr="00311653">
        <w:tc>
          <w:tcPr>
            <w:cnfStyle w:val="001000000000" w:firstRow="0" w:lastRow="0" w:firstColumn="1" w:lastColumn="0" w:oddVBand="0" w:evenVBand="0" w:oddHBand="0" w:evenHBand="0" w:firstRowFirstColumn="0" w:firstRowLastColumn="0" w:lastRowFirstColumn="0" w:lastRowLastColumn="0"/>
            <w:tcW w:w="2818" w:type="dxa"/>
          </w:tcPr>
          <w:p w14:paraId="27C26CEE" w14:textId="5E48C877" w:rsidR="009C301D" w:rsidRPr="00AC36DE" w:rsidRDefault="009C301D" w:rsidP="009C301D">
            <w:pPr>
              <w:spacing w:line="360" w:lineRule="auto"/>
              <w:jc w:val="center"/>
              <w:rPr>
                <w:sz w:val="20"/>
                <w:szCs w:val="20"/>
              </w:rPr>
            </w:pPr>
            <w:r w:rsidRPr="00AC36DE">
              <w:rPr>
                <w:sz w:val="20"/>
                <w:szCs w:val="20"/>
              </w:rPr>
              <w:t>APO</w:t>
            </w:r>
          </w:p>
        </w:tc>
        <w:tc>
          <w:tcPr>
            <w:tcW w:w="2856" w:type="dxa"/>
          </w:tcPr>
          <w:p w14:paraId="68D9BF66" w14:textId="4DFD5D47" w:rsidR="009C301D" w:rsidRPr="00AC36DE" w:rsidRDefault="009C301D" w:rsidP="009C301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C36DE">
              <w:rPr>
                <w:sz w:val="20"/>
                <w:szCs w:val="20"/>
              </w:rPr>
              <w:t>Eletroquimioluminescência</w:t>
            </w:r>
          </w:p>
        </w:tc>
        <w:tc>
          <w:tcPr>
            <w:tcW w:w="2820" w:type="dxa"/>
          </w:tcPr>
          <w:p w14:paraId="04909D33" w14:textId="3173717E" w:rsidR="009C301D" w:rsidRPr="00AC36DE" w:rsidRDefault="002535DC" w:rsidP="009C301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AC36DE">
              <w:rPr>
                <w:sz w:val="20"/>
                <w:szCs w:val="20"/>
              </w:rPr>
              <w:t>&lt; 5,61 UI / mL</w:t>
            </w:r>
          </w:p>
        </w:tc>
      </w:tr>
      <w:tr w:rsidR="009C301D" w:rsidRPr="00311653" w14:paraId="54603DDB" w14:textId="77777777" w:rsidTr="003116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8" w:type="dxa"/>
          </w:tcPr>
          <w:p w14:paraId="748D62AB" w14:textId="1C8FE3A9" w:rsidR="009C301D" w:rsidRPr="00AC36DE" w:rsidRDefault="009C301D" w:rsidP="009C301D">
            <w:pPr>
              <w:spacing w:line="360" w:lineRule="auto"/>
              <w:jc w:val="center"/>
              <w:rPr>
                <w:sz w:val="20"/>
                <w:szCs w:val="20"/>
              </w:rPr>
            </w:pPr>
            <w:r w:rsidRPr="00AC36DE">
              <w:rPr>
                <w:sz w:val="20"/>
                <w:szCs w:val="20"/>
              </w:rPr>
              <w:t>AAT</w:t>
            </w:r>
          </w:p>
        </w:tc>
        <w:tc>
          <w:tcPr>
            <w:tcW w:w="2856" w:type="dxa"/>
          </w:tcPr>
          <w:p w14:paraId="6F0F3021" w14:textId="1863DAEB" w:rsidR="009C301D" w:rsidRPr="00AC36DE" w:rsidRDefault="009C301D" w:rsidP="009C301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C36DE">
              <w:rPr>
                <w:sz w:val="20"/>
                <w:szCs w:val="20"/>
              </w:rPr>
              <w:t>Eletroquimioluminescência</w:t>
            </w:r>
          </w:p>
        </w:tc>
        <w:tc>
          <w:tcPr>
            <w:tcW w:w="2820" w:type="dxa"/>
          </w:tcPr>
          <w:p w14:paraId="34B6657D" w14:textId="06A5ABCD" w:rsidR="009C301D" w:rsidRPr="00AC36DE" w:rsidRDefault="002535DC" w:rsidP="009C301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AC36DE">
              <w:rPr>
                <w:sz w:val="20"/>
                <w:szCs w:val="20"/>
              </w:rPr>
              <w:t>&lt; 4,11 UI / mL</w:t>
            </w:r>
          </w:p>
        </w:tc>
      </w:tr>
    </w:tbl>
    <w:p w14:paraId="35D54BDA" w14:textId="39CAEE9B" w:rsidR="005637B7" w:rsidRPr="009210F5" w:rsidRDefault="00311653" w:rsidP="00BD1483">
      <w:pPr>
        <w:spacing w:line="360" w:lineRule="auto"/>
        <w:rPr>
          <w:sz w:val="22"/>
          <w:szCs w:val="22"/>
        </w:rPr>
      </w:pPr>
      <w:r w:rsidRPr="009210F5">
        <w:rPr>
          <w:sz w:val="22"/>
          <w:szCs w:val="22"/>
        </w:rPr>
        <w:t>Fonte: Laboratório DNA</w:t>
      </w:r>
    </w:p>
    <w:p w14:paraId="39308C06" w14:textId="1678823F" w:rsidR="00F364A0" w:rsidRDefault="00F364A0" w:rsidP="008819B5">
      <w:pPr>
        <w:spacing w:line="360" w:lineRule="auto"/>
        <w:jc w:val="center"/>
        <w:rPr>
          <w:sz w:val="20"/>
          <w:szCs w:val="20"/>
        </w:rPr>
      </w:pPr>
    </w:p>
    <w:p w14:paraId="55F53A08" w14:textId="77777777" w:rsidR="00B1381F" w:rsidRDefault="00B1381F" w:rsidP="008819B5">
      <w:pPr>
        <w:spacing w:line="360" w:lineRule="auto"/>
        <w:jc w:val="center"/>
        <w:rPr>
          <w:sz w:val="20"/>
          <w:szCs w:val="20"/>
        </w:rPr>
      </w:pPr>
    </w:p>
    <w:p w14:paraId="0EBF62BD" w14:textId="4D144AF2" w:rsidR="00315787" w:rsidRDefault="00315787" w:rsidP="00B6048A">
      <w:pPr>
        <w:pStyle w:val="Ttulo2"/>
        <w:numPr>
          <w:ilvl w:val="1"/>
          <w:numId w:val="44"/>
        </w:numPr>
        <w:spacing w:before="0" w:line="360" w:lineRule="auto"/>
        <w:ind w:left="0" w:firstLine="0"/>
        <w:jc w:val="both"/>
        <w:rPr>
          <w:rFonts w:ascii="Times New Roman" w:hAnsi="Times New Roman"/>
          <w:b w:val="0"/>
          <w:bCs w:val="0"/>
          <w:sz w:val="24"/>
          <w:szCs w:val="24"/>
        </w:rPr>
      </w:pPr>
      <w:r w:rsidRPr="00315787">
        <w:rPr>
          <w:rFonts w:ascii="Times New Roman" w:hAnsi="Times New Roman"/>
          <w:b w:val="0"/>
          <w:bCs w:val="0"/>
          <w:sz w:val="24"/>
          <w:szCs w:val="24"/>
        </w:rPr>
        <w:t>EXTRAÇÃO DE DNA </w:t>
      </w:r>
    </w:p>
    <w:p w14:paraId="02CC4721" w14:textId="77777777" w:rsidR="005637B7" w:rsidRPr="005637B7" w:rsidRDefault="005637B7" w:rsidP="00BD1483">
      <w:pPr>
        <w:spacing w:line="360" w:lineRule="auto"/>
        <w:rPr>
          <w:lang w:val="en-US" w:eastAsia="en-US"/>
        </w:rPr>
      </w:pPr>
    </w:p>
    <w:p w14:paraId="063DAE5B" w14:textId="1E8BF8CA" w:rsidR="00544B4B" w:rsidRDefault="004226DE" w:rsidP="00BD1483">
      <w:pPr>
        <w:spacing w:line="360" w:lineRule="auto"/>
        <w:jc w:val="both"/>
        <w:rPr>
          <w:color w:val="000000"/>
        </w:rPr>
      </w:pPr>
      <w:r>
        <w:rPr>
          <w:color w:val="000000"/>
        </w:rPr>
        <w:t xml:space="preserve">     </w:t>
      </w:r>
      <w:r w:rsidR="00315787" w:rsidRPr="00893D0C">
        <w:rPr>
          <w:color w:val="000000"/>
        </w:rPr>
        <w:t>A extração de DNA foi realizada a partir de amostras de sangue periférico</w:t>
      </w:r>
      <w:r w:rsidR="00841744">
        <w:rPr>
          <w:color w:val="000000"/>
        </w:rPr>
        <w:t>,</w:t>
      </w:r>
      <w:r w:rsidR="00315787" w:rsidRPr="00893D0C">
        <w:rPr>
          <w:color w:val="000000"/>
        </w:rPr>
        <w:t xml:space="preserve"> de acordo com o protocolo do </w:t>
      </w:r>
      <w:r w:rsidR="00315787">
        <w:rPr>
          <w:color w:val="000000"/>
        </w:rPr>
        <w:t>kit</w:t>
      </w:r>
      <w:r w:rsidR="00315787" w:rsidRPr="00893D0C">
        <w:rPr>
          <w:color w:val="000000"/>
        </w:rPr>
        <w:t xml:space="preserve"> comercial </w:t>
      </w:r>
      <w:r w:rsidR="00315787" w:rsidRPr="00893D0C">
        <w:rPr>
          <w:i/>
          <w:iCs/>
          <w:color w:val="000000"/>
        </w:rPr>
        <w:t>RecoverAll™ Total Nucleci Acid Isolation Kit for FFPE</w:t>
      </w:r>
      <w:r w:rsidR="00315787" w:rsidRPr="00893D0C">
        <w:rPr>
          <w:color w:val="000000"/>
        </w:rPr>
        <w:t> (</w:t>
      </w:r>
      <w:r w:rsidR="00315787" w:rsidRPr="009210F5">
        <w:rPr>
          <w:iCs/>
          <w:color w:val="000000"/>
        </w:rPr>
        <w:t>Life Technologies, Carlsbad, CA</w:t>
      </w:r>
      <w:r w:rsidR="00315787" w:rsidRPr="00893D0C">
        <w:rPr>
          <w:color w:val="000000"/>
        </w:rPr>
        <w:t xml:space="preserve">). Após </w:t>
      </w:r>
      <w:r w:rsidR="00841744">
        <w:rPr>
          <w:color w:val="000000"/>
        </w:rPr>
        <w:t xml:space="preserve">a </w:t>
      </w:r>
      <w:r w:rsidR="00315787" w:rsidRPr="00893D0C">
        <w:rPr>
          <w:color w:val="000000"/>
        </w:rPr>
        <w:t xml:space="preserve">extração, </w:t>
      </w:r>
      <w:r w:rsidR="00841744">
        <w:rPr>
          <w:color w:val="000000"/>
        </w:rPr>
        <w:t>realizou-se</w:t>
      </w:r>
      <w:r w:rsidR="00315787">
        <w:rPr>
          <w:color w:val="000000"/>
        </w:rPr>
        <w:t xml:space="preserve"> </w:t>
      </w:r>
      <w:r w:rsidR="00315787" w:rsidRPr="00893D0C">
        <w:rPr>
          <w:color w:val="000000"/>
        </w:rPr>
        <w:t>a</w:t>
      </w:r>
      <w:r w:rsidR="00315787">
        <w:rPr>
          <w:color w:val="000000"/>
        </w:rPr>
        <w:t xml:space="preserve"> quantificação do DNA presente na</w:t>
      </w:r>
      <w:r w:rsidR="00315787" w:rsidRPr="00893D0C">
        <w:rPr>
          <w:color w:val="000000"/>
        </w:rPr>
        <w:t>s amostras</w:t>
      </w:r>
      <w:r w:rsidR="00315787">
        <w:rPr>
          <w:color w:val="000000"/>
        </w:rPr>
        <w:t>, que posteriormente foram uniformizadas para uma</w:t>
      </w:r>
      <w:r w:rsidR="008A3F4E">
        <w:rPr>
          <w:color w:val="000000"/>
        </w:rPr>
        <w:t xml:space="preserve"> </w:t>
      </w:r>
      <w:r w:rsidR="00315787">
        <w:rPr>
          <w:color w:val="000000"/>
        </w:rPr>
        <w:t>concentração de 5 ng/</w:t>
      </w:r>
      <w:proofErr w:type="spellStart"/>
      <w:r w:rsidR="00315787">
        <w:rPr>
          <w:color w:val="000000"/>
        </w:rPr>
        <w:t>uL</w:t>
      </w:r>
      <w:proofErr w:type="spellEnd"/>
      <w:r w:rsidR="00315787">
        <w:rPr>
          <w:color w:val="000000"/>
        </w:rPr>
        <w:t xml:space="preserve">. O DNA extraído foi armazenado em tubos </w:t>
      </w:r>
      <w:r w:rsidR="00315787" w:rsidRPr="00893D0C">
        <w:rPr>
          <w:color w:val="000000"/>
        </w:rPr>
        <w:t>identificad</w:t>
      </w:r>
      <w:r w:rsidR="00315787">
        <w:rPr>
          <w:color w:val="000000"/>
        </w:rPr>
        <w:t>o</w:t>
      </w:r>
      <w:r w:rsidR="00315787" w:rsidRPr="00893D0C">
        <w:rPr>
          <w:color w:val="000000"/>
        </w:rPr>
        <w:t xml:space="preserve">s com </w:t>
      </w:r>
      <w:r w:rsidR="00315787">
        <w:rPr>
          <w:color w:val="000000"/>
        </w:rPr>
        <w:t xml:space="preserve">os </w:t>
      </w:r>
      <w:r w:rsidR="00315787" w:rsidRPr="00893D0C">
        <w:rPr>
          <w:color w:val="000000"/>
        </w:rPr>
        <w:t xml:space="preserve">respectivos códigos e </w:t>
      </w:r>
      <w:r w:rsidR="00315787">
        <w:rPr>
          <w:color w:val="000000"/>
        </w:rPr>
        <w:t>mantido</w:t>
      </w:r>
      <w:r w:rsidR="00315787" w:rsidRPr="00893D0C">
        <w:rPr>
          <w:color w:val="000000"/>
        </w:rPr>
        <w:t xml:space="preserve"> em freezer à -20 ºC</w:t>
      </w:r>
      <w:r w:rsidR="00D5215B">
        <w:rPr>
          <w:color w:val="000000"/>
        </w:rPr>
        <w:t>,</w:t>
      </w:r>
      <w:r w:rsidR="00315787">
        <w:rPr>
          <w:color w:val="000000"/>
        </w:rPr>
        <w:t xml:space="preserve"> </w:t>
      </w:r>
      <w:r w:rsidR="00315787" w:rsidRPr="00893D0C">
        <w:rPr>
          <w:color w:val="000000"/>
        </w:rPr>
        <w:t>no Biorrepositório</w:t>
      </w:r>
      <w:r w:rsidR="00315787">
        <w:rPr>
          <w:color w:val="000000"/>
        </w:rPr>
        <w:t xml:space="preserve"> </w:t>
      </w:r>
      <w:r w:rsidR="00315787" w:rsidRPr="00893D0C">
        <w:rPr>
          <w:color w:val="000000"/>
        </w:rPr>
        <w:t xml:space="preserve">do LET/UFBA, </w:t>
      </w:r>
      <w:r w:rsidR="0000588E" w:rsidRPr="00893D0C">
        <w:rPr>
          <w:color w:val="000000"/>
        </w:rPr>
        <w:t>até a sua utilizaçã</w:t>
      </w:r>
      <w:r w:rsidR="0000588E">
        <w:rPr>
          <w:color w:val="000000"/>
        </w:rPr>
        <w:t xml:space="preserve">o na genotipagem. </w:t>
      </w:r>
    </w:p>
    <w:p w14:paraId="20489F33" w14:textId="77777777" w:rsidR="00544B4B" w:rsidRDefault="00544B4B" w:rsidP="00BD1483">
      <w:pPr>
        <w:spacing w:line="360" w:lineRule="auto"/>
        <w:jc w:val="both"/>
        <w:rPr>
          <w:color w:val="000000"/>
        </w:rPr>
      </w:pPr>
    </w:p>
    <w:p w14:paraId="387E1513" w14:textId="77777777" w:rsidR="00C96685" w:rsidRDefault="00C96685" w:rsidP="00BD1483">
      <w:pPr>
        <w:spacing w:line="360" w:lineRule="auto"/>
        <w:jc w:val="both"/>
        <w:rPr>
          <w:color w:val="000000"/>
        </w:rPr>
      </w:pPr>
    </w:p>
    <w:p w14:paraId="7AD40CCF" w14:textId="77777777" w:rsidR="009210F5" w:rsidRDefault="009210F5" w:rsidP="00BD1483">
      <w:pPr>
        <w:spacing w:line="360" w:lineRule="auto"/>
        <w:jc w:val="both"/>
        <w:rPr>
          <w:color w:val="000000"/>
        </w:rPr>
      </w:pPr>
    </w:p>
    <w:p w14:paraId="10D9E528" w14:textId="4CEE2A09" w:rsidR="00544B4B" w:rsidRPr="00544B4B" w:rsidRDefault="0065281C" w:rsidP="00B6048A">
      <w:pPr>
        <w:pStyle w:val="Ttulo2"/>
        <w:numPr>
          <w:ilvl w:val="1"/>
          <w:numId w:val="44"/>
        </w:numPr>
        <w:pBdr>
          <w:top w:val="nil"/>
          <w:left w:val="nil"/>
          <w:bottom w:val="nil"/>
          <w:right w:val="nil"/>
          <w:between w:val="nil"/>
        </w:pBdr>
        <w:spacing w:before="0" w:line="360" w:lineRule="auto"/>
        <w:rPr>
          <w:rFonts w:ascii="Times New Roman" w:hAnsi="Times New Roman"/>
          <w:b w:val="0"/>
          <w:bCs w:val="0"/>
          <w:color w:val="000000" w:themeColor="text1"/>
          <w:sz w:val="24"/>
          <w:szCs w:val="24"/>
          <w:lang w:val="pt-BR"/>
        </w:rPr>
      </w:pPr>
      <w:r w:rsidRPr="001B6824">
        <w:rPr>
          <w:rFonts w:ascii="Times New Roman" w:hAnsi="Times New Roman"/>
          <w:b w:val="0"/>
          <w:bCs w:val="0"/>
          <w:color w:val="000000" w:themeColor="text1"/>
          <w:sz w:val="24"/>
          <w:szCs w:val="24"/>
          <w:lang w:val="pt-BR"/>
        </w:rPr>
        <w:t>SELEÇÃO DE GENES ESTUDADOS</w:t>
      </w:r>
    </w:p>
    <w:p w14:paraId="2A839FBF" w14:textId="77777777" w:rsidR="00544B4B" w:rsidRPr="00544B4B" w:rsidRDefault="00544B4B" w:rsidP="00544B4B">
      <w:pPr>
        <w:rPr>
          <w:lang w:eastAsia="en-US"/>
        </w:rPr>
      </w:pPr>
    </w:p>
    <w:p w14:paraId="667A7FE8" w14:textId="2D27B142" w:rsidR="00544B4B" w:rsidRDefault="004226DE" w:rsidP="008A3F4E">
      <w:pPr>
        <w:spacing w:line="360" w:lineRule="auto"/>
        <w:jc w:val="both"/>
        <w:rPr>
          <w:color w:val="000000"/>
        </w:rPr>
      </w:pPr>
      <w:r>
        <w:rPr>
          <w:rFonts w:eastAsia="Arial"/>
          <w:color w:val="000000" w:themeColor="text1"/>
        </w:rPr>
        <w:t xml:space="preserve">     </w:t>
      </w:r>
      <w:r w:rsidR="00D5215B">
        <w:rPr>
          <w:rFonts w:eastAsia="Arial"/>
          <w:color w:val="000000" w:themeColor="text1"/>
        </w:rPr>
        <w:t>Selecionaram-se</w:t>
      </w:r>
      <w:r w:rsidR="00D95D3F">
        <w:rPr>
          <w:rFonts w:eastAsia="Arial"/>
          <w:color w:val="000000" w:themeColor="text1"/>
        </w:rPr>
        <w:t xml:space="preserve"> </w:t>
      </w:r>
      <w:r w:rsidR="00A259C8">
        <w:rPr>
          <w:rFonts w:eastAsia="Arial"/>
          <w:color w:val="000000" w:themeColor="text1"/>
        </w:rPr>
        <w:t xml:space="preserve">polimorfismos </w:t>
      </w:r>
      <w:r w:rsidR="00D95D3F">
        <w:rPr>
          <w:rFonts w:eastAsia="Arial"/>
          <w:color w:val="000000" w:themeColor="text1"/>
        </w:rPr>
        <w:t>de genes candidatos</w:t>
      </w:r>
      <w:r w:rsidR="00D5215B">
        <w:rPr>
          <w:rFonts w:eastAsia="Arial"/>
          <w:color w:val="000000" w:themeColor="text1"/>
        </w:rPr>
        <w:t>,</w:t>
      </w:r>
      <w:r w:rsidR="00D95D3F">
        <w:rPr>
          <w:rFonts w:eastAsia="Arial"/>
          <w:color w:val="000000" w:themeColor="text1"/>
        </w:rPr>
        <w:t xml:space="preserve"> envolvidos </w:t>
      </w:r>
      <w:r w:rsidR="008819B5">
        <w:rPr>
          <w:rFonts w:eastAsia="Arial"/>
          <w:color w:val="000000" w:themeColor="text1"/>
        </w:rPr>
        <w:t xml:space="preserve">em diversos aspectos importantes da ontogênese, </w:t>
      </w:r>
      <w:r w:rsidR="00D5215B">
        <w:rPr>
          <w:rFonts w:eastAsia="Arial"/>
          <w:color w:val="000000" w:themeColor="text1"/>
        </w:rPr>
        <w:t xml:space="preserve">em </w:t>
      </w:r>
      <w:r w:rsidR="008819B5">
        <w:rPr>
          <w:rFonts w:eastAsia="Arial"/>
          <w:color w:val="000000" w:themeColor="text1"/>
        </w:rPr>
        <w:t xml:space="preserve">biossíntese hormonal ou </w:t>
      </w:r>
      <w:r w:rsidR="00D5215B">
        <w:rPr>
          <w:rFonts w:eastAsia="Arial"/>
          <w:color w:val="000000" w:themeColor="text1"/>
        </w:rPr>
        <w:t xml:space="preserve">em </w:t>
      </w:r>
      <w:r w:rsidR="008819B5">
        <w:rPr>
          <w:rFonts w:eastAsia="Arial"/>
          <w:color w:val="000000" w:themeColor="text1"/>
        </w:rPr>
        <w:t>mecanismo de ação dos hormônios tireoidianos. Es</w:t>
      </w:r>
      <w:r w:rsidR="00D5215B">
        <w:rPr>
          <w:rFonts w:eastAsia="Arial"/>
          <w:color w:val="000000" w:themeColor="text1"/>
        </w:rPr>
        <w:t>s</w:t>
      </w:r>
      <w:r w:rsidR="008819B5">
        <w:rPr>
          <w:rFonts w:eastAsia="Arial"/>
          <w:color w:val="000000" w:themeColor="text1"/>
        </w:rPr>
        <w:t xml:space="preserve">es polimorfismos de nucleotídeo único já foram previamente associados, de maneira independente, </w:t>
      </w:r>
      <w:r w:rsidR="00D5215B">
        <w:rPr>
          <w:rFonts w:eastAsia="Arial"/>
          <w:color w:val="000000" w:themeColor="text1"/>
        </w:rPr>
        <w:t xml:space="preserve">à </w:t>
      </w:r>
      <w:r w:rsidR="008819B5">
        <w:rPr>
          <w:rFonts w:eastAsia="Arial"/>
          <w:color w:val="000000" w:themeColor="text1"/>
        </w:rPr>
        <w:t xml:space="preserve">função tireoidiana em estudos de associação do genoma: </w:t>
      </w:r>
      <w:r w:rsidR="00A259C8" w:rsidRPr="00307A51">
        <w:rPr>
          <w:color w:val="000000"/>
        </w:rPr>
        <w:t>rs12885300</w:t>
      </w:r>
      <w:r w:rsidR="00762446" w:rsidRPr="00307A51">
        <w:rPr>
          <w:color w:val="000000"/>
        </w:rPr>
        <w:t xml:space="preserve"> </w:t>
      </w:r>
      <w:r w:rsidR="00762446">
        <w:rPr>
          <w:color w:val="000000"/>
        </w:rPr>
        <w:fldChar w:fldCharType="begin"/>
      </w:r>
      <w:r w:rsidR="00344DCD">
        <w:rPr>
          <w:color w:val="000000"/>
        </w:rPr>
        <w:instrText xml:space="preserve"> ADDIN ZOTERO_ITEM CSL_CITATION {"citationID":"1O0VITX5","properties":{"formattedCitation":"(16)","plainCitation":"(16)","noteIndex":0},"citationItems":[{"id":766,"uris":["http://zotero.org/users/7110448/items/9NFMWNE3"],"itemData":{"id":766,"type":"article-journal","abstract":"Genetics play a prominent role in both determination of thyroid hormone and thyrotropin (TSH) concentrations, and susceptibility to autoimmune thyroid disease. Heritability studies have suggested that up to 67% of circulating thyroid hormone and TSH concentrations are genetically determined, suggesting a genetic basis for narrow intra-individual variation in levels, perhaps a genetic ‘set point’. The search for the genes responsible has revealed several candidates, including the genes for phosphodiesterase 8B, iodothyronine deiodinase 1, F-actin-capping protein subunit beta and the TSH receptor; however, each of these only contributes a small amount to the variability of hormone concentrations, suggesting that further genes and mechanisms of genetic influence are yet to be discovered. Some genes known to influence thyroid function, including iodothyronine deiodinase 2 and the TSH receptor, have been shown to influence a wide range of clinical and developmental phenotypes from bone health to neurological development and longevity; such observations will help us understand the complex action of thyroid hormones on individual tissues. Finally, autoimmune thyroid disease commonly runs in families, and the search for genes which increase susceptibility has identified several good candidates, particularly those involved in immune regulation and thyroid function. However, these genes alone account for only a small percentage of the current prevalence of these disorders. Although the advancement of genetic technology has led to many significant findings in the last decade or two, it is clear that we are only just beginning to understand the role of genetics in thyroid function and disease.","container-title":"The Clinical Biochemist Reviews","ISSN":"0159-8090","issue":"4","journalAbbreviation":"Clin Biochem Rev","note":"PMID: 22147956\nPMCID: PMC3219766","page":"165-175","source":"PubMed Central","title":"Genetics of Thyroid Function and Disease","volume":"32","author":[{"family":"Panicker","given":"Vijay"}],"issued":{"date-parts":[["2011",11]]}}}],"schema":"https://github.com/citation-style-language/schema/raw/master/csl-citation.json"} </w:instrText>
      </w:r>
      <w:r w:rsidR="00762446">
        <w:rPr>
          <w:color w:val="000000"/>
        </w:rPr>
        <w:fldChar w:fldCharType="separate"/>
      </w:r>
      <w:r w:rsidR="00762446" w:rsidRPr="00307A51">
        <w:rPr>
          <w:noProof/>
          <w:color w:val="000000"/>
        </w:rPr>
        <w:t>(16)</w:t>
      </w:r>
      <w:r w:rsidR="00762446">
        <w:rPr>
          <w:color w:val="000000"/>
        </w:rPr>
        <w:fldChar w:fldCharType="end"/>
      </w:r>
      <w:r w:rsidR="00A259C8" w:rsidRPr="00893D0C">
        <w:rPr>
          <w:color w:val="000000"/>
        </w:rPr>
        <w:t xml:space="preserve">, </w:t>
      </w:r>
      <w:r w:rsidR="00A259C8" w:rsidRPr="00307A51">
        <w:rPr>
          <w:color w:val="000000"/>
        </w:rPr>
        <w:t xml:space="preserve">rs225014 </w:t>
      </w:r>
      <w:r w:rsidR="00307A51">
        <w:rPr>
          <w:color w:val="000000"/>
          <w:lang w:val="en-US"/>
        </w:rPr>
        <w:fldChar w:fldCharType="begin"/>
      </w:r>
      <w:r w:rsidR="00344DCD">
        <w:rPr>
          <w:color w:val="000000"/>
        </w:rPr>
        <w:instrText xml:space="preserve"> ADDIN ZOTERO_ITEM CSL_CITATION {"citationID":"GJv9iUSQ","properties":{"formattedCitation":"(16)","plainCitation":"(16)","noteIndex":0},"citationItems":[{"id":766,"uris":["http://zotero.org/users/7110448/items/9NFMWNE3"],"itemData":{"id":766,"type":"article-journal","abstract":"Genetics play a prominent role in both determination of thyroid hormone and thyrotropin (TSH) concentrations, and susceptibility to autoimmune thyroid disease. Heritability studies have suggested that up to 67% of circulating thyroid hormone and TSH concentrations are genetically determined, suggesting a genetic basis for narrow intra-individual variation in levels, perhaps a genetic ‘set point’. The search for the genes responsible has revealed several candidates, including the genes for phosphodiesterase 8B, iodothyronine deiodinase 1, F-actin-capping protein subunit beta and the TSH receptor; however, each of these only contributes a small amount to the variability of hormone concentrations, suggesting that further genes and mechanisms of genetic influence are yet to be discovered. Some genes known to influence thyroid function, including iodothyronine deiodinase 2 and the TSH receptor, have been shown to influence a wide range of clinical and developmental phenotypes from bone health to neurological development and longevity; such observations will help us understand the complex action of thyroid hormones on individual tissues. Finally, autoimmune thyroid disease commonly runs in families, and the search for genes which increase susceptibility has identified several good candidates, particularly those involved in immune regulation and thyroid function. However, these genes alone account for only a small percentage of the current prevalence of these disorders. Although the advancement of genetic technology has led to many significant findings in the last decade or two, it is clear that we are only just beginning to understand the role of genetics in thyroid function and disease.","container-title":"The Clinical Biochemist Reviews","ISSN":"0159-8090","issue":"4","journalAbbreviation":"Clin Biochem Rev","note":"PMID: 22147956\nPMCID: PMC3219766","page":"165-175","source":"PubMed Central","title":"Genetics of Thyroid Function and Disease","volume":"32","author":[{"family":"Panicker","given":"Vijay"}],"issued":{"date-parts":[["2011",11]]}}}],"schema":"https://github.com/citation-style-language/schema/raw/master/csl-citation.json"} </w:instrText>
      </w:r>
      <w:r w:rsidR="00307A51">
        <w:rPr>
          <w:color w:val="000000"/>
          <w:lang w:val="en-US"/>
        </w:rPr>
        <w:fldChar w:fldCharType="separate"/>
      </w:r>
      <w:r w:rsidR="00307A51">
        <w:rPr>
          <w:noProof/>
          <w:color w:val="000000"/>
        </w:rPr>
        <w:t>(16)</w:t>
      </w:r>
      <w:r w:rsidR="00307A51">
        <w:rPr>
          <w:color w:val="000000"/>
          <w:lang w:val="en-US"/>
        </w:rPr>
        <w:fldChar w:fldCharType="end"/>
      </w:r>
      <w:r w:rsidR="00307A51">
        <w:rPr>
          <w:color w:val="000000"/>
          <w:lang w:val="en-US"/>
        </w:rPr>
        <w:t xml:space="preserve"> </w:t>
      </w:r>
      <w:r w:rsidR="00A259C8" w:rsidRPr="00307A51">
        <w:rPr>
          <w:color w:val="000000"/>
        </w:rPr>
        <w:t>e rs978055</w:t>
      </w:r>
      <w:r w:rsidR="00307A51">
        <w:rPr>
          <w:color w:val="000000"/>
        </w:rPr>
        <w:t xml:space="preserve"> </w:t>
      </w:r>
      <w:r w:rsidR="00307A51">
        <w:rPr>
          <w:color w:val="000000"/>
        </w:rPr>
        <w:fldChar w:fldCharType="begin"/>
      </w:r>
      <w:r w:rsidR="00344DCD">
        <w:rPr>
          <w:color w:val="000000"/>
        </w:rPr>
        <w:instrText xml:space="preserve"> ADDIN ZOTERO_ITEM CSL_CITATION {"citationID":"OmfR8rC6","properties":{"formattedCitation":"(18)","plainCitation":"(18)","noteIndex":0},"citationItems":[{"id":99,"uris":["http://zotero.org/users/7110448/items/3VVWNZR7"],"itemData":{"id":99,"type":"article-journal","container-title":"Nature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J."},{"family":"Medici","given":"Marco"}],"issued":{"date-parts":[["2018",12]]}}}],"schema":"https://github.com/citation-style-language/schema/raw/master/csl-citation.json"} </w:instrText>
      </w:r>
      <w:r w:rsidR="00307A51">
        <w:rPr>
          <w:color w:val="000000"/>
        </w:rPr>
        <w:fldChar w:fldCharType="separate"/>
      </w:r>
      <w:r w:rsidR="00307A51">
        <w:rPr>
          <w:noProof/>
          <w:color w:val="000000"/>
        </w:rPr>
        <w:t>(18)</w:t>
      </w:r>
      <w:r w:rsidR="00307A51">
        <w:rPr>
          <w:color w:val="000000"/>
        </w:rPr>
        <w:fldChar w:fldCharType="end"/>
      </w:r>
      <w:r w:rsidR="00A259C8" w:rsidRPr="00307A51">
        <w:rPr>
          <w:color w:val="000000"/>
        </w:rPr>
        <w:t xml:space="preserve"> (</w:t>
      </w:r>
      <w:r w:rsidR="00A259C8" w:rsidRPr="00893D0C">
        <w:rPr>
          <w:color w:val="000000"/>
        </w:rPr>
        <w:t xml:space="preserve">gene </w:t>
      </w:r>
      <w:r w:rsidR="00A259C8" w:rsidRPr="001B6824">
        <w:rPr>
          <w:i/>
          <w:iCs/>
          <w:color w:val="000000"/>
        </w:rPr>
        <w:t>DIO2</w:t>
      </w:r>
      <w:r w:rsidR="00A259C8" w:rsidRPr="00893D0C">
        <w:rPr>
          <w:color w:val="000000"/>
        </w:rPr>
        <w:t xml:space="preserve">); </w:t>
      </w:r>
      <w:r w:rsidR="00A259C8" w:rsidRPr="00307A51">
        <w:rPr>
          <w:color w:val="000000"/>
        </w:rPr>
        <w:t>rs223554</w:t>
      </w:r>
      <w:r w:rsidR="00307A51">
        <w:rPr>
          <w:color w:val="000000"/>
        </w:rPr>
        <w:t xml:space="preserve"> </w:t>
      </w:r>
      <w:r w:rsidR="00307A51">
        <w:rPr>
          <w:color w:val="000000"/>
        </w:rPr>
        <w:fldChar w:fldCharType="begin"/>
      </w:r>
      <w:r w:rsidR="004C5041">
        <w:rPr>
          <w:color w:val="000000"/>
        </w:rPr>
        <w:instrText xml:space="preserve"> ADDIN ZOTERO_ITEM CSL_CITATION {"citationID":"wc0sendX","properties":{"formattedCitation":"(101)","plainCitation":"(101)","noteIndex":0},"citationItems":[{"id":1783,"uris":["http://zotero.org/users/7110448/items/PNIK4HQZ"],"itemData":{"id":1783,"type":"article-journal","abstract":"OBJECTIVE: Common variants in PDE8B are associated with TSH but apparently without any effect on thyroid hormone levels that is difficult to explain. Furthermore, the stability of the association has not been examined in longitudinal studies or in patients on levothyroxine (l-T(4)).\nDESIGN: Totally, four cohorts were used (n=2557): the Busselton Health Study (thyroid function measured on two occasions), DEPTH, EFSOCH (selective cohorts), and WATTS (individuals on l-T(4)).\nMETHODS: Meta-analysis to clarify associations between the rs4704397 single nucleotide polymorphism in PDE8B on TSH, tri-iodothyronine (T(3)), and T(4) levels.\nRESULTS: Meta-analysis confirmed that genetic variation in PDE8B was associated with TSH (P=1.64 × 10(-10) 0.20 s.d./allele, 95% confidence interval (CI) 0.142, 0.267) and identified a possible new association with free T(4) (P=0.023, -0.07 s.d./allele, 95% CI -0.137, -0.01), no association was seen with free T(3) (P=0.218). The association between PDE8B and TSH was similar in 1981 (0.14 s.d./allele, 95% CI 0.04, 0.238) and 1994 (0.20 s.d./allele, 95% CI 0.102, 0.300) and even more consistent between PDE8B and free T(4) in 1981 (-0.068 s.d./allele, 95% CI -0.167, 0.031) and 1994 (-0.07 s.d./allele, 95% CI -0.170, 0.030). No associations were seen between PDE8B and thyroid hormone parameters in individuals on l-T(4).\nCONCLUSION: Common genetic variation in PDE8B is associated with reciprocal changes in TSH and free T(4) levels that are consistent over time and lost in individuals on l-T(4). These findings identify a possible genetic marker reflecting variation in thyroid hormone output that will be of value in epidemiological studies and provides additional evidence that PDE8B is involved in TSH signaling in the thyroid.","container-title":"European Journal of Endocrinology","DOI":"10.1530/EJE-10-0938","ISSN":"1479-683X","issue":"5","journalAbbreviation":"Eur J Endocrinol","language":"eng","note":"PMID: 21317282\nPMCID: PMC3080745","page":"773-780","source":"PubMed","title":"A meta-analysis of the associations between common variation in the PDE8B gene and thyroid hormone parameters, including assessment of longitudinal stability of associations over time and effect of thyroid hormone replacement","volume":"164","author":[{"family":"Taylor","given":"Peter N."},{"family":"Panicker","given":"Vijay"},{"family":"Sayers","given":"Adrian"},{"family":"Shields","given":"Beverley"},{"family":"Iqbal","given":"Ahmed"},{"family":"Bremner","given":"Alexandra P."},{"family":"Beilby","given":"John P."},{"family":"Leedman","given":"Peter J."},{"family":"Hattersley","given":"Andrew T."},{"family":"Vaidya","given":"Bijay"},{"family":"Frayling","given":"Timothy"},{"family":"Evans","given":"Jonathan"},{"family":"Tobias","given":"Jonathan H."},{"family":"Timpson","given":"Nicholas J."},{"family":"Walsh","given":"John P."},{"family":"Dayan","given":"Colin M."}],"issued":{"date-parts":[["2011",5]]}}}],"schema":"https://github.com/citation-style-language/schema/raw/master/csl-citation.json"} </w:instrText>
      </w:r>
      <w:r w:rsidR="00307A51">
        <w:rPr>
          <w:color w:val="000000"/>
        </w:rPr>
        <w:fldChar w:fldCharType="separate"/>
      </w:r>
      <w:r w:rsidR="004C5041">
        <w:rPr>
          <w:noProof/>
          <w:color w:val="000000"/>
        </w:rPr>
        <w:t>(101)</w:t>
      </w:r>
      <w:r w:rsidR="00307A51">
        <w:rPr>
          <w:color w:val="000000"/>
        </w:rPr>
        <w:fldChar w:fldCharType="end"/>
      </w:r>
      <w:r w:rsidR="00A259C8" w:rsidRPr="00307A51">
        <w:rPr>
          <w:color w:val="000000"/>
        </w:rPr>
        <w:t xml:space="preserve"> (gene </w:t>
      </w:r>
      <w:r w:rsidR="00A259C8" w:rsidRPr="00307A51">
        <w:rPr>
          <w:i/>
          <w:iCs/>
          <w:color w:val="000000"/>
        </w:rPr>
        <w:t>DIO1</w:t>
      </w:r>
      <w:r w:rsidR="00A259C8" w:rsidRPr="00307A51">
        <w:rPr>
          <w:color w:val="000000"/>
        </w:rPr>
        <w:t>); rs9356988</w:t>
      </w:r>
      <w:r w:rsidR="00307A51">
        <w:rPr>
          <w:color w:val="000000"/>
        </w:rPr>
        <w:t xml:space="preserve"> </w:t>
      </w:r>
      <w:r w:rsidR="001415AD">
        <w:rPr>
          <w:color w:val="000000"/>
        </w:rPr>
        <w:fldChar w:fldCharType="begin"/>
      </w:r>
      <w:r w:rsidR="00344DCD">
        <w:rPr>
          <w:color w:val="000000"/>
        </w:rPr>
        <w:instrText xml:space="preserve"> ADDIN ZOTERO_ITEM CSL_CITATION {"citationID":"f9POLMrZ","properties":{"formattedCitation":"(18)","plainCitation":"(18)","noteIndex":0},"citationItems":[{"id":99,"uris":["http://zotero.org/users/7110448/items/3VVWNZR7"],"itemData":{"id":99,"type":"article-journal","container-title":"Nature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J."},{"family":"Medici","given":"Marco"}],"issued":{"date-parts":[["2018",12]]}}}],"schema":"https://github.com/citation-style-language/schema/raw/master/csl-citation.json"} </w:instrText>
      </w:r>
      <w:r w:rsidR="001415AD">
        <w:rPr>
          <w:color w:val="000000"/>
        </w:rPr>
        <w:fldChar w:fldCharType="separate"/>
      </w:r>
      <w:r w:rsidR="001415AD">
        <w:rPr>
          <w:noProof/>
          <w:color w:val="000000"/>
        </w:rPr>
        <w:t>(18)</w:t>
      </w:r>
      <w:r w:rsidR="001415AD">
        <w:rPr>
          <w:color w:val="000000"/>
        </w:rPr>
        <w:fldChar w:fldCharType="end"/>
      </w:r>
      <w:r w:rsidR="00A259C8" w:rsidRPr="00307A51">
        <w:rPr>
          <w:color w:val="000000"/>
        </w:rPr>
        <w:t xml:space="preserve"> (gene </w:t>
      </w:r>
      <w:r w:rsidR="00A259C8" w:rsidRPr="00307A51">
        <w:rPr>
          <w:i/>
          <w:iCs/>
          <w:color w:val="000000"/>
        </w:rPr>
        <w:t>SCL17A4</w:t>
      </w:r>
      <w:r w:rsidR="00A259C8" w:rsidRPr="00307A51">
        <w:rPr>
          <w:color w:val="000000"/>
        </w:rPr>
        <w:t xml:space="preserve">); rs753760 </w:t>
      </w:r>
      <w:r w:rsidR="00512C0E">
        <w:rPr>
          <w:color w:val="000000"/>
        </w:rPr>
        <w:fldChar w:fldCharType="begin"/>
      </w:r>
      <w:r w:rsidR="004C3BF7">
        <w:rPr>
          <w:color w:val="000000"/>
        </w:rPr>
        <w:instrText xml:space="preserve"> ADDIN ZOTERO_ITEM CSL_CITATION {"citationID":"S7j0929j","properties":{"formattedCitation":"(73)","plainCitation":"(73)","noteIndex":0},"citationItems":[{"id":851,"uris":["http://zotero.org/users/7110448/items/K99LNL4S"],"itemData":{"id":851,"type":"article-journal","abstract":"Thyroid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P."},{"family":"Naitza","given":"Silvia"}],"issued":{"date-parts":[["2013"]]}}}],"schema":"https://github.com/citation-style-language/schema/raw/master/csl-citation.json"} </w:instrText>
      </w:r>
      <w:r w:rsidR="00512C0E">
        <w:rPr>
          <w:color w:val="000000"/>
        </w:rPr>
        <w:fldChar w:fldCharType="separate"/>
      </w:r>
      <w:r w:rsidR="000C277B">
        <w:rPr>
          <w:noProof/>
          <w:color w:val="000000"/>
        </w:rPr>
        <w:t>(73)</w:t>
      </w:r>
      <w:r w:rsidR="00512C0E">
        <w:rPr>
          <w:color w:val="000000"/>
        </w:rPr>
        <w:fldChar w:fldCharType="end"/>
      </w:r>
      <w:r w:rsidR="00307A51">
        <w:rPr>
          <w:color w:val="000000"/>
        </w:rPr>
        <w:t xml:space="preserve"> </w:t>
      </w:r>
      <w:r w:rsidR="00307A51" w:rsidRPr="00307A51">
        <w:rPr>
          <w:color w:val="000000"/>
        </w:rPr>
        <w:t xml:space="preserve">(gene </w:t>
      </w:r>
      <w:r w:rsidR="00307A51" w:rsidRPr="00307A51">
        <w:rPr>
          <w:i/>
          <w:iCs/>
          <w:color w:val="000000"/>
        </w:rPr>
        <w:t>PDE10A</w:t>
      </w:r>
      <w:r w:rsidR="00307A51" w:rsidRPr="00307A51">
        <w:rPr>
          <w:color w:val="000000"/>
        </w:rPr>
        <w:t>)</w:t>
      </w:r>
      <w:r w:rsidR="00A259C8" w:rsidRPr="00893D0C">
        <w:rPr>
          <w:color w:val="000000"/>
        </w:rPr>
        <w:t>; rs1571583</w:t>
      </w:r>
      <w:r w:rsidR="001415AD">
        <w:rPr>
          <w:color w:val="000000"/>
        </w:rPr>
        <w:t xml:space="preserve"> </w:t>
      </w:r>
      <w:r w:rsidR="001415AD">
        <w:rPr>
          <w:color w:val="000000"/>
        </w:rPr>
        <w:fldChar w:fldCharType="begin"/>
      </w:r>
      <w:r w:rsidR="004C5041">
        <w:rPr>
          <w:color w:val="000000"/>
        </w:rPr>
        <w:instrText xml:space="preserve"> ADDIN ZOTERO_ITEM CSL_CITATION {"citationID":"XRH8pk7I","properties":{"unsorted":true,"formattedCitation":"(73,102)","plainCitation":"(73,102)","noteIndex":0},"citationItems":[{"id":851,"uris":["http://zotero.org/users/7110448/items/K99LNL4S"],"itemData":{"id":851,"type":"article-journal","abstract":"Thyroid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P."},{"family":"Naitza","given":"Silvia"}],"issued":{"date-parts":[["2013"]]}},"label":"page"},{"id":1965,"uris":["http://zotero.org/users/7110448/items/2745FTZ6"],"itemData":{"id":1965,"type":"article-journal","abstract":"Normal thyroid function is essential for health, but its genetic architecture remains poorly understood. Here, for the heritable thyroid traits thyrotropin (TSH) and free thyroxine (FT4), we analyse whole-genome sequence data from the UK10K project (N=2,287). Using additional whole-genome sequence and deeply imputed data sets, we report meta-analysis results for common variants (MAF≥1%) associated with TSH and FT4 (N=16,335). For TSH, we identify a novel variant in SYN2 (MAF=23.5%, P=6.15 × 10(-9)) and a new independent variant in PDE8B (MAF=10.4%, P=5.94 × 10(-14)). For FT4, we report a low-frequency variant near B4GALT6/SLC25A52 (MAF=3.2%, P=1.27 × 10(-9)) tagging a rare TTR variant (MAF=0.4%, P=2.14 × 10(-11)). All common variants explain ≥20% of the variance in TSH and FT4. Analysis of rare variants (MAF&lt;1%) using sequence kernel association testing reveals a novel association with FT4 in NRG1. Our results demonstrate that increased coverage in whole-genome sequence association studies identifies novel variants associated with thyroid function.","container-title":"Nature Communications","DOI":"10.1038/ncomms6681","ISSN":"2041-1723","journalAbbreviation":"Nat Commun","language":"eng","note":"PMID: 25743335\nPMCID: PMC4366514","page":"5681","source":"PubMed","title":"Whole-genome sequence-based analysis of thyroid function","volume":"6","author":[{"family":"Taylor","given":"Peter N."},{"family":"Porcu","given":"Eleonora"},{"family":"Chew","given":"Shelby"},{"family":"Campbell","given":"Purdey J."},{"family":"Traglia","given":"Michela"},{"family":"Brown","given":"Suzanne J."},{"family":"Mullin","given":"Benjamin H."},{"family":"Shihab","given":"Hashem A."},{"family":"Min","given":"Josine"},{"family":"Walter","given":"Klaudia"},{"family":"Memari","given":"Yasin"},{"family":"Huang","given":"Jie"},{"family":"Barnes","given":"Michael R."},{"family":"Beilby","given":"John P."},{"family":"Charoen","given":"Pimphen"},{"family":"Danecek","given":"Petr"},{"family":"Dudbridge","given":"Frank"},{"family":"Forgetta","given":"Vincenzo"},{"family":"Greenwood","given":"Celia"},{"family":"Grundberg","given":"Elin"},{"family":"Johnson","given":"Andrew D."},{"family":"Hui","given":"Jennie"},{"family":"Lim","given":"Ee M."},{"family":"McCarthy","given":"Shane"},{"family":"Muddyman","given":"Dawn"},{"family":"Panicker","given":"Vijay"},{"family":"Perry","given":"John R. B."},{"family":"Bell","given":"Jordana T."},{"family":"Yuan","given":"Wei"},{"family":"Relton","given":"Caroline"},{"family":"Gaunt","given":"Tom"},{"family":"Schlessinger","given":"David"},{"family":"Abecasis","given":"Goncalo"},{"family":"Cucca","given":"Francesco"},{"family":"Surdulescu","given":"Gabriela L."},{"family":"Woltersdorf","given":"Wolfram"},{"family":"Zeggini","given":"Eleftheria"},{"family":"Zheng","given":"Hou-Feng"},{"family":"Toniolo","given":"Daniela"},{"family":"Dayan","given":"Colin M."},{"family":"Naitza","given":"Silvia"},{"family":"Walsh","given":"John P."},{"family":"Spector","given":"Tim"},{"family":"Davey Smith","given":"George"},{"family":"Durbin","given":"Richard"},{"family":"Richards","given":"J. Brent"},{"family":"Sanna","given":"Serena"},{"family":"Soranzo","given":"Nicole"},{"family":"Timpson","given":"Nicholas J."},{"family":"Wilson","given":"Scott G."},{"literal":"UK0K Consortium"}],"issued":{"date-parts":[["2015",3,6]]}},"label":"page"}],"schema":"https://github.com/citation-style-language/schema/raw/master/csl-citation.json"} </w:instrText>
      </w:r>
      <w:r w:rsidR="001415AD">
        <w:rPr>
          <w:color w:val="000000"/>
        </w:rPr>
        <w:fldChar w:fldCharType="separate"/>
      </w:r>
      <w:r w:rsidR="004C5041">
        <w:rPr>
          <w:noProof/>
          <w:color w:val="000000"/>
        </w:rPr>
        <w:t>(73,102)</w:t>
      </w:r>
      <w:r w:rsidR="001415AD">
        <w:rPr>
          <w:color w:val="000000"/>
        </w:rPr>
        <w:fldChar w:fldCharType="end"/>
      </w:r>
      <w:r w:rsidR="001415AD">
        <w:rPr>
          <w:color w:val="000000"/>
        </w:rPr>
        <w:t xml:space="preserve"> </w:t>
      </w:r>
      <w:r w:rsidR="00A259C8" w:rsidRPr="00893D0C">
        <w:rPr>
          <w:color w:val="000000"/>
        </w:rPr>
        <w:t xml:space="preserve">(gene </w:t>
      </w:r>
      <w:r w:rsidR="00A259C8" w:rsidRPr="001B6824">
        <w:rPr>
          <w:i/>
          <w:iCs/>
          <w:color w:val="000000"/>
        </w:rPr>
        <w:t>GLIS3</w:t>
      </w:r>
      <w:r w:rsidR="00A259C8" w:rsidRPr="00893D0C">
        <w:rPr>
          <w:color w:val="000000"/>
        </w:rPr>
        <w:t xml:space="preserve">) e rs7045138 </w:t>
      </w:r>
      <w:r w:rsidR="00512C0E">
        <w:rPr>
          <w:color w:val="000000"/>
        </w:rPr>
        <w:fldChar w:fldCharType="begin"/>
      </w:r>
      <w:r w:rsidR="00262059">
        <w:rPr>
          <w:color w:val="000000"/>
        </w:rPr>
        <w:instrText xml:space="preserve"> ADDIN ZOTERO_ITEM CSL_CITATION {"citationID":"HOnQ5Qs3","properties":{"unsorted":true,"formattedCitation":"(73,103,74)","plainCitation":"(73,103,74)","noteIndex":0},"citationItems":[{"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P."},{"family":"Naitza","given":"Silvia"}],"issued":{"date-parts":[["2013"]]}},"label":"page"},{"id":"XtcnOX9k/AI099sRM","uris":["http://zotero.org/users/7110448/items/YIBJYCH5"],"itemData":{"id":1674,"type":"webpage","title":"PLOS Genetics: A Meta-Analysis of Thyroid-Related Traits Reveals Novel Loci and Gender-Specific Differences in the Regulation of Thyroid Function","URL":"https://journals.plos.org/plosgenetics/article/figure?id=10.1371/journal.pgen.1003266.g002","accessed":{"date-parts":[["2021",12,26]]}},"label":"page"},{"id":"XtcnOX9k/eaPwSLvi","uris":["http://zotero.org/users/7110448/items/MZYY4UYP"],"itemData":{"id":1682,"type":"webpage","title":"Whole-genome sequence-based analysis of thyroid function | Nature Communications","URL":"https://www.nature.com/articles/ncomms6681","accessed":{"date-parts":[["2021",12,26]]}},"label":"page"}],"schema":"https://github.com/citation-style-language/schema/raw/master/csl-citation.json"} </w:instrText>
      </w:r>
      <w:r w:rsidR="00512C0E">
        <w:rPr>
          <w:color w:val="000000"/>
        </w:rPr>
        <w:fldChar w:fldCharType="separate"/>
      </w:r>
      <w:r w:rsidR="004C5041">
        <w:rPr>
          <w:noProof/>
          <w:color w:val="000000"/>
        </w:rPr>
        <w:t>(73,103,74)</w:t>
      </w:r>
      <w:r w:rsidR="00512C0E">
        <w:rPr>
          <w:color w:val="000000"/>
        </w:rPr>
        <w:fldChar w:fldCharType="end"/>
      </w:r>
      <w:r w:rsidR="00762446">
        <w:rPr>
          <w:color w:val="000000"/>
        </w:rPr>
        <w:t xml:space="preserve"> </w:t>
      </w:r>
      <w:r w:rsidR="00762446" w:rsidRPr="00893D0C">
        <w:rPr>
          <w:color w:val="000000"/>
        </w:rPr>
        <w:t xml:space="preserve">(gene </w:t>
      </w:r>
      <w:r w:rsidR="00762446" w:rsidRPr="001B6824">
        <w:rPr>
          <w:i/>
          <w:iCs/>
          <w:color w:val="000000"/>
        </w:rPr>
        <w:t>PTCSC2</w:t>
      </w:r>
      <w:r w:rsidR="00762446">
        <w:rPr>
          <w:color w:val="000000"/>
        </w:rPr>
        <w:t>).</w:t>
      </w:r>
      <w:r w:rsidR="00BB101A">
        <w:rPr>
          <w:color w:val="000000"/>
        </w:rPr>
        <w:t xml:space="preserve"> </w:t>
      </w:r>
      <w:r w:rsidR="00D5215B">
        <w:rPr>
          <w:color w:val="000000"/>
        </w:rPr>
        <w:t>A seguir</w:t>
      </w:r>
      <w:r w:rsidR="00BB101A">
        <w:rPr>
          <w:color w:val="000000"/>
        </w:rPr>
        <w:t xml:space="preserve">, </w:t>
      </w:r>
      <w:r w:rsidR="009210F5">
        <w:rPr>
          <w:color w:val="000000"/>
        </w:rPr>
        <w:t xml:space="preserve">o </w:t>
      </w:r>
      <w:r w:rsidR="00D5215B">
        <w:rPr>
          <w:color w:val="000000"/>
        </w:rPr>
        <w:t>Quadro 2</w:t>
      </w:r>
      <w:r w:rsidR="004A08B0">
        <w:rPr>
          <w:color w:val="000000"/>
        </w:rPr>
        <w:t xml:space="preserve"> </w:t>
      </w:r>
      <w:r w:rsidR="00BB101A">
        <w:rPr>
          <w:color w:val="000000"/>
        </w:rPr>
        <w:t xml:space="preserve">mostra os polimorfismos selecionados, </w:t>
      </w:r>
      <w:r w:rsidR="00D5215B">
        <w:rPr>
          <w:color w:val="000000"/>
        </w:rPr>
        <w:t xml:space="preserve">a </w:t>
      </w:r>
      <w:r w:rsidR="00BB101A">
        <w:rPr>
          <w:color w:val="000000"/>
        </w:rPr>
        <w:t xml:space="preserve">localização nos genes e </w:t>
      </w:r>
      <w:r w:rsidR="00D5215B">
        <w:rPr>
          <w:color w:val="000000"/>
        </w:rPr>
        <w:t xml:space="preserve">as </w:t>
      </w:r>
      <w:r w:rsidR="00BB101A">
        <w:rPr>
          <w:color w:val="000000"/>
        </w:rPr>
        <w:t xml:space="preserve">funções. </w:t>
      </w:r>
    </w:p>
    <w:p w14:paraId="0F92687C" w14:textId="77777777" w:rsidR="00544B4B" w:rsidRDefault="00544B4B" w:rsidP="008A3F4E">
      <w:pPr>
        <w:spacing w:line="360" w:lineRule="auto"/>
        <w:jc w:val="both"/>
        <w:rPr>
          <w:color w:val="000000"/>
        </w:rPr>
      </w:pPr>
    </w:p>
    <w:p w14:paraId="26438024" w14:textId="3CBFA963" w:rsidR="008A3F4E" w:rsidRPr="00083D5B" w:rsidRDefault="00BD1483" w:rsidP="008A3F4E">
      <w:pPr>
        <w:spacing w:line="360" w:lineRule="auto"/>
        <w:jc w:val="both"/>
        <w:rPr>
          <w:color w:val="000000"/>
        </w:rPr>
      </w:pPr>
      <w:r>
        <w:rPr>
          <w:b/>
          <w:bCs/>
          <w:color w:val="000000"/>
        </w:rPr>
        <w:t>Quadro 2</w:t>
      </w:r>
      <w:r w:rsidR="008A3F4E" w:rsidRPr="00083D5B">
        <w:rPr>
          <w:b/>
          <w:bCs/>
          <w:color w:val="000000"/>
        </w:rPr>
        <w:t>:</w:t>
      </w:r>
      <w:r w:rsidR="008A3F4E" w:rsidRPr="00083D5B">
        <w:rPr>
          <w:color w:val="000000"/>
        </w:rPr>
        <w:t xml:space="preserve"> Caracterização dos polimorfismos de nucleotídeo único</w:t>
      </w:r>
      <w:r w:rsidR="00147893" w:rsidRPr="00083D5B">
        <w:rPr>
          <w:color w:val="000000"/>
        </w:rPr>
        <w:t xml:space="preserve"> </w:t>
      </w:r>
      <w:r w:rsidR="009210F5">
        <w:rPr>
          <w:color w:val="000000"/>
        </w:rPr>
        <w:t>selecionados</w:t>
      </w:r>
    </w:p>
    <w:tbl>
      <w:tblPr>
        <w:tblStyle w:val="SimplesTabela2"/>
        <w:tblpPr w:leftFromText="141" w:rightFromText="141" w:vertAnchor="page" w:horzAnchor="margin" w:tblpY="6779"/>
        <w:tblW w:w="9317" w:type="dxa"/>
        <w:tblLook w:val="04A0" w:firstRow="1" w:lastRow="0" w:firstColumn="1" w:lastColumn="0" w:noHBand="0" w:noVBand="1"/>
      </w:tblPr>
      <w:tblGrid>
        <w:gridCol w:w="1295"/>
        <w:gridCol w:w="1728"/>
        <w:gridCol w:w="984"/>
        <w:gridCol w:w="1206"/>
        <w:gridCol w:w="828"/>
        <w:gridCol w:w="3276"/>
      </w:tblGrid>
      <w:tr w:rsidR="00FC1A41" w:rsidRPr="00544B4B" w14:paraId="3C7579DE" w14:textId="77777777" w:rsidTr="00FC1A41">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tcBorders>
            <w:noWrap/>
          </w:tcPr>
          <w:p w14:paraId="0BC8DB0B" w14:textId="77777777" w:rsidR="00FC1A41" w:rsidRPr="004170F8" w:rsidRDefault="00FC1A41" w:rsidP="00FC1A41">
            <w:pPr>
              <w:jc w:val="both"/>
              <w:rPr>
                <w:color w:val="000000" w:themeColor="text1"/>
                <w:sz w:val="20"/>
                <w:szCs w:val="20"/>
              </w:rPr>
            </w:pPr>
            <w:r w:rsidRPr="004170F8">
              <w:rPr>
                <w:color w:val="000000" w:themeColor="text1"/>
                <w:sz w:val="20"/>
                <w:szCs w:val="20"/>
              </w:rPr>
              <w:t>SNP</w:t>
            </w:r>
          </w:p>
        </w:tc>
        <w:tc>
          <w:tcPr>
            <w:tcW w:w="1728" w:type="dxa"/>
            <w:noWrap/>
          </w:tcPr>
          <w:p w14:paraId="3387DAE9" w14:textId="77777777" w:rsidR="00FC1A41" w:rsidRPr="004170F8" w:rsidRDefault="00FC1A41" w:rsidP="00FC1A41">
            <w:pPr>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4170F8">
              <w:rPr>
                <w:color w:val="000000" w:themeColor="text1"/>
                <w:sz w:val="20"/>
                <w:szCs w:val="20"/>
              </w:rPr>
              <w:t>CROMOSSOMO</w:t>
            </w:r>
          </w:p>
        </w:tc>
        <w:tc>
          <w:tcPr>
            <w:tcW w:w="984" w:type="dxa"/>
            <w:noWrap/>
          </w:tcPr>
          <w:p w14:paraId="7DE5F309" w14:textId="77777777" w:rsidR="00FC1A41" w:rsidRPr="004170F8" w:rsidRDefault="00FC1A41" w:rsidP="00FC1A41">
            <w:pPr>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170F8">
              <w:rPr>
                <w:color w:val="000000" w:themeColor="text1"/>
                <w:sz w:val="20"/>
                <w:szCs w:val="20"/>
              </w:rPr>
              <w:t>GENE</w:t>
            </w:r>
          </w:p>
        </w:tc>
        <w:tc>
          <w:tcPr>
            <w:tcW w:w="1206" w:type="dxa"/>
            <w:noWrap/>
          </w:tcPr>
          <w:p w14:paraId="79A98AAA" w14:textId="77777777" w:rsidR="00FC1A41" w:rsidRPr="004170F8" w:rsidRDefault="00FC1A41" w:rsidP="00FC1A41">
            <w:pPr>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170F8">
              <w:rPr>
                <w:color w:val="000000" w:themeColor="text1"/>
                <w:sz w:val="20"/>
                <w:szCs w:val="20"/>
              </w:rPr>
              <w:t>REGIÃO</w:t>
            </w:r>
          </w:p>
          <w:p w14:paraId="78399942" w14:textId="77777777" w:rsidR="00FC1A41" w:rsidRPr="004170F8" w:rsidRDefault="00FC1A41" w:rsidP="00FC1A41">
            <w:pPr>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170F8">
              <w:rPr>
                <w:color w:val="000000" w:themeColor="text1"/>
                <w:sz w:val="20"/>
                <w:szCs w:val="20"/>
              </w:rPr>
              <w:t>NO GENE</w:t>
            </w:r>
          </w:p>
        </w:tc>
        <w:tc>
          <w:tcPr>
            <w:tcW w:w="828" w:type="dxa"/>
            <w:noWrap/>
          </w:tcPr>
          <w:p w14:paraId="54B982C5" w14:textId="77777777" w:rsidR="00FC1A41" w:rsidRPr="004170F8" w:rsidRDefault="00FC1A41" w:rsidP="00FC1A41">
            <w:pPr>
              <w:jc w:val="both"/>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4170F8">
              <w:rPr>
                <w:color w:val="000000" w:themeColor="text1"/>
                <w:sz w:val="20"/>
                <w:szCs w:val="20"/>
              </w:rPr>
              <w:t>EIXO HHT</w:t>
            </w:r>
          </w:p>
        </w:tc>
        <w:tc>
          <w:tcPr>
            <w:tcW w:w="3276" w:type="dxa"/>
            <w:tcBorders>
              <w:right w:val="single" w:sz="4" w:space="0" w:color="auto"/>
            </w:tcBorders>
          </w:tcPr>
          <w:p w14:paraId="6BDA9AE7" w14:textId="77777777" w:rsidR="00FC1A41" w:rsidRPr="004170F8" w:rsidRDefault="00FC1A41" w:rsidP="00FC1A41">
            <w:pPr>
              <w:jc w:val="both"/>
              <w:cnfStyle w:val="100000000000" w:firstRow="1" w:lastRow="0" w:firstColumn="0" w:lastColumn="0" w:oddVBand="0" w:evenVBand="0" w:oddHBand="0" w:evenHBand="0" w:firstRowFirstColumn="0" w:firstRowLastColumn="0" w:lastRowFirstColumn="0" w:lastRowLastColumn="0"/>
              <w:rPr>
                <w:color w:val="000000"/>
                <w:sz w:val="20"/>
                <w:szCs w:val="20"/>
              </w:rPr>
            </w:pPr>
            <w:r w:rsidRPr="004170F8">
              <w:rPr>
                <w:color w:val="000000"/>
                <w:sz w:val="20"/>
                <w:szCs w:val="20"/>
              </w:rPr>
              <w:t>FUNÇÃO</w:t>
            </w:r>
          </w:p>
        </w:tc>
      </w:tr>
      <w:tr w:rsidR="00FC1A41" w:rsidRPr="00544B4B" w14:paraId="46969618" w14:textId="77777777" w:rsidTr="00FC1A41">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tcBorders>
            <w:noWrap/>
            <w:hideMark/>
          </w:tcPr>
          <w:p w14:paraId="01D10D7F" w14:textId="77777777" w:rsidR="00FC1A41" w:rsidRPr="004170F8" w:rsidRDefault="00FC1A41" w:rsidP="00FC1A41">
            <w:pPr>
              <w:jc w:val="both"/>
              <w:rPr>
                <w:color w:val="000000"/>
                <w:sz w:val="20"/>
                <w:szCs w:val="20"/>
              </w:rPr>
            </w:pPr>
            <w:r w:rsidRPr="004170F8">
              <w:rPr>
                <w:color w:val="000000" w:themeColor="text1"/>
                <w:sz w:val="20"/>
                <w:szCs w:val="20"/>
              </w:rPr>
              <w:t>rs753760</w:t>
            </w:r>
          </w:p>
        </w:tc>
        <w:tc>
          <w:tcPr>
            <w:tcW w:w="1728" w:type="dxa"/>
            <w:noWrap/>
            <w:hideMark/>
          </w:tcPr>
          <w:p w14:paraId="4BFF7E6D"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themeColor="text1"/>
                <w:sz w:val="20"/>
                <w:szCs w:val="20"/>
              </w:rPr>
              <w:t>6</w:t>
            </w:r>
          </w:p>
        </w:tc>
        <w:tc>
          <w:tcPr>
            <w:tcW w:w="984" w:type="dxa"/>
            <w:noWrap/>
            <w:hideMark/>
          </w:tcPr>
          <w:p w14:paraId="23A20BC5" w14:textId="77777777" w:rsidR="00FC1A41" w:rsidRPr="00C670A7" w:rsidRDefault="00FC1A41" w:rsidP="00FC1A41">
            <w:pPr>
              <w:jc w:val="both"/>
              <w:cnfStyle w:val="000000100000" w:firstRow="0" w:lastRow="0" w:firstColumn="0" w:lastColumn="0" w:oddVBand="0" w:evenVBand="0" w:oddHBand="1" w:evenHBand="0" w:firstRowFirstColumn="0" w:firstRowLastColumn="0" w:lastRowFirstColumn="0" w:lastRowLastColumn="0"/>
              <w:rPr>
                <w:i/>
                <w:iCs/>
                <w:color w:val="000000"/>
                <w:sz w:val="20"/>
                <w:szCs w:val="20"/>
              </w:rPr>
            </w:pPr>
            <w:r w:rsidRPr="00C670A7">
              <w:rPr>
                <w:i/>
                <w:iCs/>
                <w:color w:val="000000" w:themeColor="text1"/>
                <w:sz w:val="20"/>
                <w:szCs w:val="20"/>
              </w:rPr>
              <w:t>PDE10A</w:t>
            </w:r>
          </w:p>
        </w:tc>
        <w:tc>
          <w:tcPr>
            <w:tcW w:w="1206" w:type="dxa"/>
            <w:noWrap/>
            <w:hideMark/>
          </w:tcPr>
          <w:p w14:paraId="1AAA4BD3"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sidRPr="004170F8">
              <w:rPr>
                <w:color w:val="000000" w:themeColor="text1"/>
                <w:sz w:val="20"/>
                <w:szCs w:val="20"/>
              </w:rPr>
              <w:t>Íntron</w:t>
            </w:r>
            <w:proofErr w:type="spellEnd"/>
          </w:p>
        </w:tc>
        <w:tc>
          <w:tcPr>
            <w:tcW w:w="828" w:type="dxa"/>
            <w:noWrap/>
            <w:hideMark/>
          </w:tcPr>
          <w:p w14:paraId="122BAD87"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themeColor="text1"/>
                <w:sz w:val="20"/>
                <w:szCs w:val="20"/>
              </w:rPr>
              <w:t>TSH</w:t>
            </w:r>
          </w:p>
        </w:tc>
        <w:tc>
          <w:tcPr>
            <w:tcW w:w="3276" w:type="dxa"/>
            <w:tcBorders>
              <w:right w:val="single" w:sz="4" w:space="0" w:color="auto"/>
            </w:tcBorders>
            <w:hideMark/>
          </w:tcPr>
          <w:p w14:paraId="30ACDFA6"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sz w:val="20"/>
                <w:szCs w:val="20"/>
              </w:rPr>
              <w:t>Codifica uma fosfodiesterase de dupla especificidade abundante na tireoide, hidrolisa AMPc e GMPc.</w:t>
            </w:r>
          </w:p>
          <w:p w14:paraId="730CA158"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FC1A41" w:rsidRPr="00544B4B" w14:paraId="71F5A9DA" w14:textId="77777777" w:rsidTr="00FC1A41">
        <w:trPr>
          <w:trHeight w:val="654"/>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tcBorders>
            <w:noWrap/>
            <w:hideMark/>
          </w:tcPr>
          <w:p w14:paraId="1A08EA91" w14:textId="77777777" w:rsidR="00FC1A41" w:rsidRPr="004170F8" w:rsidRDefault="00FC1A41" w:rsidP="00FC1A41">
            <w:pPr>
              <w:jc w:val="both"/>
              <w:rPr>
                <w:color w:val="000000"/>
                <w:sz w:val="20"/>
                <w:szCs w:val="20"/>
              </w:rPr>
            </w:pPr>
            <w:r w:rsidRPr="004170F8">
              <w:rPr>
                <w:color w:val="000000" w:themeColor="text1"/>
                <w:sz w:val="20"/>
                <w:szCs w:val="20"/>
              </w:rPr>
              <w:t>rs</w:t>
            </w:r>
            <w:r w:rsidRPr="004170F8">
              <w:rPr>
                <w:color w:val="212121"/>
                <w:sz w:val="20"/>
                <w:szCs w:val="20"/>
              </w:rPr>
              <w:t>1571583</w:t>
            </w:r>
          </w:p>
        </w:tc>
        <w:tc>
          <w:tcPr>
            <w:tcW w:w="1728" w:type="dxa"/>
            <w:noWrap/>
            <w:hideMark/>
          </w:tcPr>
          <w:p w14:paraId="631B79F7"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170F8">
              <w:rPr>
                <w:color w:val="000000"/>
                <w:sz w:val="20"/>
                <w:szCs w:val="20"/>
              </w:rPr>
              <w:t>9p24.2</w:t>
            </w:r>
          </w:p>
        </w:tc>
        <w:tc>
          <w:tcPr>
            <w:tcW w:w="984" w:type="dxa"/>
            <w:noWrap/>
            <w:hideMark/>
          </w:tcPr>
          <w:p w14:paraId="3022E8E6" w14:textId="77777777" w:rsidR="00FC1A41" w:rsidRPr="00C670A7" w:rsidRDefault="00FC1A41" w:rsidP="00FC1A41">
            <w:pPr>
              <w:jc w:val="both"/>
              <w:cnfStyle w:val="000000000000" w:firstRow="0" w:lastRow="0" w:firstColumn="0" w:lastColumn="0" w:oddVBand="0" w:evenVBand="0" w:oddHBand="0" w:evenHBand="0" w:firstRowFirstColumn="0" w:firstRowLastColumn="0" w:lastRowFirstColumn="0" w:lastRowLastColumn="0"/>
              <w:rPr>
                <w:i/>
                <w:iCs/>
                <w:color w:val="000000"/>
                <w:sz w:val="20"/>
                <w:szCs w:val="20"/>
              </w:rPr>
            </w:pPr>
            <w:r w:rsidRPr="00C670A7">
              <w:rPr>
                <w:i/>
                <w:iCs/>
                <w:color w:val="000000"/>
                <w:sz w:val="20"/>
                <w:szCs w:val="20"/>
              </w:rPr>
              <w:t>GLIS3</w:t>
            </w:r>
          </w:p>
        </w:tc>
        <w:tc>
          <w:tcPr>
            <w:tcW w:w="1206" w:type="dxa"/>
            <w:noWrap/>
            <w:hideMark/>
          </w:tcPr>
          <w:p w14:paraId="464D962C"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roofErr w:type="spellStart"/>
            <w:r w:rsidRPr="004170F8">
              <w:rPr>
                <w:color w:val="000000"/>
                <w:sz w:val="20"/>
                <w:szCs w:val="20"/>
              </w:rPr>
              <w:t>Íntron</w:t>
            </w:r>
            <w:proofErr w:type="spellEnd"/>
            <w:r w:rsidRPr="004170F8">
              <w:rPr>
                <w:color w:val="000000"/>
                <w:sz w:val="20"/>
                <w:szCs w:val="20"/>
              </w:rPr>
              <w:t xml:space="preserve"> 2</w:t>
            </w:r>
          </w:p>
        </w:tc>
        <w:tc>
          <w:tcPr>
            <w:tcW w:w="828" w:type="dxa"/>
            <w:noWrap/>
            <w:hideMark/>
          </w:tcPr>
          <w:p w14:paraId="2986EEED"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170F8">
              <w:rPr>
                <w:color w:val="000000"/>
                <w:sz w:val="20"/>
                <w:szCs w:val="20"/>
              </w:rPr>
              <w:t>TSH</w:t>
            </w:r>
          </w:p>
        </w:tc>
        <w:tc>
          <w:tcPr>
            <w:tcW w:w="3276" w:type="dxa"/>
            <w:tcBorders>
              <w:right w:val="single" w:sz="4" w:space="0" w:color="auto"/>
            </w:tcBorders>
            <w:hideMark/>
          </w:tcPr>
          <w:p w14:paraId="3888C4E0"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170F8">
              <w:rPr>
                <w:color w:val="000000"/>
                <w:sz w:val="20"/>
                <w:szCs w:val="20"/>
              </w:rPr>
              <w:t>O GLIS3 funciona como repressor e ativador da transcrição e está especificamente envolvido no desenvolvimento da tireoide.</w:t>
            </w:r>
          </w:p>
        </w:tc>
      </w:tr>
      <w:tr w:rsidR="00FC1A41" w:rsidRPr="00544B4B" w14:paraId="130AF85F" w14:textId="77777777" w:rsidTr="00FC1A4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tcBorders>
            <w:noWrap/>
            <w:hideMark/>
          </w:tcPr>
          <w:p w14:paraId="78820049" w14:textId="77777777" w:rsidR="00FC1A41" w:rsidRPr="004170F8" w:rsidRDefault="00FC1A41" w:rsidP="00FC1A41">
            <w:pPr>
              <w:jc w:val="both"/>
              <w:rPr>
                <w:color w:val="000000"/>
                <w:sz w:val="20"/>
                <w:szCs w:val="20"/>
              </w:rPr>
            </w:pPr>
            <w:r w:rsidRPr="004170F8">
              <w:rPr>
                <w:color w:val="000000" w:themeColor="text1"/>
                <w:sz w:val="20"/>
                <w:szCs w:val="20"/>
              </w:rPr>
              <w:t>rs7045138</w:t>
            </w:r>
          </w:p>
        </w:tc>
        <w:tc>
          <w:tcPr>
            <w:tcW w:w="1728" w:type="dxa"/>
            <w:noWrap/>
            <w:hideMark/>
          </w:tcPr>
          <w:p w14:paraId="2E51E688"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themeColor="text1"/>
                <w:sz w:val="20"/>
                <w:szCs w:val="20"/>
              </w:rPr>
              <w:t>9</w:t>
            </w:r>
          </w:p>
        </w:tc>
        <w:tc>
          <w:tcPr>
            <w:tcW w:w="984" w:type="dxa"/>
            <w:noWrap/>
            <w:hideMark/>
          </w:tcPr>
          <w:p w14:paraId="1705CC8C" w14:textId="77777777" w:rsidR="00FC1A41" w:rsidRPr="00C670A7" w:rsidRDefault="00FC1A41" w:rsidP="00FC1A41">
            <w:pPr>
              <w:jc w:val="both"/>
              <w:cnfStyle w:val="000000100000" w:firstRow="0" w:lastRow="0" w:firstColumn="0" w:lastColumn="0" w:oddVBand="0" w:evenVBand="0" w:oddHBand="1" w:evenHBand="0" w:firstRowFirstColumn="0" w:firstRowLastColumn="0" w:lastRowFirstColumn="0" w:lastRowLastColumn="0"/>
              <w:rPr>
                <w:i/>
                <w:iCs/>
                <w:color w:val="000000"/>
                <w:sz w:val="20"/>
                <w:szCs w:val="20"/>
              </w:rPr>
            </w:pPr>
            <w:r w:rsidRPr="00C670A7">
              <w:rPr>
                <w:i/>
                <w:iCs/>
                <w:sz w:val="20"/>
                <w:szCs w:val="20"/>
              </w:rPr>
              <w:t>PTCSC2</w:t>
            </w:r>
          </w:p>
        </w:tc>
        <w:tc>
          <w:tcPr>
            <w:tcW w:w="1206" w:type="dxa"/>
            <w:noWrap/>
            <w:hideMark/>
          </w:tcPr>
          <w:p w14:paraId="5484C1DE"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Pr>
                <w:color w:val="000000" w:themeColor="text1"/>
                <w:sz w:val="20"/>
                <w:szCs w:val="20"/>
              </w:rPr>
              <w:t>Íntron</w:t>
            </w:r>
            <w:proofErr w:type="spellEnd"/>
          </w:p>
        </w:tc>
        <w:tc>
          <w:tcPr>
            <w:tcW w:w="828" w:type="dxa"/>
            <w:noWrap/>
            <w:hideMark/>
          </w:tcPr>
          <w:p w14:paraId="040E4588"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themeColor="text1"/>
                <w:sz w:val="20"/>
                <w:szCs w:val="20"/>
              </w:rPr>
              <w:t>T4l</w:t>
            </w:r>
          </w:p>
        </w:tc>
        <w:tc>
          <w:tcPr>
            <w:tcW w:w="3276" w:type="dxa"/>
            <w:tcBorders>
              <w:right w:val="single" w:sz="4" w:space="0" w:color="auto"/>
            </w:tcBorders>
            <w:noWrap/>
            <w:hideMark/>
          </w:tcPr>
          <w:p w14:paraId="328E2AC1"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sz w:val="20"/>
                <w:szCs w:val="20"/>
              </w:rPr>
              <w:t>Codifica fator de transcrição envolvido na morfogênese da tireoide</w:t>
            </w:r>
            <w:r>
              <w:rPr>
                <w:color w:val="000000"/>
                <w:sz w:val="20"/>
                <w:szCs w:val="20"/>
              </w:rPr>
              <w:t xml:space="preserve"> (FOXE1)</w:t>
            </w:r>
          </w:p>
        </w:tc>
      </w:tr>
      <w:tr w:rsidR="00FC1A41" w:rsidRPr="00544B4B" w14:paraId="628FA06A" w14:textId="77777777" w:rsidTr="00FC1A41">
        <w:trPr>
          <w:trHeight w:val="294"/>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tcBorders>
            <w:noWrap/>
            <w:hideMark/>
          </w:tcPr>
          <w:p w14:paraId="26E70837" w14:textId="77777777" w:rsidR="00FC1A41" w:rsidRPr="004170F8" w:rsidRDefault="00FC1A41" w:rsidP="00FC1A41">
            <w:pPr>
              <w:jc w:val="both"/>
              <w:rPr>
                <w:color w:val="000000"/>
                <w:sz w:val="20"/>
                <w:szCs w:val="20"/>
              </w:rPr>
            </w:pPr>
            <w:r w:rsidRPr="004170F8">
              <w:rPr>
                <w:color w:val="000000" w:themeColor="text1"/>
                <w:sz w:val="20"/>
                <w:szCs w:val="20"/>
              </w:rPr>
              <w:t>rs2235544</w:t>
            </w:r>
          </w:p>
        </w:tc>
        <w:tc>
          <w:tcPr>
            <w:tcW w:w="1728" w:type="dxa"/>
            <w:noWrap/>
            <w:hideMark/>
          </w:tcPr>
          <w:p w14:paraId="0832E633"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170F8">
              <w:rPr>
                <w:color w:val="000000" w:themeColor="text1"/>
                <w:sz w:val="20"/>
                <w:szCs w:val="20"/>
              </w:rPr>
              <w:t>1p32</w:t>
            </w:r>
          </w:p>
        </w:tc>
        <w:tc>
          <w:tcPr>
            <w:tcW w:w="984" w:type="dxa"/>
            <w:noWrap/>
            <w:hideMark/>
          </w:tcPr>
          <w:p w14:paraId="23B5D931" w14:textId="77777777" w:rsidR="00FC1A41" w:rsidRPr="00C670A7" w:rsidRDefault="00FC1A41" w:rsidP="00FC1A41">
            <w:pPr>
              <w:jc w:val="both"/>
              <w:cnfStyle w:val="000000000000" w:firstRow="0" w:lastRow="0" w:firstColumn="0" w:lastColumn="0" w:oddVBand="0" w:evenVBand="0" w:oddHBand="0" w:evenHBand="0" w:firstRowFirstColumn="0" w:firstRowLastColumn="0" w:lastRowFirstColumn="0" w:lastRowLastColumn="0"/>
              <w:rPr>
                <w:i/>
                <w:iCs/>
                <w:color w:val="000000"/>
                <w:sz w:val="20"/>
                <w:szCs w:val="20"/>
              </w:rPr>
            </w:pPr>
            <w:r w:rsidRPr="00C670A7">
              <w:rPr>
                <w:i/>
                <w:iCs/>
                <w:color w:val="000000" w:themeColor="text1"/>
                <w:sz w:val="20"/>
                <w:szCs w:val="20"/>
              </w:rPr>
              <w:t>DIO1</w:t>
            </w:r>
          </w:p>
        </w:tc>
        <w:tc>
          <w:tcPr>
            <w:tcW w:w="1206" w:type="dxa"/>
            <w:noWrap/>
            <w:hideMark/>
          </w:tcPr>
          <w:p w14:paraId="1259FC27"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roofErr w:type="spellStart"/>
            <w:r w:rsidRPr="004170F8">
              <w:rPr>
                <w:color w:val="000000" w:themeColor="text1"/>
                <w:sz w:val="20"/>
                <w:szCs w:val="20"/>
              </w:rPr>
              <w:t>Intron</w:t>
            </w:r>
            <w:proofErr w:type="spellEnd"/>
            <w:r w:rsidRPr="004170F8">
              <w:rPr>
                <w:color w:val="000000" w:themeColor="text1"/>
                <w:sz w:val="20"/>
                <w:szCs w:val="20"/>
              </w:rPr>
              <w:t xml:space="preserve"> 3</w:t>
            </w:r>
          </w:p>
        </w:tc>
        <w:tc>
          <w:tcPr>
            <w:tcW w:w="828" w:type="dxa"/>
            <w:noWrap/>
            <w:hideMark/>
          </w:tcPr>
          <w:p w14:paraId="212B255C"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170F8">
              <w:rPr>
                <w:color w:val="000000" w:themeColor="text1"/>
                <w:sz w:val="20"/>
                <w:szCs w:val="20"/>
              </w:rPr>
              <w:t>T4l</w:t>
            </w:r>
          </w:p>
        </w:tc>
        <w:tc>
          <w:tcPr>
            <w:tcW w:w="3276" w:type="dxa"/>
            <w:tcBorders>
              <w:right w:val="single" w:sz="4" w:space="0" w:color="auto"/>
            </w:tcBorders>
            <w:noWrap/>
            <w:hideMark/>
          </w:tcPr>
          <w:p w14:paraId="0F44EEF3"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170F8">
              <w:rPr>
                <w:color w:val="000000" w:themeColor="text1"/>
                <w:sz w:val="20"/>
                <w:szCs w:val="20"/>
              </w:rPr>
              <w:t>Conversão de T4 em T3 e T3r em T2</w:t>
            </w:r>
          </w:p>
        </w:tc>
      </w:tr>
      <w:tr w:rsidR="00FC1A41" w:rsidRPr="00544B4B" w14:paraId="1529033F" w14:textId="77777777" w:rsidTr="00FC1A4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tcBorders>
            <w:noWrap/>
            <w:hideMark/>
          </w:tcPr>
          <w:p w14:paraId="3B09EEEE" w14:textId="77777777" w:rsidR="00FC1A41" w:rsidRPr="004170F8" w:rsidRDefault="00FC1A41" w:rsidP="00FC1A41">
            <w:pPr>
              <w:jc w:val="both"/>
              <w:rPr>
                <w:color w:val="000000"/>
                <w:sz w:val="20"/>
                <w:szCs w:val="20"/>
              </w:rPr>
            </w:pPr>
            <w:r w:rsidRPr="004170F8">
              <w:rPr>
                <w:color w:val="000000" w:themeColor="text1"/>
                <w:sz w:val="20"/>
                <w:szCs w:val="20"/>
              </w:rPr>
              <w:t>rs978035</w:t>
            </w:r>
          </w:p>
        </w:tc>
        <w:tc>
          <w:tcPr>
            <w:tcW w:w="1728" w:type="dxa"/>
            <w:noWrap/>
            <w:hideMark/>
          </w:tcPr>
          <w:p w14:paraId="071FF3EF"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themeColor="text1"/>
                <w:sz w:val="20"/>
                <w:szCs w:val="20"/>
              </w:rPr>
              <w:t>14q32</w:t>
            </w:r>
          </w:p>
        </w:tc>
        <w:tc>
          <w:tcPr>
            <w:tcW w:w="984" w:type="dxa"/>
            <w:noWrap/>
            <w:hideMark/>
          </w:tcPr>
          <w:p w14:paraId="6FDDD8A2" w14:textId="77777777" w:rsidR="00FC1A41" w:rsidRPr="00C670A7" w:rsidRDefault="00FC1A41" w:rsidP="00FC1A41">
            <w:pPr>
              <w:jc w:val="both"/>
              <w:cnfStyle w:val="000000100000" w:firstRow="0" w:lastRow="0" w:firstColumn="0" w:lastColumn="0" w:oddVBand="0" w:evenVBand="0" w:oddHBand="1" w:evenHBand="0" w:firstRowFirstColumn="0" w:firstRowLastColumn="0" w:lastRowFirstColumn="0" w:lastRowLastColumn="0"/>
              <w:rPr>
                <w:i/>
                <w:iCs/>
                <w:color w:val="000000"/>
                <w:sz w:val="20"/>
                <w:szCs w:val="20"/>
              </w:rPr>
            </w:pPr>
            <w:r w:rsidRPr="00C670A7">
              <w:rPr>
                <w:i/>
                <w:iCs/>
                <w:color w:val="000000" w:themeColor="text1"/>
                <w:sz w:val="20"/>
                <w:szCs w:val="20"/>
              </w:rPr>
              <w:t>DIO2</w:t>
            </w:r>
          </w:p>
        </w:tc>
        <w:tc>
          <w:tcPr>
            <w:tcW w:w="1206" w:type="dxa"/>
            <w:noWrap/>
            <w:hideMark/>
          </w:tcPr>
          <w:p w14:paraId="2CCCC3A0"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sidRPr="004170F8">
              <w:rPr>
                <w:color w:val="000000" w:themeColor="text1"/>
                <w:sz w:val="20"/>
                <w:szCs w:val="20"/>
              </w:rPr>
              <w:t>Íntron</w:t>
            </w:r>
            <w:proofErr w:type="spellEnd"/>
          </w:p>
        </w:tc>
        <w:tc>
          <w:tcPr>
            <w:tcW w:w="828" w:type="dxa"/>
            <w:noWrap/>
            <w:hideMark/>
          </w:tcPr>
          <w:p w14:paraId="4679A5DE"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themeColor="text1"/>
                <w:sz w:val="20"/>
                <w:szCs w:val="20"/>
              </w:rPr>
              <w:t>T4l</w:t>
            </w:r>
          </w:p>
        </w:tc>
        <w:tc>
          <w:tcPr>
            <w:tcW w:w="3276" w:type="dxa"/>
            <w:tcBorders>
              <w:right w:val="single" w:sz="4" w:space="0" w:color="auto"/>
            </w:tcBorders>
            <w:noWrap/>
            <w:hideMark/>
          </w:tcPr>
          <w:p w14:paraId="43DD2032"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themeColor="text1"/>
                <w:sz w:val="20"/>
                <w:szCs w:val="20"/>
              </w:rPr>
              <w:t>Conversão de T4 em T3 e T3r em T2</w:t>
            </w:r>
          </w:p>
        </w:tc>
      </w:tr>
      <w:tr w:rsidR="00FC1A41" w:rsidRPr="00544B4B" w14:paraId="5F8426F4" w14:textId="77777777" w:rsidTr="00FC1A41">
        <w:trPr>
          <w:trHeight w:val="294"/>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tcBorders>
            <w:noWrap/>
            <w:hideMark/>
          </w:tcPr>
          <w:p w14:paraId="616E3CA2" w14:textId="77777777" w:rsidR="00FC1A41" w:rsidRPr="004170F8" w:rsidRDefault="00FC1A41" w:rsidP="00FC1A41">
            <w:pPr>
              <w:jc w:val="both"/>
              <w:rPr>
                <w:color w:val="000000"/>
                <w:sz w:val="20"/>
                <w:szCs w:val="20"/>
              </w:rPr>
            </w:pPr>
            <w:r w:rsidRPr="004170F8">
              <w:rPr>
                <w:color w:val="000000" w:themeColor="text1"/>
                <w:sz w:val="20"/>
                <w:szCs w:val="20"/>
              </w:rPr>
              <w:t>rs12885300</w:t>
            </w:r>
          </w:p>
        </w:tc>
        <w:tc>
          <w:tcPr>
            <w:tcW w:w="1728" w:type="dxa"/>
            <w:noWrap/>
            <w:hideMark/>
          </w:tcPr>
          <w:p w14:paraId="5D190E42"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170F8">
              <w:rPr>
                <w:color w:val="000000" w:themeColor="text1"/>
                <w:sz w:val="20"/>
                <w:szCs w:val="20"/>
              </w:rPr>
              <w:t>14q32</w:t>
            </w:r>
          </w:p>
        </w:tc>
        <w:tc>
          <w:tcPr>
            <w:tcW w:w="984" w:type="dxa"/>
            <w:noWrap/>
            <w:hideMark/>
          </w:tcPr>
          <w:p w14:paraId="2544DA09" w14:textId="77777777" w:rsidR="00FC1A41" w:rsidRPr="00C670A7" w:rsidRDefault="00FC1A41" w:rsidP="00FC1A41">
            <w:pPr>
              <w:jc w:val="both"/>
              <w:cnfStyle w:val="000000000000" w:firstRow="0" w:lastRow="0" w:firstColumn="0" w:lastColumn="0" w:oddVBand="0" w:evenVBand="0" w:oddHBand="0" w:evenHBand="0" w:firstRowFirstColumn="0" w:firstRowLastColumn="0" w:lastRowFirstColumn="0" w:lastRowLastColumn="0"/>
              <w:rPr>
                <w:i/>
                <w:iCs/>
                <w:color w:val="000000"/>
                <w:sz w:val="20"/>
                <w:szCs w:val="20"/>
              </w:rPr>
            </w:pPr>
            <w:r w:rsidRPr="00C670A7">
              <w:rPr>
                <w:i/>
                <w:iCs/>
                <w:color w:val="000000" w:themeColor="text1"/>
                <w:sz w:val="20"/>
                <w:szCs w:val="20"/>
              </w:rPr>
              <w:t>DIO2</w:t>
            </w:r>
          </w:p>
        </w:tc>
        <w:tc>
          <w:tcPr>
            <w:tcW w:w="1206" w:type="dxa"/>
            <w:noWrap/>
            <w:hideMark/>
          </w:tcPr>
          <w:p w14:paraId="5D6D5FDD"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170F8">
              <w:rPr>
                <w:color w:val="000000" w:themeColor="text1"/>
                <w:sz w:val="20"/>
                <w:szCs w:val="20"/>
              </w:rPr>
              <w:t>5’UTR</w:t>
            </w:r>
          </w:p>
        </w:tc>
        <w:tc>
          <w:tcPr>
            <w:tcW w:w="828" w:type="dxa"/>
            <w:noWrap/>
            <w:hideMark/>
          </w:tcPr>
          <w:p w14:paraId="48037DE5"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170F8">
              <w:rPr>
                <w:color w:val="000000" w:themeColor="text1"/>
                <w:sz w:val="20"/>
                <w:szCs w:val="20"/>
              </w:rPr>
              <w:t>T3l:T4l</w:t>
            </w:r>
          </w:p>
        </w:tc>
        <w:tc>
          <w:tcPr>
            <w:tcW w:w="3276" w:type="dxa"/>
            <w:tcBorders>
              <w:right w:val="single" w:sz="4" w:space="0" w:color="auto"/>
            </w:tcBorders>
            <w:noWrap/>
            <w:hideMark/>
          </w:tcPr>
          <w:p w14:paraId="4901A783"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170F8">
              <w:rPr>
                <w:color w:val="000000" w:themeColor="text1"/>
                <w:sz w:val="20"/>
                <w:szCs w:val="20"/>
              </w:rPr>
              <w:t>Conversão de T4 em T3 e T3r em T2</w:t>
            </w:r>
          </w:p>
        </w:tc>
      </w:tr>
      <w:tr w:rsidR="00FC1A41" w:rsidRPr="00544B4B" w14:paraId="5A1100E4" w14:textId="77777777" w:rsidTr="00FC1A41">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tcBorders>
            <w:noWrap/>
            <w:hideMark/>
          </w:tcPr>
          <w:p w14:paraId="6BD73ABA" w14:textId="77777777" w:rsidR="00FC1A41" w:rsidRPr="004170F8" w:rsidRDefault="00FC1A41" w:rsidP="00FC1A41">
            <w:pPr>
              <w:jc w:val="both"/>
              <w:rPr>
                <w:color w:val="000000"/>
                <w:sz w:val="20"/>
                <w:szCs w:val="20"/>
              </w:rPr>
            </w:pPr>
            <w:r w:rsidRPr="004170F8">
              <w:rPr>
                <w:color w:val="000000" w:themeColor="text1"/>
                <w:sz w:val="20"/>
                <w:szCs w:val="20"/>
              </w:rPr>
              <w:t>rs225014</w:t>
            </w:r>
          </w:p>
        </w:tc>
        <w:tc>
          <w:tcPr>
            <w:tcW w:w="1728" w:type="dxa"/>
            <w:noWrap/>
            <w:hideMark/>
          </w:tcPr>
          <w:p w14:paraId="3AF4D47A"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themeColor="text1"/>
                <w:sz w:val="20"/>
                <w:szCs w:val="20"/>
              </w:rPr>
              <w:t>14q32</w:t>
            </w:r>
          </w:p>
        </w:tc>
        <w:tc>
          <w:tcPr>
            <w:tcW w:w="984" w:type="dxa"/>
            <w:noWrap/>
            <w:hideMark/>
          </w:tcPr>
          <w:p w14:paraId="5D881D2B" w14:textId="77777777" w:rsidR="00FC1A41" w:rsidRPr="00C670A7" w:rsidRDefault="00FC1A41" w:rsidP="00FC1A41">
            <w:pPr>
              <w:jc w:val="both"/>
              <w:cnfStyle w:val="000000100000" w:firstRow="0" w:lastRow="0" w:firstColumn="0" w:lastColumn="0" w:oddVBand="0" w:evenVBand="0" w:oddHBand="1" w:evenHBand="0" w:firstRowFirstColumn="0" w:firstRowLastColumn="0" w:lastRowFirstColumn="0" w:lastRowLastColumn="0"/>
              <w:rPr>
                <w:i/>
                <w:iCs/>
                <w:color w:val="000000"/>
                <w:sz w:val="20"/>
                <w:szCs w:val="20"/>
              </w:rPr>
            </w:pPr>
            <w:r w:rsidRPr="00C670A7">
              <w:rPr>
                <w:i/>
                <w:iCs/>
                <w:color w:val="000000" w:themeColor="text1"/>
                <w:sz w:val="20"/>
                <w:szCs w:val="20"/>
              </w:rPr>
              <w:t>DIO2</w:t>
            </w:r>
          </w:p>
        </w:tc>
        <w:tc>
          <w:tcPr>
            <w:tcW w:w="1206" w:type="dxa"/>
            <w:noWrap/>
            <w:hideMark/>
          </w:tcPr>
          <w:p w14:paraId="49D3D416"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themeColor="text1"/>
                <w:sz w:val="20"/>
                <w:szCs w:val="20"/>
              </w:rPr>
              <w:t>Exon 2</w:t>
            </w:r>
          </w:p>
        </w:tc>
        <w:tc>
          <w:tcPr>
            <w:tcW w:w="828" w:type="dxa"/>
            <w:noWrap/>
            <w:hideMark/>
          </w:tcPr>
          <w:p w14:paraId="5E7C252F"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3276" w:type="dxa"/>
            <w:tcBorders>
              <w:right w:val="single" w:sz="4" w:space="0" w:color="auto"/>
            </w:tcBorders>
            <w:noWrap/>
            <w:hideMark/>
          </w:tcPr>
          <w:p w14:paraId="5BAB6A11" w14:textId="77777777" w:rsidR="00FC1A41" w:rsidRPr="004170F8" w:rsidRDefault="00FC1A41" w:rsidP="00FC1A41">
            <w:pPr>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170F8">
              <w:rPr>
                <w:color w:val="000000" w:themeColor="text1"/>
                <w:sz w:val="20"/>
                <w:szCs w:val="20"/>
              </w:rPr>
              <w:t>Conversão de T4 em T3 e T3r em T2</w:t>
            </w:r>
          </w:p>
        </w:tc>
      </w:tr>
      <w:tr w:rsidR="00FC1A41" w:rsidRPr="00544B4B" w14:paraId="75519C68" w14:textId="77777777" w:rsidTr="00FC1A41">
        <w:trPr>
          <w:trHeight w:val="294"/>
        </w:trPr>
        <w:tc>
          <w:tcPr>
            <w:cnfStyle w:val="001000000000" w:firstRow="0" w:lastRow="0" w:firstColumn="1" w:lastColumn="0" w:oddVBand="0" w:evenVBand="0" w:oddHBand="0" w:evenHBand="0" w:firstRowFirstColumn="0" w:firstRowLastColumn="0" w:lastRowFirstColumn="0" w:lastRowLastColumn="0"/>
            <w:tcW w:w="1295" w:type="dxa"/>
            <w:tcBorders>
              <w:left w:val="single" w:sz="4" w:space="0" w:color="auto"/>
            </w:tcBorders>
            <w:noWrap/>
          </w:tcPr>
          <w:p w14:paraId="595C0830" w14:textId="77777777" w:rsidR="00FC1A41" w:rsidRPr="004170F8" w:rsidRDefault="00FC1A41" w:rsidP="00FC1A41">
            <w:pPr>
              <w:jc w:val="both"/>
              <w:rPr>
                <w:color w:val="000000" w:themeColor="text1"/>
                <w:sz w:val="20"/>
                <w:szCs w:val="20"/>
              </w:rPr>
            </w:pPr>
            <w:r w:rsidRPr="004170F8">
              <w:rPr>
                <w:color w:val="000000"/>
                <w:sz w:val="20"/>
                <w:szCs w:val="20"/>
              </w:rPr>
              <w:t>rs9356988</w:t>
            </w:r>
          </w:p>
        </w:tc>
        <w:tc>
          <w:tcPr>
            <w:tcW w:w="1728" w:type="dxa"/>
            <w:noWrap/>
          </w:tcPr>
          <w:p w14:paraId="3AB2FFB7"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4170F8">
              <w:rPr>
                <w:color w:val="222222"/>
                <w:sz w:val="20"/>
                <w:szCs w:val="20"/>
              </w:rPr>
              <w:t xml:space="preserve">6p22.2 </w:t>
            </w:r>
            <w:r w:rsidRPr="004170F8">
              <w:rPr>
                <w:color w:val="000000"/>
                <w:sz w:val="20"/>
                <w:szCs w:val="20"/>
              </w:rPr>
              <w:t xml:space="preserve">    </w:t>
            </w:r>
          </w:p>
        </w:tc>
        <w:tc>
          <w:tcPr>
            <w:tcW w:w="984" w:type="dxa"/>
            <w:noWrap/>
          </w:tcPr>
          <w:p w14:paraId="0008E700" w14:textId="77777777" w:rsidR="00FC1A41" w:rsidRPr="00C670A7" w:rsidRDefault="00FC1A41" w:rsidP="00FC1A41">
            <w:pPr>
              <w:jc w:val="both"/>
              <w:cnfStyle w:val="000000000000" w:firstRow="0" w:lastRow="0" w:firstColumn="0" w:lastColumn="0" w:oddVBand="0" w:evenVBand="0" w:oddHBand="0" w:evenHBand="0" w:firstRowFirstColumn="0" w:firstRowLastColumn="0" w:lastRowFirstColumn="0" w:lastRowLastColumn="0"/>
              <w:rPr>
                <w:i/>
                <w:iCs/>
                <w:color w:val="000000" w:themeColor="text1"/>
                <w:sz w:val="20"/>
                <w:szCs w:val="20"/>
              </w:rPr>
            </w:pPr>
            <w:r w:rsidRPr="00C670A7">
              <w:rPr>
                <w:i/>
                <w:iCs/>
                <w:color w:val="000000"/>
                <w:sz w:val="20"/>
                <w:szCs w:val="20"/>
              </w:rPr>
              <w:t>SLC17A4</w:t>
            </w:r>
          </w:p>
        </w:tc>
        <w:tc>
          <w:tcPr>
            <w:tcW w:w="1206" w:type="dxa"/>
            <w:noWrap/>
          </w:tcPr>
          <w:p w14:paraId="7092A478"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828" w:type="dxa"/>
            <w:noWrap/>
          </w:tcPr>
          <w:p w14:paraId="44BC75A6"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3276" w:type="dxa"/>
            <w:tcBorders>
              <w:right w:val="single" w:sz="4" w:space="0" w:color="auto"/>
            </w:tcBorders>
            <w:noWrap/>
          </w:tcPr>
          <w:p w14:paraId="0CFA31B5" w14:textId="77777777" w:rsidR="00FC1A41" w:rsidRPr="004170F8" w:rsidRDefault="00FC1A41" w:rsidP="00FC1A41">
            <w:pPr>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bl>
    <w:p w14:paraId="617A2BA8" w14:textId="0F686691" w:rsidR="00544B4B" w:rsidRDefault="00544B4B" w:rsidP="008A3F4E">
      <w:pPr>
        <w:spacing w:line="360" w:lineRule="auto"/>
        <w:jc w:val="both"/>
        <w:rPr>
          <w:color w:val="000000"/>
          <w:sz w:val="20"/>
          <w:szCs w:val="20"/>
        </w:rPr>
      </w:pPr>
    </w:p>
    <w:p w14:paraId="36429548" w14:textId="77777777" w:rsidR="009210F5" w:rsidRDefault="009210F5" w:rsidP="00B6048A">
      <w:pPr>
        <w:pStyle w:val="Ttulo2"/>
        <w:numPr>
          <w:ilvl w:val="0"/>
          <w:numId w:val="0"/>
        </w:numPr>
        <w:pBdr>
          <w:top w:val="nil"/>
          <w:left w:val="nil"/>
          <w:bottom w:val="nil"/>
          <w:right w:val="nil"/>
          <w:between w:val="nil"/>
        </w:pBdr>
        <w:spacing w:before="0" w:line="240" w:lineRule="auto"/>
        <w:rPr>
          <w:rFonts w:ascii="Times New Roman" w:hAnsi="Times New Roman"/>
          <w:b w:val="0"/>
          <w:bCs w:val="0"/>
          <w:color w:val="000000" w:themeColor="text1"/>
          <w:sz w:val="22"/>
          <w:szCs w:val="22"/>
        </w:rPr>
      </w:pPr>
      <w:r>
        <w:rPr>
          <w:rFonts w:ascii="Times New Roman" w:hAnsi="Times New Roman"/>
          <w:b w:val="0"/>
          <w:bCs w:val="0"/>
          <w:color w:val="000000" w:themeColor="text1"/>
          <w:sz w:val="22"/>
          <w:szCs w:val="22"/>
        </w:rPr>
        <w:t xml:space="preserve">Fonte: </w:t>
      </w:r>
      <w:proofErr w:type="spellStart"/>
      <w:r>
        <w:rPr>
          <w:rFonts w:ascii="Times New Roman" w:hAnsi="Times New Roman"/>
          <w:b w:val="0"/>
          <w:bCs w:val="0"/>
          <w:color w:val="000000" w:themeColor="text1"/>
          <w:sz w:val="22"/>
          <w:szCs w:val="22"/>
        </w:rPr>
        <w:t>Ensembl</w:t>
      </w:r>
      <w:proofErr w:type="spellEnd"/>
    </w:p>
    <w:p w14:paraId="32886976" w14:textId="77777777" w:rsidR="009210F5" w:rsidRDefault="009210F5" w:rsidP="009210F5">
      <w:pPr>
        <w:pStyle w:val="Ttulo2"/>
        <w:numPr>
          <w:ilvl w:val="0"/>
          <w:numId w:val="0"/>
        </w:numPr>
        <w:pBdr>
          <w:top w:val="nil"/>
          <w:left w:val="nil"/>
          <w:bottom w:val="nil"/>
          <w:right w:val="nil"/>
          <w:between w:val="nil"/>
        </w:pBdr>
        <w:spacing w:before="0" w:line="360" w:lineRule="auto"/>
        <w:ind w:left="360"/>
        <w:rPr>
          <w:rFonts w:ascii="Times New Roman" w:hAnsi="Times New Roman"/>
          <w:b w:val="0"/>
          <w:bCs w:val="0"/>
          <w:color w:val="000000" w:themeColor="text1"/>
          <w:sz w:val="24"/>
          <w:szCs w:val="24"/>
        </w:rPr>
      </w:pPr>
    </w:p>
    <w:p w14:paraId="57FFE68E" w14:textId="77777777" w:rsidR="00B6048A" w:rsidRPr="00B6048A" w:rsidRDefault="00B6048A" w:rsidP="00B6048A">
      <w:pPr>
        <w:rPr>
          <w:lang w:val="en-US" w:eastAsia="en-US"/>
        </w:rPr>
      </w:pPr>
    </w:p>
    <w:p w14:paraId="30D79DEE" w14:textId="4C22F036" w:rsidR="00C62C17" w:rsidRDefault="00C62C17" w:rsidP="00B6048A">
      <w:pPr>
        <w:pStyle w:val="Ttulo2"/>
        <w:numPr>
          <w:ilvl w:val="1"/>
          <w:numId w:val="44"/>
        </w:numPr>
        <w:pBdr>
          <w:top w:val="nil"/>
          <w:left w:val="nil"/>
          <w:bottom w:val="nil"/>
          <w:right w:val="nil"/>
          <w:between w:val="nil"/>
        </w:pBdr>
        <w:spacing w:before="0" w:line="360" w:lineRule="auto"/>
        <w:rPr>
          <w:rFonts w:ascii="Times New Roman" w:hAnsi="Times New Roman"/>
          <w:b w:val="0"/>
          <w:bCs w:val="0"/>
          <w:color w:val="000000" w:themeColor="text1"/>
          <w:sz w:val="24"/>
          <w:szCs w:val="24"/>
        </w:rPr>
      </w:pPr>
      <w:r w:rsidRPr="00451B99">
        <w:rPr>
          <w:rFonts w:ascii="Times New Roman" w:hAnsi="Times New Roman"/>
          <w:b w:val="0"/>
          <w:bCs w:val="0"/>
          <w:color w:val="000000" w:themeColor="text1"/>
          <w:sz w:val="24"/>
          <w:szCs w:val="24"/>
        </w:rPr>
        <w:t xml:space="preserve">GENOTIPAGEM </w:t>
      </w:r>
    </w:p>
    <w:p w14:paraId="228B1AF2" w14:textId="4D956F29" w:rsidR="00544B4B" w:rsidRDefault="00544B4B" w:rsidP="009210F5">
      <w:pPr>
        <w:spacing w:line="360" w:lineRule="auto"/>
        <w:rPr>
          <w:lang w:val="en-US" w:eastAsia="en-US"/>
        </w:rPr>
      </w:pPr>
    </w:p>
    <w:p w14:paraId="4CD11E80" w14:textId="0F3CB0DA" w:rsidR="004226DE" w:rsidRDefault="00B667D8" w:rsidP="009210F5">
      <w:pPr>
        <w:shd w:val="clear" w:color="auto" w:fill="FFFFFF"/>
        <w:spacing w:line="360" w:lineRule="auto"/>
        <w:jc w:val="both"/>
      </w:pPr>
      <w:r>
        <w:rPr>
          <w:color w:val="000000"/>
        </w:rPr>
        <w:t xml:space="preserve">     </w:t>
      </w:r>
      <w:r w:rsidR="00F65261" w:rsidRPr="00893D0C">
        <w:rPr>
          <w:color w:val="000000"/>
        </w:rPr>
        <w:t xml:space="preserve">Para </w:t>
      </w:r>
      <w:r w:rsidR="008819B5">
        <w:rPr>
          <w:color w:val="000000"/>
        </w:rPr>
        <w:t>avaliação</w:t>
      </w:r>
      <w:r w:rsidR="00F65261">
        <w:rPr>
          <w:color w:val="000000"/>
        </w:rPr>
        <w:t xml:space="preserve"> dos polimorfismos</w:t>
      </w:r>
      <w:r w:rsidR="00D5215B">
        <w:rPr>
          <w:color w:val="000000"/>
        </w:rPr>
        <w:t>, utilizou-se</w:t>
      </w:r>
      <w:r w:rsidR="00F65261">
        <w:rPr>
          <w:color w:val="000000"/>
        </w:rPr>
        <w:t xml:space="preserve"> </w:t>
      </w:r>
      <w:r w:rsidR="00F65261" w:rsidRPr="00893D0C">
        <w:rPr>
          <w:color w:val="000000"/>
        </w:rPr>
        <w:t>a técnica de PCR</w:t>
      </w:r>
      <w:r w:rsidR="00F65261">
        <w:rPr>
          <w:color w:val="000000"/>
        </w:rPr>
        <w:t xml:space="preserve"> quantitativa em tempo real</w:t>
      </w:r>
      <w:r w:rsidR="00F65261" w:rsidRPr="00893D0C">
        <w:rPr>
          <w:color w:val="000000"/>
        </w:rPr>
        <w:t>. O procedimento foi realizado pelo método </w:t>
      </w:r>
      <w:r w:rsidR="00F65261" w:rsidRPr="00893D0C">
        <w:rPr>
          <w:i/>
          <w:iCs/>
          <w:color w:val="000000"/>
        </w:rPr>
        <w:t xml:space="preserve">TaqMan® SNP Genotyping </w:t>
      </w:r>
      <w:r w:rsidR="00F65261" w:rsidRPr="009210F5">
        <w:rPr>
          <w:iCs/>
          <w:color w:val="000000"/>
        </w:rPr>
        <w:t>(</w:t>
      </w:r>
      <w:proofErr w:type="spellStart"/>
      <w:r w:rsidR="00810B15" w:rsidRPr="009210F5">
        <w:rPr>
          <w:iCs/>
          <w:color w:val="000000"/>
        </w:rPr>
        <w:t>QuantStudio</w:t>
      </w:r>
      <w:proofErr w:type="spellEnd"/>
      <w:r w:rsidR="000E199B" w:rsidRPr="009210F5">
        <w:rPr>
          <w:iCs/>
          <w:color w:val="000000"/>
        </w:rPr>
        <w:t xml:space="preserve"> 12K</w:t>
      </w:r>
      <w:r w:rsidR="00F65261" w:rsidRPr="009210F5">
        <w:rPr>
          <w:iCs/>
          <w:color w:val="000000"/>
        </w:rPr>
        <w:t>, Applied Biosystems, CA</w:t>
      </w:r>
      <w:r w:rsidR="00EF06CC">
        <w:rPr>
          <w:i/>
          <w:iCs/>
          <w:color w:val="000000"/>
        </w:rPr>
        <w:t xml:space="preserve">), </w:t>
      </w:r>
      <w:r w:rsidR="00EF06CC">
        <w:rPr>
          <w:color w:val="000000"/>
        </w:rPr>
        <w:t xml:space="preserve">utilizando </w:t>
      </w:r>
      <w:r w:rsidR="00EF06CC" w:rsidRPr="00FD0772">
        <w:t xml:space="preserve">ensaio de genotipagem com sondas e </w:t>
      </w:r>
      <w:r w:rsidR="00EF06CC" w:rsidRPr="009210F5">
        <w:rPr>
          <w:i/>
        </w:rPr>
        <w:t xml:space="preserve">primers </w:t>
      </w:r>
      <w:r w:rsidR="00EF06CC" w:rsidRPr="00FD0772">
        <w:t>TaqMan®</w:t>
      </w:r>
      <w:r w:rsidR="00D5215B">
        <w:t>,</w:t>
      </w:r>
      <w:r w:rsidR="00EF06CC" w:rsidRPr="00FD0772">
        <w:t xml:space="preserve"> em uma combinação de hibridização e atividade de DNA polimerase, associada à detecção de </w:t>
      </w:r>
      <w:r w:rsidR="00EF06CC" w:rsidRPr="00FD0772">
        <w:lastRenderedPageBreak/>
        <w:t>fluorescência</w:t>
      </w:r>
      <w:r w:rsidR="00EF06CC">
        <w:t xml:space="preserve"> </w:t>
      </w:r>
      <w:r w:rsidR="00EF06CC">
        <w:fldChar w:fldCharType="begin"/>
      </w:r>
      <w:r w:rsidR="00344DCD">
        <w:instrText xml:space="preserve"> ADDIN ZOTERO_ITEM CSL_CITATION {"citationID":"Pd5fFJS9","properties":{"formattedCitation":"(104)","plainCitation":"(104)","noteIndex":0},"citationItems":[{"id":1963,"uris":["http://zotero.org/users/7110448/items/9PQIMJ34"],"itemData":{"id":1963,"type":"article-journal","abstract":"In this review we describe the principles, protocols, and applications of two commercially available SNP genotyping platforms, the TaqMan SNP Genotyping Assays and the SNPlex Genotyping System. Combined, these two technologies meet the requirements of multiple SNP applications in genetics research and pharmacogenetics. We also describe a set of SNP selection tools and validated assay resources which we developed to accelerate the cycle of experimentation on these platforms. Criteria for selecting the more appropriate of these two genotyping technologies are presented: the genetic architecture of the trait of interest, the throughput required, and the number of SNPs and samples needed for a successful study. Overall, the TaqMan assay format is suitable for low- to mid-throughput applications in which a high assay conversion rate, simple assay workflow, and low cost of automation are desirable. The SNPlex Genotyping System, on the other hand, is well suited for SNP applications in which throughput and cost-efficiency are essential, e.g., applications requiring either the testing of large numbers of SNPs and samples, or the flexibility to select various SNP subsets.","container-title":"Mutation research","DOI":"10.1016/j.mrfmmm.2005.01.008","ISSN":"1873-135X","issue":"1-2","journalAbbreviation":"Mutat Res","language":"eng","note":"PMID: 15829242","page":"111-135","source":"Europe PMC","title":"Assessment of two flexible and compatible SNP genotyping platforms: TaqMan SNP Genotyping Assays and the SNPlex Genotyping System","title-short":"Assessment of two flexible and compatible SNP genotyping platforms","volume":"573","author":[{"family":"De la Vega","given":"Francisco M"},{"family":"Lazaruk","given":"Katherine D"},{"family":"Rhodes","given":"Michael D"},{"family":"Wenz","given":"Michael H"}],"issued":{"date-parts":[["2005",6,1]]}}}],"schema":"https://github.com/citation-style-language/schema/raw/master/csl-citation.json"} </w:instrText>
      </w:r>
      <w:r w:rsidR="00EF06CC">
        <w:fldChar w:fldCharType="separate"/>
      </w:r>
      <w:r w:rsidR="004C5041">
        <w:rPr>
          <w:noProof/>
        </w:rPr>
        <w:t>(104)</w:t>
      </w:r>
      <w:r w:rsidR="00EF06CC">
        <w:fldChar w:fldCharType="end"/>
      </w:r>
      <w:r w:rsidR="005E7C49">
        <w:t xml:space="preserve">. Para essa análise, </w:t>
      </w:r>
      <w:r w:rsidR="00D5215B">
        <w:t>utilizou-se</w:t>
      </w:r>
      <w:r w:rsidR="00EF77C6">
        <w:t xml:space="preserve"> uma solução de 5</w:t>
      </w:r>
      <w:r w:rsidR="0068730A" w:rsidRPr="0068730A">
        <w:t xml:space="preserve"> </w:t>
      </w:r>
      <w:proofErr w:type="spellStart"/>
      <w:r w:rsidR="0068730A" w:rsidRPr="00FD0772">
        <w:t>μl</w:t>
      </w:r>
      <w:proofErr w:type="spellEnd"/>
      <w:r w:rsidR="00D5215B">
        <w:t>,</w:t>
      </w:r>
      <w:r w:rsidR="00EF77C6">
        <w:rPr>
          <w:color w:val="000000"/>
        </w:rPr>
        <w:t xml:space="preserve"> contendo </w:t>
      </w:r>
      <w:r w:rsidR="00F65261" w:rsidRPr="00E6264B">
        <w:t>2,5</w:t>
      </w:r>
      <w:r w:rsidR="00F20368">
        <w:t xml:space="preserve"> </w:t>
      </w:r>
      <w:proofErr w:type="spellStart"/>
      <w:r w:rsidR="00F20368" w:rsidRPr="00FD0772">
        <w:t>μl</w:t>
      </w:r>
      <w:proofErr w:type="spellEnd"/>
      <w:r w:rsidR="00F65261" w:rsidRPr="00E6264B">
        <w:t xml:space="preserve"> de </w:t>
      </w:r>
      <w:proofErr w:type="spellStart"/>
      <w:r w:rsidR="00EF77C6" w:rsidRPr="00FD0772">
        <w:t>Taqman</w:t>
      </w:r>
      <w:proofErr w:type="spellEnd"/>
      <w:r w:rsidR="00EF77C6" w:rsidRPr="00FD0772">
        <w:t xml:space="preserve"> PCR Master Mix universal</w:t>
      </w:r>
      <w:r w:rsidR="00F65261">
        <w:t xml:space="preserve">, </w:t>
      </w:r>
      <w:r w:rsidR="00F65261" w:rsidRPr="00E6264B">
        <w:t>0,06</w:t>
      </w:r>
      <w:r w:rsidR="00F20368">
        <w:t xml:space="preserve"> </w:t>
      </w:r>
      <w:proofErr w:type="spellStart"/>
      <w:r w:rsidR="00F20368" w:rsidRPr="00FD0772">
        <w:t>μl</w:t>
      </w:r>
      <w:proofErr w:type="spellEnd"/>
      <w:r w:rsidR="00F20368" w:rsidRPr="00E6264B">
        <w:t xml:space="preserve"> </w:t>
      </w:r>
      <w:r w:rsidR="00F65261" w:rsidRPr="00E6264B">
        <w:t xml:space="preserve">de </w:t>
      </w:r>
      <w:r w:rsidR="00EF77C6">
        <w:t>s</w:t>
      </w:r>
      <w:r w:rsidR="00F65261" w:rsidRPr="00E6264B">
        <w:t xml:space="preserve">onda </w:t>
      </w:r>
      <w:r w:rsidR="00F65261">
        <w:t xml:space="preserve">e </w:t>
      </w:r>
      <w:r w:rsidR="00F65261" w:rsidRPr="00E6264B">
        <w:t>1,04</w:t>
      </w:r>
      <w:r w:rsidR="00EF77C6">
        <w:t xml:space="preserve"> </w:t>
      </w:r>
      <w:proofErr w:type="spellStart"/>
      <w:r w:rsidR="00F20368" w:rsidRPr="00FD0772">
        <w:t>μl</w:t>
      </w:r>
      <w:proofErr w:type="spellEnd"/>
      <w:r w:rsidR="00F65261" w:rsidRPr="00E6264B">
        <w:t xml:space="preserve"> de água DPEC</w:t>
      </w:r>
      <w:r w:rsidR="00F65261">
        <w:t xml:space="preserve"> </w:t>
      </w:r>
      <w:r w:rsidR="00D02EA8">
        <w:t xml:space="preserve">misturada </w:t>
      </w:r>
      <w:r w:rsidR="00F65261">
        <w:t xml:space="preserve">com </w:t>
      </w:r>
      <w:r w:rsidR="00F65261" w:rsidRPr="00E6264B">
        <w:t>1,4</w:t>
      </w:r>
      <w:r w:rsidR="00F20368">
        <w:t xml:space="preserve"> </w:t>
      </w:r>
      <w:proofErr w:type="spellStart"/>
      <w:r w:rsidR="00F20368" w:rsidRPr="00FD0772">
        <w:t>μl</w:t>
      </w:r>
      <w:proofErr w:type="spellEnd"/>
      <w:r w:rsidR="00F65261" w:rsidRPr="00E6264B">
        <w:t xml:space="preserve"> de DNA</w:t>
      </w:r>
      <w:r w:rsidR="00F65261">
        <w:t xml:space="preserve"> em uma placa de 384 poços. </w:t>
      </w:r>
      <w:r w:rsidR="00F65261" w:rsidRPr="00C542AE">
        <w:t>As condiç</w:t>
      </w:r>
      <w:r w:rsidR="00F65261">
        <w:t>ões</w:t>
      </w:r>
      <w:r w:rsidR="00F65261" w:rsidRPr="00C542AE">
        <w:t xml:space="preserve"> da PCR foram as seguintes: </w:t>
      </w:r>
      <w:r w:rsidR="00D5215B">
        <w:t>f</w:t>
      </w:r>
      <w:r w:rsidR="00F65261">
        <w:t xml:space="preserve">ase de pré-leitura a 60 °C por 30 segundos; </w:t>
      </w:r>
      <w:r w:rsidR="00D5215B">
        <w:t>f</w:t>
      </w:r>
      <w:r w:rsidR="00F65261">
        <w:t xml:space="preserve">ase de </w:t>
      </w:r>
      <w:proofErr w:type="spellStart"/>
      <w:r w:rsidR="00F65261">
        <w:t>pré</w:t>
      </w:r>
      <w:proofErr w:type="spellEnd"/>
      <w:r w:rsidR="00F65261">
        <w:t xml:space="preserve">-PCR a 95 °C por 10 minutos; </w:t>
      </w:r>
      <w:r w:rsidR="00D5215B">
        <w:t>f</w:t>
      </w:r>
      <w:r w:rsidR="00F65261">
        <w:t>ase de PCR com 40 ciclos</w:t>
      </w:r>
      <w:r w:rsidR="00D5215B">
        <w:t>,</w:t>
      </w:r>
      <w:r w:rsidR="00F65261">
        <w:t xml:space="preserve"> considerando as temperaturas de 95 °C por 15s e 60 °C por 1 minuto; </w:t>
      </w:r>
      <w:r w:rsidR="000847BD">
        <w:t>f</w:t>
      </w:r>
      <w:r w:rsidR="00F65261">
        <w:t>ase final da PCR a 60 °C por 30 segundos.</w:t>
      </w:r>
      <w:r w:rsidR="00EF77C6">
        <w:t xml:space="preserve"> </w:t>
      </w:r>
      <w:r w:rsidR="00EF77C6" w:rsidRPr="00FD0772">
        <w:t>Utilizou-se o software</w:t>
      </w:r>
      <w:r w:rsidR="00B6048A">
        <w:t xml:space="preserve"> </w:t>
      </w:r>
      <w:proofErr w:type="spellStart"/>
      <w:r w:rsidR="00EF77C6" w:rsidRPr="009210F5">
        <w:rPr>
          <w:i/>
        </w:rPr>
        <w:t>Sequence</w:t>
      </w:r>
      <w:proofErr w:type="spellEnd"/>
      <w:r w:rsidR="00EF77C6" w:rsidRPr="009210F5">
        <w:rPr>
          <w:i/>
        </w:rPr>
        <w:t xml:space="preserve"> </w:t>
      </w:r>
      <w:proofErr w:type="spellStart"/>
      <w:r w:rsidR="00EF77C6" w:rsidRPr="009210F5">
        <w:rPr>
          <w:i/>
        </w:rPr>
        <w:t>Detection</w:t>
      </w:r>
      <w:proofErr w:type="spellEnd"/>
      <w:r w:rsidR="00EF77C6" w:rsidRPr="00FD0772">
        <w:t>, versão 1.3 (Applied Biosystems, CA) para a análise dos dados.</w:t>
      </w:r>
    </w:p>
    <w:p w14:paraId="1FCE8A52" w14:textId="77777777" w:rsidR="00544B4B" w:rsidRDefault="00544B4B" w:rsidP="004226DE">
      <w:pPr>
        <w:shd w:val="clear" w:color="auto" w:fill="FFFFFF"/>
        <w:spacing w:line="360" w:lineRule="auto"/>
        <w:jc w:val="both"/>
      </w:pPr>
    </w:p>
    <w:p w14:paraId="3FB8BDEC" w14:textId="265957D0" w:rsidR="008A6335" w:rsidRDefault="00BD1483" w:rsidP="00B6048A">
      <w:pPr>
        <w:pStyle w:val="PargrafodaLista"/>
        <w:numPr>
          <w:ilvl w:val="1"/>
          <w:numId w:val="44"/>
        </w:numPr>
        <w:pBdr>
          <w:top w:val="nil"/>
          <w:left w:val="nil"/>
          <w:bottom w:val="nil"/>
          <w:right w:val="nil"/>
          <w:between w:val="nil"/>
        </w:pBdr>
        <w:ind w:left="426" w:hanging="426"/>
        <w:rPr>
          <w:color w:val="000000" w:themeColor="text1"/>
        </w:rPr>
      </w:pPr>
      <w:r>
        <w:rPr>
          <w:color w:val="000000" w:themeColor="text1"/>
        </w:rPr>
        <w:t xml:space="preserve"> </w:t>
      </w:r>
      <w:r w:rsidR="002876AE" w:rsidRPr="00451B99">
        <w:rPr>
          <w:color w:val="000000" w:themeColor="text1"/>
        </w:rPr>
        <w:t xml:space="preserve">ANÁLISE DAS ASSOCIAÇÕES ENTRE PARÂMETROS SÉRICOS DA FUNÇÃO TIREOIDIANA E POLIMORFISMOS  </w:t>
      </w:r>
    </w:p>
    <w:p w14:paraId="1051477D" w14:textId="6888BDE3" w:rsidR="00BD1483" w:rsidRDefault="00BD1483" w:rsidP="00BD1483">
      <w:pPr>
        <w:pStyle w:val="chapter-para"/>
        <w:shd w:val="clear" w:color="auto" w:fill="FFFFFF"/>
        <w:spacing w:before="0" w:beforeAutospacing="0" w:after="0" w:afterAutospacing="0" w:line="360" w:lineRule="auto"/>
        <w:ind w:left="426"/>
        <w:jc w:val="both"/>
        <w:textAlignment w:val="baseline"/>
        <w:rPr>
          <w:color w:val="000000" w:themeColor="text1"/>
        </w:rPr>
      </w:pPr>
    </w:p>
    <w:p w14:paraId="5A843F9C" w14:textId="2D677AE3" w:rsidR="008A6335" w:rsidRDefault="002876AE" w:rsidP="00BD1483">
      <w:pPr>
        <w:pStyle w:val="chapter-para"/>
        <w:shd w:val="clear" w:color="auto" w:fill="FFFFFF"/>
        <w:spacing w:before="0" w:beforeAutospacing="0" w:after="0" w:afterAutospacing="0" w:line="360" w:lineRule="auto"/>
        <w:ind w:firstLine="426"/>
        <w:jc w:val="both"/>
        <w:textAlignment w:val="baseline"/>
        <w:rPr>
          <w:color w:val="000000" w:themeColor="text1"/>
        </w:rPr>
      </w:pPr>
      <w:r>
        <w:rPr>
          <w:color w:val="000000" w:themeColor="text1"/>
        </w:rPr>
        <w:t xml:space="preserve">Para avaliar associações entre parâmetros séricos da tireoide e </w:t>
      </w:r>
      <w:r w:rsidR="00247A6F">
        <w:rPr>
          <w:color w:val="000000" w:themeColor="text1"/>
        </w:rPr>
        <w:t>polimorfismos genéticos</w:t>
      </w:r>
      <w:r>
        <w:rPr>
          <w:color w:val="000000" w:themeColor="text1"/>
        </w:rPr>
        <w:t xml:space="preserve">, </w:t>
      </w:r>
      <w:r w:rsidR="000847BD">
        <w:rPr>
          <w:color w:val="000000" w:themeColor="text1"/>
        </w:rPr>
        <w:t>contou-se com</w:t>
      </w:r>
      <w:r>
        <w:rPr>
          <w:color w:val="000000" w:themeColor="text1"/>
        </w:rPr>
        <w:t xml:space="preserve"> três modelos genéticos</w:t>
      </w:r>
      <w:r w:rsidR="000847BD">
        <w:rPr>
          <w:color w:val="000000" w:themeColor="text1"/>
        </w:rPr>
        <w:t>:</w:t>
      </w:r>
      <w:r>
        <w:rPr>
          <w:color w:val="000000" w:themeColor="text1"/>
        </w:rPr>
        <w:t xml:space="preserve"> </w:t>
      </w:r>
      <w:r w:rsidR="000847BD" w:rsidRPr="009210F5">
        <w:rPr>
          <w:b/>
          <w:color w:val="000000" w:themeColor="text1"/>
        </w:rPr>
        <w:t>aditivo</w:t>
      </w:r>
      <w:r>
        <w:rPr>
          <w:color w:val="000000" w:themeColor="text1"/>
        </w:rPr>
        <w:t>, usado para determinar se a presença do alelo polimórfico</w:t>
      </w:r>
      <w:r w:rsidR="000847BD">
        <w:rPr>
          <w:color w:val="000000" w:themeColor="text1"/>
        </w:rPr>
        <w:t>,</w:t>
      </w:r>
      <w:r>
        <w:rPr>
          <w:color w:val="000000" w:themeColor="text1"/>
        </w:rPr>
        <w:t xml:space="preserve"> está associada </w:t>
      </w:r>
      <w:r w:rsidR="000847BD">
        <w:rPr>
          <w:color w:val="000000" w:themeColor="text1"/>
        </w:rPr>
        <w:t xml:space="preserve">à </w:t>
      </w:r>
      <w:r>
        <w:rPr>
          <w:color w:val="000000" w:themeColor="text1"/>
        </w:rPr>
        <w:t xml:space="preserve">maior chance de alterações na função tireoidiana; </w:t>
      </w:r>
      <w:r w:rsidR="000847BD" w:rsidRPr="009210F5">
        <w:rPr>
          <w:b/>
          <w:color w:val="000000" w:themeColor="text1"/>
        </w:rPr>
        <w:t>d</w:t>
      </w:r>
      <w:r w:rsidRPr="009210F5">
        <w:rPr>
          <w:b/>
          <w:color w:val="000000" w:themeColor="text1"/>
        </w:rPr>
        <w:t>ominante</w:t>
      </w:r>
      <w:r>
        <w:rPr>
          <w:color w:val="000000" w:themeColor="text1"/>
        </w:rPr>
        <w:t xml:space="preserve">, usado para comparar indivíduos com pelo menos uma cópia do alelo polimórfico </w:t>
      </w:r>
      <w:r w:rsidRPr="009210F5">
        <w:rPr>
          <w:i/>
          <w:color w:val="000000" w:themeColor="text1"/>
        </w:rPr>
        <w:t>versus</w:t>
      </w:r>
      <w:r>
        <w:rPr>
          <w:color w:val="000000" w:themeColor="text1"/>
        </w:rPr>
        <w:t xml:space="preserve"> aqueles em homozigose para o alelo selvagem; </w:t>
      </w:r>
      <w:r w:rsidR="000847BD" w:rsidRPr="009210F5">
        <w:rPr>
          <w:b/>
          <w:color w:val="000000" w:themeColor="text1"/>
        </w:rPr>
        <w:t>r</w:t>
      </w:r>
      <w:r w:rsidRPr="009210F5">
        <w:rPr>
          <w:b/>
          <w:color w:val="000000" w:themeColor="text1"/>
        </w:rPr>
        <w:t>ecessivo</w:t>
      </w:r>
      <w:r>
        <w:rPr>
          <w:color w:val="000000" w:themeColor="text1"/>
        </w:rPr>
        <w:t>, usado para determinar se aqueles em homozigose para o alelo polimórfico t</w:t>
      </w:r>
      <w:r w:rsidR="000847BD">
        <w:rPr>
          <w:color w:val="000000" w:themeColor="text1"/>
        </w:rPr>
        <w:t>ê</w:t>
      </w:r>
      <w:r>
        <w:rPr>
          <w:color w:val="000000" w:themeColor="text1"/>
        </w:rPr>
        <w:t>m maior chance de modificar a função tireoidiana</w:t>
      </w:r>
      <w:r w:rsidR="000847BD">
        <w:rPr>
          <w:color w:val="000000" w:themeColor="text1"/>
        </w:rPr>
        <w:t>,</w:t>
      </w:r>
      <w:r>
        <w:rPr>
          <w:color w:val="000000" w:themeColor="text1"/>
        </w:rPr>
        <w:t xml:space="preserve"> quando comparados a indivíduos com pelo menos uma cópia do alelo selvagem </w:t>
      </w:r>
      <w:r>
        <w:rPr>
          <w:color w:val="000000" w:themeColor="text1"/>
        </w:rPr>
        <w:fldChar w:fldCharType="begin"/>
      </w:r>
      <w:r w:rsidR="00344DCD">
        <w:rPr>
          <w:color w:val="000000" w:themeColor="text1"/>
        </w:rPr>
        <w:instrText xml:space="preserve"> ADDIN ZOTERO_ITEM CSL_CITATION {"citationID":"DPPHuTbJ","properties":{"formattedCitation":"(105)","plainCitation":"(105)","noteIndex":0},"citationItems":[{"id":715,"uris":["http://zotero.org/users/7110448/items/BI6TIPYX"],"itemData":{"id":715,"type":"article-journal","abstract":"A common single nucleotide polymorphism in DIO2, Thr92AlaD2, has been associated with a transcriptome typically found in neurodegenerative diseases in postmortem human brain tissue.To determine whether Thr92AlaD2 is associated with incident Alzheimer disease (AD).Population-based study; human brain tissue microarray.Community-based cohorts from Chicago and northeastern Illinois and religious clergymen from across the United States constituted the primary population. A representative sample of the U.S. population was used for secondary analyses.3054 African Americans (AAs) and 9304 European Americans (EAs).Incident AD.In the primary population, AAs with Thr92AlaD2 had 1.3 times [95% confidence interval (CI), 1.02 to 1.68; P = 0.048] greater odds of developing AD. AAs from a second population with Thr92AlaD2 showed a trend toward increased odds of dementia (odds ratio, 1.33; 95% CI, 0.99 to 1.78; P = 0.06) and 1.35 times greater odds of developing cognitive impairment not demented (CIND; 95% CI, 1.09 to 1.67; P = 0.006). Meta-analysis showed that AAs with Thr92AlaD2 had 1.3 times increased odds of developing AD/dementia (95% CI, 1.07 to 1.58; P = 0.008). In EAs, no association was found between Thr92AlaD2 and AD, dementia, or CIND. Microarray of AA brain tissue identified transcriptional patterns linked to AD pathogenesis.Thr92AlaD2 was associated with molecular markers known to underlie AD pathogenesis in AAs, translating to an observed phenotype of increased odds of developing AD/dementia in AAs in these populations. Thr92AlaD2 might represent one factor contributing to racial discrepancies in incident AD.","container-title":"The Journal of Clinical Endocrinology &amp; Metabolism","DOI":"10.1210/jc.2017-01196","ISSN":"0021-972X","issue":"5","journalAbbreviation":"The Journal of Clinical Endocrinology &amp; Metabolism","page":"1818-1826","source":"Silverchair","title":"A Common DIO2 Polymorphism and Alzheimer Disease Dementia in African and European Americans","volume":"103","author":[{"family":"McAninch","given":"Elizabeth A"},{"family":"Rajan","given":"Kumar B"},{"family":"Evans","given":"Denis A"},{"family":"Jo","given":"Sungro"},{"family":"Chaker","given":"Layal"},{"family":"Peeters","given":"Robin P"},{"family":"Bennett","given":"David A"},{"family":"Mash","given":"Deborah C"},{"family":"Bianco","given":"Antonio C"}],"issued":{"date-parts":[["2018",5,1]]}}}],"schema":"https://github.com/citation-style-language/schema/raw/master/csl-citation.json"} </w:instrText>
      </w:r>
      <w:r>
        <w:rPr>
          <w:color w:val="000000" w:themeColor="text1"/>
        </w:rPr>
        <w:fldChar w:fldCharType="separate"/>
      </w:r>
      <w:r w:rsidR="004C5041">
        <w:rPr>
          <w:noProof/>
          <w:color w:val="000000" w:themeColor="text1"/>
        </w:rPr>
        <w:t>(105)</w:t>
      </w:r>
      <w:r>
        <w:rPr>
          <w:color w:val="000000" w:themeColor="text1"/>
        </w:rPr>
        <w:fldChar w:fldCharType="end"/>
      </w:r>
      <w:r>
        <w:rPr>
          <w:color w:val="000000" w:themeColor="text1"/>
        </w:rPr>
        <w:t>. Neste estudo, opt</w:t>
      </w:r>
      <w:r w:rsidR="000847BD">
        <w:rPr>
          <w:color w:val="000000" w:themeColor="text1"/>
        </w:rPr>
        <w:t>ou-se</w:t>
      </w:r>
      <w:r>
        <w:rPr>
          <w:color w:val="000000" w:themeColor="text1"/>
        </w:rPr>
        <w:t xml:space="preserve"> pelo modelo </w:t>
      </w:r>
      <w:r w:rsidR="000847BD" w:rsidRPr="009210F5">
        <w:rPr>
          <w:b/>
          <w:color w:val="000000" w:themeColor="text1"/>
        </w:rPr>
        <w:t>d</w:t>
      </w:r>
      <w:r w:rsidRPr="009210F5">
        <w:rPr>
          <w:b/>
          <w:color w:val="000000" w:themeColor="text1"/>
        </w:rPr>
        <w:t>ominante</w:t>
      </w:r>
      <w:r>
        <w:rPr>
          <w:color w:val="000000" w:themeColor="text1"/>
        </w:rPr>
        <w:t xml:space="preserve"> devido ao tamanho da amostra.</w:t>
      </w:r>
    </w:p>
    <w:p w14:paraId="430DBF5C" w14:textId="77777777" w:rsidR="00544B4B" w:rsidRDefault="00544B4B" w:rsidP="002876AE">
      <w:pPr>
        <w:pStyle w:val="chapter-para"/>
        <w:shd w:val="clear" w:color="auto" w:fill="FFFFFF"/>
        <w:spacing w:before="0" w:after="0" w:line="360" w:lineRule="auto"/>
        <w:jc w:val="both"/>
        <w:textAlignment w:val="baseline"/>
        <w:rPr>
          <w:color w:val="000000" w:themeColor="text1"/>
        </w:rPr>
      </w:pPr>
    </w:p>
    <w:p w14:paraId="31CC01CD" w14:textId="77777777" w:rsidR="00ED5956" w:rsidRDefault="00ED5956" w:rsidP="002876AE">
      <w:pPr>
        <w:pStyle w:val="chapter-para"/>
        <w:shd w:val="clear" w:color="auto" w:fill="FFFFFF"/>
        <w:spacing w:before="0" w:after="0" w:line="360" w:lineRule="auto"/>
        <w:jc w:val="both"/>
        <w:textAlignment w:val="baseline"/>
        <w:rPr>
          <w:color w:val="000000" w:themeColor="text1"/>
        </w:rPr>
      </w:pPr>
    </w:p>
    <w:p w14:paraId="7A6DE56C" w14:textId="77777777" w:rsidR="00ED5956" w:rsidRDefault="00ED5956" w:rsidP="002876AE">
      <w:pPr>
        <w:pStyle w:val="chapter-para"/>
        <w:shd w:val="clear" w:color="auto" w:fill="FFFFFF"/>
        <w:spacing w:before="0" w:after="0" w:line="360" w:lineRule="auto"/>
        <w:jc w:val="both"/>
        <w:textAlignment w:val="baseline"/>
        <w:rPr>
          <w:color w:val="000000" w:themeColor="text1"/>
        </w:rPr>
      </w:pPr>
    </w:p>
    <w:p w14:paraId="650749CE" w14:textId="77777777" w:rsidR="00ED5956" w:rsidRDefault="00ED5956" w:rsidP="002876AE">
      <w:pPr>
        <w:pStyle w:val="chapter-para"/>
        <w:shd w:val="clear" w:color="auto" w:fill="FFFFFF"/>
        <w:spacing w:before="0" w:after="0" w:line="360" w:lineRule="auto"/>
        <w:jc w:val="both"/>
        <w:textAlignment w:val="baseline"/>
        <w:rPr>
          <w:color w:val="000000" w:themeColor="text1"/>
        </w:rPr>
      </w:pPr>
    </w:p>
    <w:p w14:paraId="63A7617D" w14:textId="77777777" w:rsidR="00ED5956" w:rsidRDefault="00ED5956" w:rsidP="002876AE">
      <w:pPr>
        <w:pStyle w:val="chapter-para"/>
        <w:shd w:val="clear" w:color="auto" w:fill="FFFFFF"/>
        <w:spacing w:before="0" w:after="0" w:line="360" w:lineRule="auto"/>
        <w:jc w:val="both"/>
        <w:textAlignment w:val="baseline"/>
        <w:rPr>
          <w:color w:val="000000" w:themeColor="text1"/>
        </w:rPr>
      </w:pPr>
    </w:p>
    <w:p w14:paraId="2753E9B4" w14:textId="77777777" w:rsidR="00ED5956" w:rsidRDefault="00ED5956" w:rsidP="002876AE">
      <w:pPr>
        <w:pStyle w:val="chapter-para"/>
        <w:shd w:val="clear" w:color="auto" w:fill="FFFFFF"/>
        <w:spacing w:before="0" w:after="0" w:line="360" w:lineRule="auto"/>
        <w:jc w:val="both"/>
        <w:textAlignment w:val="baseline"/>
        <w:rPr>
          <w:color w:val="000000" w:themeColor="text1"/>
        </w:rPr>
      </w:pPr>
    </w:p>
    <w:p w14:paraId="59396A71" w14:textId="77777777" w:rsidR="00ED5956" w:rsidRDefault="00ED5956" w:rsidP="002876AE">
      <w:pPr>
        <w:pStyle w:val="chapter-para"/>
        <w:shd w:val="clear" w:color="auto" w:fill="FFFFFF"/>
        <w:spacing w:before="0" w:after="0" w:line="360" w:lineRule="auto"/>
        <w:jc w:val="both"/>
        <w:textAlignment w:val="baseline"/>
        <w:rPr>
          <w:color w:val="000000" w:themeColor="text1"/>
        </w:rPr>
      </w:pPr>
    </w:p>
    <w:p w14:paraId="0AB558E8" w14:textId="77777777" w:rsidR="00ED5956" w:rsidRDefault="00ED5956" w:rsidP="002876AE">
      <w:pPr>
        <w:pStyle w:val="chapter-para"/>
        <w:shd w:val="clear" w:color="auto" w:fill="FFFFFF"/>
        <w:spacing w:before="0" w:after="0" w:line="360" w:lineRule="auto"/>
        <w:jc w:val="both"/>
        <w:textAlignment w:val="baseline"/>
        <w:rPr>
          <w:color w:val="000000" w:themeColor="text1"/>
        </w:rPr>
      </w:pPr>
    </w:p>
    <w:p w14:paraId="4C8A9E61" w14:textId="77777777" w:rsidR="00B6048A" w:rsidRDefault="00B6048A" w:rsidP="002876AE">
      <w:pPr>
        <w:pStyle w:val="chapter-para"/>
        <w:shd w:val="clear" w:color="auto" w:fill="FFFFFF"/>
        <w:spacing w:before="0" w:after="0" w:line="360" w:lineRule="auto"/>
        <w:jc w:val="both"/>
        <w:textAlignment w:val="baseline"/>
        <w:rPr>
          <w:color w:val="000000" w:themeColor="text1"/>
        </w:rPr>
      </w:pPr>
    </w:p>
    <w:p w14:paraId="75E21D45" w14:textId="77777777" w:rsidR="009210F5" w:rsidRDefault="009210F5" w:rsidP="002876AE">
      <w:pPr>
        <w:pStyle w:val="chapter-para"/>
        <w:shd w:val="clear" w:color="auto" w:fill="FFFFFF"/>
        <w:spacing w:before="0" w:after="0" w:line="360" w:lineRule="auto"/>
        <w:jc w:val="both"/>
        <w:textAlignment w:val="baseline"/>
        <w:rPr>
          <w:color w:val="000000" w:themeColor="text1"/>
        </w:rPr>
      </w:pPr>
    </w:p>
    <w:p w14:paraId="432A3D45" w14:textId="78DC9DDC" w:rsidR="0063770C" w:rsidRPr="00BD1483" w:rsidRDefault="00083D5B" w:rsidP="00B6048A">
      <w:pPr>
        <w:pStyle w:val="PargrafodaLista"/>
        <w:numPr>
          <w:ilvl w:val="0"/>
          <w:numId w:val="44"/>
        </w:numPr>
        <w:pBdr>
          <w:top w:val="nil"/>
          <w:left w:val="nil"/>
          <w:bottom w:val="nil"/>
          <w:right w:val="nil"/>
          <w:between w:val="nil"/>
        </w:pBdr>
        <w:spacing w:line="360" w:lineRule="auto"/>
        <w:rPr>
          <w:b/>
          <w:color w:val="000000" w:themeColor="text1"/>
        </w:rPr>
      </w:pPr>
      <w:r w:rsidRPr="00BD1483">
        <w:rPr>
          <w:b/>
          <w:color w:val="000000" w:themeColor="text1"/>
        </w:rPr>
        <w:t xml:space="preserve"> </w:t>
      </w:r>
      <w:r w:rsidR="00DF0524" w:rsidRPr="00BD1483">
        <w:rPr>
          <w:b/>
          <w:color w:val="000000" w:themeColor="text1"/>
        </w:rPr>
        <w:t>ASPECTOS ESTATÍSTICOS</w:t>
      </w:r>
    </w:p>
    <w:p w14:paraId="32B601AE" w14:textId="77777777" w:rsidR="00544B4B" w:rsidRPr="00544B4B" w:rsidRDefault="00544B4B" w:rsidP="00BD1483">
      <w:pPr>
        <w:pBdr>
          <w:top w:val="nil"/>
          <w:left w:val="nil"/>
          <w:bottom w:val="nil"/>
          <w:right w:val="nil"/>
          <w:between w:val="nil"/>
        </w:pBdr>
        <w:spacing w:line="360" w:lineRule="auto"/>
        <w:rPr>
          <w:color w:val="000000" w:themeColor="text1"/>
        </w:rPr>
      </w:pPr>
    </w:p>
    <w:p w14:paraId="009426AA" w14:textId="15EDC45C" w:rsidR="00B667D8" w:rsidRDefault="0063770C" w:rsidP="00BD1483">
      <w:pPr>
        <w:shd w:val="clear" w:color="auto" w:fill="FFFFFF"/>
        <w:spacing w:line="360" w:lineRule="auto"/>
        <w:jc w:val="both"/>
      </w:pPr>
      <w:r>
        <w:t xml:space="preserve">     </w:t>
      </w:r>
      <w:r w:rsidRPr="0063770C">
        <w:t xml:space="preserve">O teste não paramétrico de </w:t>
      </w:r>
      <w:proofErr w:type="spellStart"/>
      <w:r w:rsidRPr="009210F5">
        <w:rPr>
          <w:i/>
        </w:rPr>
        <w:t>Mann-Whitney</w:t>
      </w:r>
      <w:proofErr w:type="spellEnd"/>
      <w:r w:rsidRPr="0063770C">
        <w:t xml:space="preserve"> foi utilizado em todas as análises com variáveis quantitativas, uma vez que o teste de </w:t>
      </w:r>
      <w:r w:rsidRPr="009210F5">
        <w:rPr>
          <w:i/>
        </w:rPr>
        <w:t>Shapiro-Wilk</w:t>
      </w:r>
      <w:r w:rsidRPr="0063770C">
        <w:t xml:space="preserve"> e a inspeção gráfica (histogramas e </w:t>
      </w:r>
      <w:proofErr w:type="spellStart"/>
      <w:r w:rsidRPr="0063770C">
        <w:t>boxplots</w:t>
      </w:r>
      <w:proofErr w:type="spellEnd"/>
      <w:r w:rsidRPr="0063770C">
        <w:t>) expressaram uma distribuição não-gaussiana para as variáveis avaliadas. Des</w:t>
      </w:r>
      <w:r w:rsidR="000847BD">
        <w:t>s</w:t>
      </w:r>
      <w:r w:rsidRPr="0063770C">
        <w:t xml:space="preserve">a forma, os dados foram apresentados como mediana e intervalo interquartil (IIQ). Para as variáveis de natureza categórica, empregou-se o teste </w:t>
      </w:r>
      <w:proofErr w:type="spellStart"/>
      <w:r w:rsidR="000847BD">
        <w:t>Q</w:t>
      </w:r>
      <w:r w:rsidRPr="0063770C">
        <w:t>ui</w:t>
      </w:r>
      <w:proofErr w:type="spellEnd"/>
      <w:r w:rsidRPr="0063770C">
        <w:t xml:space="preserve">-quadrado para comparar duas proporções e o teste Exato de Fisher para avaliar a associação entre duas variáveis qualitativas. O teste </w:t>
      </w:r>
      <w:r w:rsidR="000847BD">
        <w:t>E</w:t>
      </w:r>
      <w:r w:rsidRPr="0063770C">
        <w:t xml:space="preserve">xato de Fisher foi utilizado todas as vezes em que os pressupostos para o uso do teste </w:t>
      </w:r>
      <w:proofErr w:type="spellStart"/>
      <w:r w:rsidR="000847BD">
        <w:t>Q</w:t>
      </w:r>
      <w:r w:rsidRPr="0063770C">
        <w:t>ui</w:t>
      </w:r>
      <w:proofErr w:type="spellEnd"/>
      <w:r w:rsidRPr="0063770C">
        <w:t xml:space="preserve">-quadrado não foram atendidos. </w:t>
      </w:r>
      <w:r w:rsidR="00371529">
        <w:t xml:space="preserve">O </w:t>
      </w:r>
      <w:r w:rsidR="00371529" w:rsidRPr="00C21559">
        <w:rPr>
          <w:i/>
          <w:iCs/>
        </w:rPr>
        <w:t>Hardy-Weinberg-Equilibrium</w:t>
      </w:r>
      <w:r w:rsidR="00371529">
        <w:t xml:space="preserve"> (HWE) foi calculado usando o teste </w:t>
      </w:r>
      <w:proofErr w:type="spellStart"/>
      <w:r w:rsidR="00D02EA8">
        <w:t>qu</w:t>
      </w:r>
      <w:r w:rsidR="00371529">
        <w:t>i</w:t>
      </w:r>
      <w:proofErr w:type="spellEnd"/>
      <w:r w:rsidR="00371529">
        <w:t xml:space="preserve">-quadrado. </w:t>
      </w:r>
      <w:r w:rsidRPr="0063770C">
        <w:t>O software estatístico STATA</w:t>
      </w:r>
      <w:r w:rsidR="000847BD">
        <w:t xml:space="preserve">, </w:t>
      </w:r>
      <w:r w:rsidRPr="0063770C">
        <w:t>versão 10</w:t>
      </w:r>
      <w:r w:rsidR="000847BD">
        <w:t>,</w:t>
      </w:r>
      <w:r w:rsidRPr="0063770C">
        <w:t xml:space="preserve"> foi utilizado para a realização das análises descritivas e dos testes estatísticos. O nível de significância adotado foi de 0,05. </w:t>
      </w:r>
    </w:p>
    <w:p w14:paraId="3D2F811B" w14:textId="04797AB5" w:rsidR="0009469A" w:rsidRDefault="00B667D8" w:rsidP="00371529">
      <w:pPr>
        <w:shd w:val="clear" w:color="auto" w:fill="FFFFFF"/>
        <w:spacing w:line="360" w:lineRule="auto"/>
        <w:jc w:val="both"/>
      </w:pPr>
      <w:r>
        <w:t xml:space="preserve">     </w:t>
      </w:r>
      <w:r w:rsidR="00DF0524">
        <w:t>A associação entre os SNP e testes séricos da tireoide foi avaliada utilizando</w:t>
      </w:r>
      <w:r w:rsidR="000847BD">
        <w:t>-se</w:t>
      </w:r>
      <w:r w:rsidR="00DF0524">
        <w:t xml:space="preserve"> o modelo genético</w:t>
      </w:r>
      <w:r w:rsidR="00131DFE">
        <w:t xml:space="preserve"> </w:t>
      </w:r>
      <w:r w:rsidR="00131DFE" w:rsidRPr="009210F5">
        <w:rPr>
          <w:b/>
        </w:rPr>
        <w:t>d</w:t>
      </w:r>
      <w:r w:rsidR="00DF0524" w:rsidRPr="009210F5">
        <w:rPr>
          <w:b/>
        </w:rPr>
        <w:t>ominante</w:t>
      </w:r>
      <w:r w:rsidR="00DF0524">
        <w:t xml:space="preserve">, usado para comparar indivíduos com pelo menos uma cópia do alelo polimórfico </w:t>
      </w:r>
      <w:r w:rsidR="00DF0524" w:rsidRPr="009210F5">
        <w:rPr>
          <w:i/>
        </w:rPr>
        <w:t>versus</w:t>
      </w:r>
      <w:r w:rsidR="00DF0524">
        <w:t xml:space="preserve"> aqueles em homozigose para o alelo selvagem</w:t>
      </w:r>
      <w:r w:rsidR="00131DFE">
        <w:t xml:space="preserve"> </w:t>
      </w:r>
      <w:r w:rsidR="00DF0524">
        <w:t xml:space="preserve">(102). </w:t>
      </w:r>
    </w:p>
    <w:p w14:paraId="0DB6B8B1" w14:textId="7BD061AA" w:rsidR="00BD1483" w:rsidRDefault="00BD1483" w:rsidP="00DF0524">
      <w:pPr>
        <w:pBdr>
          <w:top w:val="nil"/>
          <w:left w:val="nil"/>
          <w:bottom w:val="nil"/>
          <w:right w:val="nil"/>
          <w:between w:val="nil"/>
        </w:pBdr>
        <w:shd w:val="clear" w:color="auto" w:fill="FFFFFF"/>
        <w:spacing w:before="280" w:after="280" w:line="360" w:lineRule="auto"/>
      </w:pPr>
    </w:p>
    <w:p w14:paraId="7CEAC494" w14:textId="77777777" w:rsidR="00B6048A" w:rsidRDefault="00B6048A" w:rsidP="00DF0524">
      <w:pPr>
        <w:pBdr>
          <w:top w:val="nil"/>
          <w:left w:val="nil"/>
          <w:bottom w:val="nil"/>
          <w:right w:val="nil"/>
          <w:between w:val="nil"/>
        </w:pBdr>
        <w:shd w:val="clear" w:color="auto" w:fill="FFFFFF"/>
        <w:spacing w:before="280" w:after="280" w:line="360" w:lineRule="auto"/>
      </w:pPr>
    </w:p>
    <w:p w14:paraId="55845DB2" w14:textId="77777777" w:rsidR="00B6048A" w:rsidRDefault="00B6048A" w:rsidP="00DF0524">
      <w:pPr>
        <w:pBdr>
          <w:top w:val="nil"/>
          <w:left w:val="nil"/>
          <w:bottom w:val="nil"/>
          <w:right w:val="nil"/>
          <w:between w:val="nil"/>
        </w:pBdr>
        <w:shd w:val="clear" w:color="auto" w:fill="FFFFFF"/>
        <w:spacing w:before="280" w:after="280" w:line="360" w:lineRule="auto"/>
      </w:pPr>
    </w:p>
    <w:p w14:paraId="520B6049" w14:textId="77777777" w:rsidR="00B6048A" w:rsidRDefault="00B6048A" w:rsidP="00DF0524">
      <w:pPr>
        <w:pBdr>
          <w:top w:val="nil"/>
          <w:left w:val="nil"/>
          <w:bottom w:val="nil"/>
          <w:right w:val="nil"/>
          <w:between w:val="nil"/>
        </w:pBdr>
        <w:shd w:val="clear" w:color="auto" w:fill="FFFFFF"/>
        <w:spacing w:before="280" w:after="280" w:line="360" w:lineRule="auto"/>
      </w:pPr>
    </w:p>
    <w:p w14:paraId="1979BC92" w14:textId="77777777" w:rsidR="00B6048A" w:rsidRDefault="00B6048A" w:rsidP="00DF0524">
      <w:pPr>
        <w:pBdr>
          <w:top w:val="nil"/>
          <w:left w:val="nil"/>
          <w:bottom w:val="nil"/>
          <w:right w:val="nil"/>
          <w:between w:val="nil"/>
        </w:pBdr>
        <w:shd w:val="clear" w:color="auto" w:fill="FFFFFF"/>
        <w:spacing w:before="280" w:after="280" w:line="360" w:lineRule="auto"/>
      </w:pPr>
    </w:p>
    <w:p w14:paraId="6E43DDAA" w14:textId="77777777" w:rsidR="00B6048A" w:rsidRDefault="00B6048A" w:rsidP="00DF0524">
      <w:pPr>
        <w:pBdr>
          <w:top w:val="nil"/>
          <w:left w:val="nil"/>
          <w:bottom w:val="nil"/>
          <w:right w:val="nil"/>
          <w:between w:val="nil"/>
        </w:pBdr>
        <w:shd w:val="clear" w:color="auto" w:fill="FFFFFF"/>
        <w:spacing w:before="280" w:after="280" w:line="360" w:lineRule="auto"/>
      </w:pPr>
    </w:p>
    <w:p w14:paraId="3C9BBE8A" w14:textId="77777777" w:rsidR="00B6048A" w:rsidRDefault="00B6048A" w:rsidP="00DF0524">
      <w:pPr>
        <w:pBdr>
          <w:top w:val="nil"/>
          <w:left w:val="nil"/>
          <w:bottom w:val="nil"/>
          <w:right w:val="nil"/>
          <w:between w:val="nil"/>
        </w:pBdr>
        <w:shd w:val="clear" w:color="auto" w:fill="FFFFFF"/>
        <w:spacing w:before="280" w:after="280" w:line="360" w:lineRule="auto"/>
      </w:pPr>
    </w:p>
    <w:p w14:paraId="3DE990AB" w14:textId="77777777" w:rsidR="00B6048A" w:rsidRDefault="00B6048A" w:rsidP="00DF0524">
      <w:pPr>
        <w:pBdr>
          <w:top w:val="nil"/>
          <w:left w:val="nil"/>
          <w:bottom w:val="nil"/>
          <w:right w:val="nil"/>
          <w:between w:val="nil"/>
        </w:pBdr>
        <w:shd w:val="clear" w:color="auto" w:fill="FFFFFF"/>
        <w:spacing w:before="280" w:after="280" w:line="360" w:lineRule="auto"/>
      </w:pPr>
    </w:p>
    <w:p w14:paraId="445FD679" w14:textId="77777777" w:rsidR="00B6048A" w:rsidRDefault="00B6048A" w:rsidP="00DF0524">
      <w:pPr>
        <w:pBdr>
          <w:top w:val="nil"/>
          <w:left w:val="nil"/>
          <w:bottom w:val="nil"/>
          <w:right w:val="nil"/>
          <w:between w:val="nil"/>
        </w:pBdr>
        <w:shd w:val="clear" w:color="auto" w:fill="FFFFFF"/>
        <w:spacing w:before="280" w:after="280" w:line="360" w:lineRule="auto"/>
      </w:pPr>
    </w:p>
    <w:p w14:paraId="2BB3BE71" w14:textId="77777777" w:rsidR="00B6048A" w:rsidRDefault="00B6048A" w:rsidP="00DF0524">
      <w:pPr>
        <w:pBdr>
          <w:top w:val="nil"/>
          <w:left w:val="nil"/>
          <w:bottom w:val="nil"/>
          <w:right w:val="nil"/>
          <w:between w:val="nil"/>
        </w:pBdr>
        <w:shd w:val="clear" w:color="auto" w:fill="FFFFFF"/>
        <w:spacing w:before="280" w:after="280" w:line="360" w:lineRule="auto"/>
      </w:pPr>
    </w:p>
    <w:p w14:paraId="299DD0C4" w14:textId="77777777" w:rsidR="00B6048A" w:rsidRPr="00441C54" w:rsidRDefault="00B6048A" w:rsidP="00DF0524">
      <w:pPr>
        <w:pBdr>
          <w:top w:val="nil"/>
          <w:left w:val="nil"/>
          <w:bottom w:val="nil"/>
          <w:right w:val="nil"/>
          <w:between w:val="nil"/>
        </w:pBdr>
        <w:shd w:val="clear" w:color="auto" w:fill="FFFFFF"/>
        <w:spacing w:before="280" w:after="280" w:line="360" w:lineRule="auto"/>
      </w:pPr>
    </w:p>
    <w:p w14:paraId="38B6B45E" w14:textId="265EAF45" w:rsidR="00DF0524" w:rsidRPr="00BD1483" w:rsidRDefault="00BD1483" w:rsidP="00BD1483">
      <w:pPr>
        <w:pBdr>
          <w:top w:val="nil"/>
          <w:left w:val="nil"/>
          <w:bottom w:val="nil"/>
          <w:right w:val="nil"/>
          <w:between w:val="nil"/>
        </w:pBdr>
        <w:shd w:val="clear" w:color="auto" w:fill="FFFFFF"/>
        <w:spacing w:line="360" w:lineRule="auto"/>
        <w:rPr>
          <w:b/>
          <w:color w:val="222222"/>
        </w:rPr>
      </w:pPr>
      <w:r>
        <w:rPr>
          <w:b/>
        </w:rPr>
        <w:t>7</w:t>
      </w:r>
      <w:r w:rsidR="00451B99" w:rsidRPr="00BD1483">
        <w:rPr>
          <w:b/>
        </w:rPr>
        <w:t xml:space="preserve"> </w:t>
      </w:r>
      <w:r w:rsidR="00DF0524" w:rsidRPr="00BD1483">
        <w:rPr>
          <w:b/>
          <w:color w:val="222222"/>
        </w:rPr>
        <w:t>ASPECTOS ÉTICOS E FINANCEIROS</w:t>
      </w:r>
    </w:p>
    <w:p w14:paraId="56F45D4D" w14:textId="77777777" w:rsidR="00BD1483" w:rsidRDefault="004226DE" w:rsidP="00BD1483">
      <w:pPr>
        <w:spacing w:line="360" w:lineRule="auto"/>
        <w:jc w:val="both"/>
      </w:pPr>
      <w:r>
        <w:t xml:space="preserve">     </w:t>
      </w:r>
    </w:p>
    <w:p w14:paraId="5432448D" w14:textId="25A15DD2" w:rsidR="00DF0524" w:rsidRDefault="00BD1483" w:rsidP="00BD1483">
      <w:pPr>
        <w:spacing w:line="360" w:lineRule="auto"/>
        <w:jc w:val="both"/>
      </w:pPr>
      <w:r>
        <w:t xml:space="preserve">     </w:t>
      </w:r>
      <w:r w:rsidR="00DF0524">
        <w:t xml:space="preserve">Este trabalho </w:t>
      </w:r>
      <w:r w:rsidR="002941B7">
        <w:t>foi</w:t>
      </w:r>
      <w:r w:rsidR="00DF0524">
        <w:t xml:space="preserve"> executado de acordo com a norma 196/96 da Comissão Nacional de Ética e Pesquisa (CONEP)</w:t>
      </w:r>
      <w:r w:rsidR="002941B7">
        <w:t xml:space="preserve"> e foi aprovado pelo </w:t>
      </w:r>
      <w:r w:rsidR="00DF0524">
        <w:t>Comitê de Ética em Pesquisa (CEP) – CAAE: 93016218.9.0000.5662.</w:t>
      </w:r>
    </w:p>
    <w:p w14:paraId="6BC77498" w14:textId="4E7F6FD6" w:rsidR="002876AE" w:rsidRDefault="004226DE" w:rsidP="001F2014">
      <w:pPr>
        <w:spacing w:before="30" w:line="360" w:lineRule="auto"/>
        <w:jc w:val="both"/>
      </w:pPr>
      <w:r>
        <w:t xml:space="preserve">     </w:t>
      </w:r>
      <w:r w:rsidR="00DF0524">
        <w:t xml:space="preserve">Os experimentos relacionados à genotipagem </w:t>
      </w:r>
      <w:r w:rsidR="001F2014">
        <w:t>foram</w:t>
      </w:r>
      <w:r w:rsidR="00DF0524">
        <w:t xml:space="preserve"> executados </w:t>
      </w:r>
      <w:r w:rsidR="001F2014">
        <w:t xml:space="preserve">no </w:t>
      </w:r>
      <w:r w:rsidR="00DF0524">
        <w:t xml:space="preserve">Laboratório de Estudo da Tireoide (LET), do Instituto de Ciências da Saúde (ICS/UFBA). Real-time PCR </w:t>
      </w:r>
      <w:r w:rsidR="001F2014">
        <w:t>foi</w:t>
      </w:r>
      <w:r w:rsidR="00DF0524">
        <w:t xml:space="preserve"> realizada em colaboração com o Laboratório de </w:t>
      </w:r>
      <w:proofErr w:type="spellStart"/>
      <w:r w:rsidR="00DF0524">
        <w:t>Imunofarmacologia</w:t>
      </w:r>
      <w:proofErr w:type="spellEnd"/>
      <w:r w:rsidR="00DF0524">
        <w:t xml:space="preserve"> e Biologia Molecular (IMUNOBIO) do ICS/UFBA.  </w:t>
      </w:r>
      <w:r w:rsidR="00DF0524" w:rsidRPr="001F2014">
        <w:t>O projeto t</w:t>
      </w:r>
      <w:r w:rsidR="001F2014" w:rsidRPr="001F2014">
        <w:t>eve</w:t>
      </w:r>
      <w:r w:rsidR="00DF0524" w:rsidRPr="001F2014">
        <w:t xml:space="preserve"> financiamento </w:t>
      </w:r>
      <w:r w:rsidR="000847BD">
        <w:t>do</w:t>
      </w:r>
      <w:r w:rsidR="00DF0524">
        <w:t xml:space="preserve"> Conselho Nacional de Desenvolvimento Científico e Tecnológico – CNPq Chamada MCTIC</w:t>
      </w:r>
      <w:r w:rsidR="00DF0524" w:rsidRPr="007614E7">
        <w:t>/CNPq Nº 28/2018 – Universal</w:t>
      </w:r>
      <w:r w:rsidR="001F2014">
        <w:t>,</w:t>
      </w:r>
      <w:r w:rsidR="00DF0524" w:rsidRPr="007614E7">
        <w:t xml:space="preserve"> Processo: 404663/2018-4.</w:t>
      </w:r>
      <w:r w:rsidR="00DF0524" w:rsidRPr="002941B7">
        <w:t xml:space="preserve"> O projeto </w:t>
      </w:r>
      <w:r w:rsidR="000847BD">
        <w:t>conta com três</w:t>
      </w:r>
      <w:r w:rsidR="000847BD" w:rsidRPr="002941B7">
        <w:t xml:space="preserve"> </w:t>
      </w:r>
      <w:r w:rsidR="00DF0524" w:rsidRPr="002941B7">
        <w:t>alunos bolsistas de iniciação científica vinculados</w:t>
      </w:r>
      <w:r w:rsidR="001F2014">
        <w:t xml:space="preserve"> ao </w:t>
      </w:r>
      <w:r w:rsidR="00DF0524" w:rsidRPr="007614E7">
        <w:t>Edital Programa Permanecer 2019</w:t>
      </w:r>
      <w:r w:rsidR="001F2014">
        <w:t xml:space="preserve">, </w:t>
      </w:r>
      <w:r w:rsidR="00DF0524" w:rsidRPr="007614E7">
        <w:t>Projeto nº 16135</w:t>
      </w:r>
      <w:r w:rsidR="001F2014">
        <w:t xml:space="preserve"> (</w:t>
      </w:r>
      <w:r w:rsidR="00DF0524" w:rsidRPr="007614E7">
        <w:t>Morgana Miranda Ramos</w:t>
      </w:r>
      <w:r w:rsidR="001F2014">
        <w:t xml:space="preserve">), </w:t>
      </w:r>
      <w:r w:rsidR="00DF0524" w:rsidRPr="007614E7">
        <w:t>SISBIC, E</w:t>
      </w:r>
      <w:r w:rsidR="001F2014">
        <w:t>dital</w:t>
      </w:r>
      <w:r w:rsidR="00DF0524" w:rsidRPr="007614E7">
        <w:t xml:space="preserve"> PROPCI/UFBA 01/2019 PIBIC</w:t>
      </w:r>
      <w:r w:rsidR="001F2014">
        <w:t xml:space="preserve">, </w:t>
      </w:r>
      <w:r w:rsidR="00DF0524" w:rsidRPr="007614E7">
        <w:t>Projeto nº 16600</w:t>
      </w:r>
      <w:r w:rsidR="001F2014">
        <w:t xml:space="preserve"> (</w:t>
      </w:r>
      <w:r w:rsidR="00DF0524" w:rsidRPr="007614E7">
        <w:t xml:space="preserve">Lorena Rejane Maia de Jesus e </w:t>
      </w:r>
      <w:proofErr w:type="spellStart"/>
      <w:r w:rsidR="00DF0524" w:rsidRPr="007614E7">
        <w:t>Jenifer</w:t>
      </w:r>
      <w:proofErr w:type="spellEnd"/>
      <w:r w:rsidR="00DF0524" w:rsidRPr="007614E7">
        <w:t xml:space="preserve"> Freitas </w:t>
      </w:r>
      <w:proofErr w:type="spellStart"/>
      <w:r w:rsidR="00DF0524" w:rsidRPr="007614E7">
        <w:t>Arcelino</w:t>
      </w:r>
      <w:proofErr w:type="spellEnd"/>
      <w:r w:rsidR="001F2014">
        <w:t>).</w:t>
      </w:r>
      <w:r w:rsidR="00DF0524" w:rsidRPr="007614E7">
        <w:t xml:space="preserve"> </w:t>
      </w:r>
    </w:p>
    <w:p w14:paraId="2CA6FCF7" w14:textId="043FB04C" w:rsidR="00ED5956" w:rsidRDefault="00ED5956" w:rsidP="001F2014">
      <w:pPr>
        <w:spacing w:before="30" w:line="360" w:lineRule="auto"/>
        <w:jc w:val="both"/>
      </w:pPr>
    </w:p>
    <w:p w14:paraId="1A5AF8B4" w14:textId="77777777" w:rsidR="00441C54" w:rsidRDefault="00441C54" w:rsidP="001F2014">
      <w:pPr>
        <w:spacing w:before="30" w:line="360" w:lineRule="auto"/>
        <w:jc w:val="both"/>
      </w:pPr>
    </w:p>
    <w:p w14:paraId="2C8F8BCA" w14:textId="77777777" w:rsidR="00BD1483" w:rsidRDefault="00BD1483" w:rsidP="001F2014">
      <w:pPr>
        <w:spacing w:before="30" w:line="360" w:lineRule="auto"/>
        <w:jc w:val="both"/>
      </w:pPr>
    </w:p>
    <w:p w14:paraId="1976A929" w14:textId="77777777" w:rsidR="00B6048A" w:rsidRDefault="00B6048A" w:rsidP="001F2014">
      <w:pPr>
        <w:spacing w:before="30" w:line="360" w:lineRule="auto"/>
        <w:jc w:val="both"/>
      </w:pPr>
    </w:p>
    <w:p w14:paraId="78443B1F" w14:textId="77777777" w:rsidR="00B6048A" w:rsidRDefault="00B6048A" w:rsidP="001F2014">
      <w:pPr>
        <w:spacing w:before="30" w:line="360" w:lineRule="auto"/>
        <w:jc w:val="both"/>
      </w:pPr>
    </w:p>
    <w:p w14:paraId="6C9CFB10" w14:textId="77777777" w:rsidR="00B6048A" w:rsidRDefault="00B6048A" w:rsidP="001F2014">
      <w:pPr>
        <w:spacing w:before="30" w:line="360" w:lineRule="auto"/>
        <w:jc w:val="both"/>
      </w:pPr>
    </w:p>
    <w:p w14:paraId="5D5876BE" w14:textId="77777777" w:rsidR="00B6048A" w:rsidRDefault="00B6048A" w:rsidP="001F2014">
      <w:pPr>
        <w:spacing w:before="30" w:line="360" w:lineRule="auto"/>
        <w:jc w:val="both"/>
      </w:pPr>
    </w:p>
    <w:p w14:paraId="25D04073" w14:textId="77777777" w:rsidR="00B6048A" w:rsidRDefault="00B6048A" w:rsidP="001F2014">
      <w:pPr>
        <w:spacing w:before="30" w:line="360" w:lineRule="auto"/>
        <w:jc w:val="both"/>
      </w:pPr>
    </w:p>
    <w:p w14:paraId="4145450F" w14:textId="77777777" w:rsidR="00B6048A" w:rsidRDefault="00B6048A" w:rsidP="001F2014">
      <w:pPr>
        <w:spacing w:before="30" w:line="360" w:lineRule="auto"/>
        <w:jc w:val="both"/>
      </w:pPr>
    </w:p>
    <w:p w14:paraId="19771CA7" w14:textId="77777777" w:rsidR="00B6048A" w:rsidRDefault="00B6048A" w:rsidP="001F2014">
      <w:pPr>
        <w:spacing w:before="30" w:line="360" w:lineRule="auto"/>
        <w:jc w:val="both"/>
      </w:pPr>
    </w:p>
    <w:p w14:paraId="09930218" w14:textId="77777777" w:rsidR="00B6048A" w:rsidRDefault="00B6048A" w:rsidP="001F2014">
      <w:pPr>
        <w:spacing w:before="30" w:line="360" w:lineRule="auto"/>
        <w:jc w:val="both"/>
      </w:pPr>
    </w:p>
    <w:p w14:paraId="67C41ADF" w14:textId="77777777" w:rsidR="00B6048A" w:rsidRDefault="00B6048A" w:rsidP="001F2014">
      <w:pPr>
        <w:spacing w:before="30" w:line="360" w:lineRule="auto"/>
        <w:jc w:val="both"/>
      </w:pPr>
    </w:p>
    <w:p w14:paraId="6947DA24" w14:textId="77777777" w:rsidR="00B6048A" w:rsidRDefault="00B6048A" w:rsidP="001F2014">
      <w:pPr>
        <w:spacing w:before="30" w:line="360" w:lineRule="auto"/>
        <w:jc w:val="both"/>
      </w:pPr>
    </w:p>
    <w:p w14:paraId="04887DF5" w14:textId="77777777" w:rsidR="00B6048A" w:rsidRDefault="00B6048A" w:rsidP="001F2014">
      <w:pPr>
        <w:spacing w:before="30" w:line="360" w:lineRule="auto"/>
        <w:jc w:val="both"/>
      </w:pPr>
    </w:p>
    <w:p w14:paraId="0354E28B" w14:textId="77777777" w:rsidR="00B6048A" w:rsidRDefault="00B6048A" w:rsidP="001F2014">
      <w:pPr>
        <w:spacing w:before="30" w:line="360" w:lineRule="auto"/>
        <w:jc w:val="both"/>
      </w:pPr>
    </w:p>
    <w:p w14:paraId="6A83AD5C" w14:textId="77777777" w:rsidR="00B6048A" w:rsidRDefault="00B6048A" w:rsidP="001F2014">
      <w:pPr>
        <w:spacing w:before="30" w:line="360" w:lineRule="auto"/>
        <w:jc w:val="both"/>
      </w:pPr>
    </w:p>
    <w:p w14:paraId="589E8B79" w14:textId="77777777" w:rsidR="00B6048A" w:rsidRDefault="00B6048A" w:rsidP="001F2014">
      <w:pPr>
        <w:spacing w:before="30" w:line="360" w:lineRule="auto"/>
        <w:jc w:val="both"/>
      </w:pPr>
    </w:p>
    <w:p w14:paraId="555984C3" w14:textId="77777777" w:rsidR="00B6048A" w:rsidRPr="007614E7" w:rsidRDefault="00B6048A" w:rsidP="001F2014">
      <w:pPr>
        <w:spacing w:before="30" w:line="360" w:lineRule="auto"/>
        <w:jc w:val="both"/>
      </w:pPr>
    </w:p>
    <w:p w14:paraId="0633CB45" w14:textId="6F5A80A6" w:rsidR="002A4B55" w:rsidRPr="00BD1483" w:rsidRDefault="00BD1483" w:rsidP="00BD1483">
      <w:pPr>
        <w:pStyle w:val="Ttulo1"/>
        <w:numPr>
          <w:ilvl w:val="0"/>
          <w:numId w:val="0"/>
        </w:numPr>
        <w:pBdr>
          <w:top w:val="nil"/>
          <w:left w:val="nil"/>
          <w:bottom w:val="nil"/>
          <w:right w:val="nil"/>
          <w:between w:val="nil"/>
        </w:pBdr>
        <w:spacing w:before="0" w:line="360" w:lineRule="auto"/>
        <w:jc w:val="both"/>
        <w:rPr>
          <w:rFonts w:ascii="Times New Roman" w:hAnsi="Times New Roman"/>
          <w:color w:val="222222"/>
          <w:sz w:val="24"/>
          <w:szCs w:val="24"/>
          <w:lang w:val="pt-BR"/>
        </w:rPr>
      </w:pPr>
      <w:r>
        <w:rPr>
          <w:rFonts w:ascii="Times New Roman" w:hAnsi="Times New Roman"/>
          <w:color w:val="222222"/>
          <w:sz w:val="24"/>
          <w:szCs w:val="24"/>
          <w:lang w:val="pt-BR"/>
        </w:rPr>
        <w:t>8</w:t>
      </w:r>
      <w:r w:rsidR="001F2014">
        <w:rPr>
          <w:rFonts w:ascii="Times New Roman" w:hAnsi="Times New Roman"/>
          <w:color w:val="222222"/>
          <w:sz w:val="24"/>
          <w:szCs w:val="24"/>
          <w:lang w:val="pt-BR"/>
        </w:rPr>
        <w:t xml:space="preserve"> </w:t>
      </w:r>
      <w:r w:rsidR="00451B99" w:rsidRPr="00BD1483">
        <w:rPr>
          <w:rFonts w:ascii="Times New Roman" w:hAnsi="Times New Roman"/>
          <w:color w:val="222222"/>
          <w:sz w:val="24"/>
          <w:szCs w:val="24"/>
          <w:lang w:val="pt-BR"/>
        </w:rPr>
        <w:t>R</w:t>
      </w:r>
      <w:r w:rsidR="007614E7" w:rsidRPr="00BD1483">
        <w:rPr>
          <w:rFonts w:ascii="Times New Roman" w:hAnsi="Times New Roman"/>
          <w:color w:val="222222"/>
          <w:sz w:val="24"/>
          <w:szCs w:val="24"/>
          <w:lang w:val="pt-BR"/>
        </w:rPr>
        <w:t>ESULTADOS</w:t>
      </w:r>
    </w:p>
    <w:p w14:paraId="582C5C0E" w14:textId="77777777" w:rsidR="00BD1483" w:rsidRDefault="00BD1483" w:rsidP="00BD1483">
      <w:pPr>
        <w:spacing w:line="360" w:lineRule="auto"/>
        <w:rPr>
          <w:lang w:eastAsia="en-US"/>
        </w:rPr>
      </w:pPr>
      <w:r>
        <w:rPr>
          <w:lang w:eastAsia="en-US"/>
        </w:rPr>
        <w:t xml:space="preserve"> </w:t>
      </w:r>
    </w:p>
    <w:p w14:paraId="481B50BF" w14:textId="31CEB74F" w:rsidR="00544B4B" w:rsidRDefault="00BD1483" w:rsidP="00BD1483">
      <w:pPr>
        <w:spacing w:line="360" w:lineRule="auto"/>
        <w:rPr>
          <w:lang w:eastAsia="en-US"/>
        </w:rPr>
      </w:pPr>
      <w:r>
        <w:rPr>
          <w:lang w:eastAsia="en-US"/>
        </w:rPr>
        <w:t xml:space="preserve">    </w:t>
      </w:r>
      <w:r w:rsidR="009210F5">
        <w:rPr>
          <w:lang w:eastAsia="en-US"/>
        </w:rPr>
        <w:t>Esta seção reúne os dados que compõem os resu</w:t>
      </w:r>
      <w:r w:rsidR="00A322DB">
        <w:rPr>
          <w:lang w:eastAsia="en-US"/>
        </w:rPr>
        <w:t>l</w:t>
      </w:r>
      <w:r w:rsidR="009210F5">
        <w:rPr>
          <w:lang w:eastAsia="en-US"/>
        </w:rPr>
        <w:t>tados deste estudo, detalhado</w:t>
      </w:r>
      <w:r w:rsidR="00A322DB">
        <w:rPr>
          <w:lang w:eastAsia="en-US"/>
        </w:rPr>
        <w:t>s</w:t>
      </w:r>
      <w:r w:rsidR="009210F5">
        <w:rPr>
          <w:lang w:eastAsia="en-US"/>
        </w:rPr>
        <w:t xml:space="preserve"> em três partes, conforme segue.</w:t>
      </w:r>
    </w:p>
    <w:p w14:paraId="55F909AA" w14:textId="77777777" w:rsidR="00BD1483" w:rsidRPr="00BD1483" w:rsidRDefault="00BD1483" w:rsidP="00BD1483">
      <w:pPr>
        <w:spacing w:line="360" w:lineRule="auto"/>
        <w:rPr>
          <w:lang w:eastAsia="en-US"/>
        </w:rPr>
      </w:pPr>
    </w:p>
    <w:p w14:paraId="3D5FEAF5" w14:textId="7E066260" w:rsidR="00CB7DDC" w:rsidRDefault="00BD1483" w:rsidP="00BD1483">
      <w:pPr>
        <w:spacing w:line="360" w:lineRule="auto"/>
      </w:pPr>
      <w:r w:rsidRPr="00BD1483">
        <w:rPr>
          <w:lang w:eastAsia="en-US"/>
        </w:rPr>
        <w:t>8</w:t>
      </w:r>
      <w:r>
        <w:rPr>
          <w:lang w:eastAsia="en-US"/>
        </w:rPr>
        <w:t>.</w:t>
      </w:r>
      <w:r w:rsidRPr="00BD1483">
        <w:rPr>
          <w:lang w:eastAsia="en-US"/>
        </w:rPr>
        <w:t>1</w:t>
      </w:r>
      <w:r w:rsidR="00083D5B">
        <w:t xml:space="preserve"> </w:t>
      </w:r>
      <w:r w:rsidR="005E6E98">
        <w:t>DADOS CLÍNICOS E DEMOGRÁFICOS DA AMOSTR</w:t>
      </w:r>
      <w:r w:rsidR="003E02A3">
        <w:t>A</w:t>
      </w:r>
    </w:p>
    <w:p w14:paraId="1E96AA59" w14:textId="77777777" w:rsidR="009F6EBA" w:rsidRDefault="009F6EBA" w:rsidP="00BD1483">
      <w:pPr>
        <w:spacing w:line="360" w:lineRule="auto"/>
        <w:jc w:val="both"/>
      </w:pPr>
    </w:p>
    <w:p w14:paraId="05F24311" w14:textId="0638B662" w:rsidR="00722C72" w:rsidRPr="00AB4954" w:rsidRDefault="003E02A3" w:rsidP="001F2014">
      <w:pPr>
        <w:spacing w:before="30" w:line="360" w:lineRule="auto"/>
        <w:jc w:val="both"/>
      </w:pPr>
      <w:r>
        <w:t xml:space="preserve">     </w:t>
      </w:r>
      <w:r w:rsidR="00227AC1" w:rsidRPr="00AB4954">
        <w:t xml:space="preserve">Completaram o estudo </w:t>
      </w:r>
      <w:r w:rsidR="00005524" w:rsidRPr="00AB4954">
        <w:t>6</w:t>
      </w:r>
      <w:r w:rsidR="00931EEB" w:rsidRPr="00AB4954">
        <w:t>4</w:t>
      </w:r>
      <w:r w:rsidR="00005524" w:rsidRPr="00AB4954">
        <w:t xml:space="preserve"> i</w:t>
      </w:r>
      <w:r w:rsidR="00C73E7C" w:rsidRPr="00AB4954">
        <w:t>ndivíduos</w:t>
      </w:r>
      <w:r w:rsidR="00005524" w:rsidRPr="00AB4954">
        <w:t>. A m</w:t>
      </w:r>
      <w:r w:rsidR="006104DA" w:rsidRPr="00AB4954">
        <w:t>ediana da idade</w:t>
      </w:r>
      <w:r w:rsidR="00005524" w:rsidRPr="00AB4954">
        <w:t xml:space="preserve"> foi de 70 (</w:t>
      </w:r>
      <w:r w:rsidR="006104DA" w:rsidRPr="00AB4954">
        <w:t>IIQ=</w:t>
      </w:r>
      <w:r w:rsidR="00005524" w:rsidRPr="00AB4954">
        <w:t>6</w:t>
      </w:r>
      <w:r w:rsidR="006104DA" w:rsidRPr="00AB4954">
        <w:t>5</w:t>
      </w:r>
      <w:r w:rsidR="00005524" w:rsidRPr="00AB4954">
        <w:t>-7</w:t>
      </w:r>
      <w:r w:rsidR="006104DA" w:rsidRPr="00AB4954">
        <w:t>3</w:t>
      </w:r>
      <w:r w:rsidR="00005524" w:rsidRPr="00AB4954">
        <w:t xml:space="preserve">) anos, </w:t>
      </w:r>
      <w:r w:rsidRPr="00AB4954">
        <w:t xml:space="preserve">100% do </w:t>
      </w:r>
      <w:r w:rsidR="00005524" w:rsidRPr="00AB4954">
        <w:t xml:space="preserve">sexo feminino. </w:t>
      </w:r>
      <w:r w:rsidR="007614E7" w:rsidRPr="007F35A6">
        <w:t>A</w:t>
      </w:r>
      <w:r w:rsidR="00005524" w:rsidRPr="007F35A6">
        <w:t>s</w:t>
      </w:r>
      <w:r w:rsidR="007614E7" w:rsidRPr="007F35A6">
        <w:t xml:space="preserve"> m</w:t>
      </w:r>
      <w:r w:rsidR="006104DA" w:rsidRPr="007F35A6">
        <w:t>edianas</w:t>
      </w:r>
      <w:r w:rsidR="007614E7" w:rsidRPr="007F35A6">
        <w:t xml:space="preserve"> do TSH</w:t>
      </w:r>
      <w:r w:rsidR="00005524" w:rsidRPr="007F35A6">
        <w:t xml:space="preserve">, T4l e T3l foram de, respectivamente, </w:t>
      </w:r>
      <w:r w:rsidR="007614E7" w:rsidRPr="007F35A6">
        <w:t>2,1</w:t>
      </w:r>
      <w:r w:rsidR="00C73E7C" w:rsidRPr="00231880">
        <w:t>7</w:t>
      </w:r>
      <w:r w:rsidR="00FF1D16" w:rsidRPr="00231880">
        <w:t>mU / L</w:t>
      </w:r>
      <w:r w:rsidR="002C36C7" w:rsidRPr="00231880">
        <w:t xml:space="preserve"> (IIQ=1,58-2,97)</w:t>
      </w:r>
      <w:r w:rsidR="00005524" w:rsidRPr="00231880">
        <w:t xml:space="preserve">, </w:t>
      </w:r>
      <w:r w:rsidR="007614E7" w:rsidRPr="00231880">
        <w:t>1,1</w:t>
      </w:r>
      <w:r w:rsidR="00C73E7C" w:rsidRPr="00231880">
        <w:t>2</w:t>
      </w:r>
      <w:r w:rsidR="007614E7" w:rsidRPr="00231880">
        <w:t xml:space="preserve"> </w:t>
      </w:r>
      <w:r w:rsidR="00FF1D16" w:rsidRPr="00231880">
        <w:t>ng / dL</w:t>
      </w:r>
      <w:r w:rsidR="002C36C7" w:rsidRPr="00406F13">
        <w:t xml:space="preserve"> (IIQ=1,04-1,20)</w:t>
      </w:r>
      <w:r w:rsidR="00FF1D16" w:rsidRPr="00406F13">
        <w:t xml:space="preserve"> </w:t>
      </w:r>
      <w:r w:rsidR="007614E7" w:rsidRPr="00CA4AD9">
        <w:t>e 2,7</w:t>
      </w:r>
      <w:r w:rsidR="00C73E7C" w:rsidRPr="00CA4AD9">
        <w:t>8</w:t>
      </w:r>
      <w:r w:rsidR="00FF1D16" w:rsidRPr="00CA4AD9">
        <w:t xml:space="preserve"> pg / mL</w:t>
      </w:r>
      <w:r w:rsidR="002C36C7" w:rsidRPr="00CA4AD9">
        <w:t xml:space="preserve"> (IIQ=2,64-2,98)</w:t>
      </w:r>
      <w:r w:rsidR="007614E7" w:rsidRPr="00CA4AD9">
        <w:t>.</w:t>
      </w:r>
      <w:r w:rsidR="00CF6F53" w:rsidRPr="00CA4AD9">
        <w:t xml:space="preserve">  </w:t>
      </w:r>
      <w:r w:rsidR="00A5629B" w:rsidRPr="00CA4AD9">
        <w:t>A m</w:t>
      </w:r>
      <w:r w:rsidR="002C36C7" w:rsidRPr="00AB4954">
        <w:t>ediana</w:t>
      </w:r>
      <w:r w:rsidR="00A5629B" w:rsidRPr="00AB4954">
        <w:t xml:space="preserve"> d</w:t>
      </w:r>
      <w:r w:rsidR="002C36C7" w:rsidRPr="00AB4954">
        <w:t>o</w:t>
      </w:r>
      <w:r w:rsidR="00A5629B" w:rsidRPr="00AB4954">
        <w:t xml:space="preserve"> IMC foi de 26,3kg/m2</w:t>
      </w:r>
      <w:r w:rsidR="002C36C7" w:rsidRPr="00AB4954">
        <w:t xml:space="preserve"> (IIQ=24-30,6)</w:t>
      </w:r>
      <w:r w:rsidR="00A5629B" w:rsidRPr="00AB4954">
        <w:t xml:space="preserve">. </w:t>
      </w:r>
      <w:r w:rsidR="00227AC1" w:rsidRPr="00AB4954">
        <w:t>Hipertensão arterial sistêmica</w:t>
      </w:r>
      <w:r w:rsidR="00AB4954">
        <w:t>, d</w:t>
      </w:r>
      <w:r w:rsidR="00A5629B" w:rsidRPr="00AB4954">
        <w:t>iabete</w:t>
      </w:r>
      <w:r w:rsidR="00AB4954">
        <w:t>s</w:t>
      </w:r>
      <w:r w:rsidR="00A5629B" w:rsidRPr="00AB4954">
        <w:t xml:space="preserve"> </w:t>
      </w:r>
      <w:r w:rsidR="00AB4954" w:rsidRPr="00AB4954">
        <w:rPr>
          <w:i/>
        </w:rPr>
        <w:t>mel</w:t>
      </w:r>
      <w:r w:rsidR="00AB4954">
        <w:rPr>
          <w:i/>
        </w:rPr>
        <w:t>l</w:t>
      </w:r>
      <w:r w:rsidR="00AB4954" w:rsidRPr="00AB4954">
        <w:rPr>
          <w:i/>
        </w:rPr>
        <w:t>it</w:t>
      </w:r>
      <w:r w:rsidR="00AB4954">
        <w:rPr>
          <w:i/>
        </w:rPr>
        <w:t>us</w:t>
      </w:r>
      <w:r w:rsidR="00AB4954">
        <w:t xml:space="preserve"> e d</w:t>
      </w:r>
      <w:r w:rsidR="00A5629B" w:rsidRPr="00AB4954">
        <w:t>islipidemia</w:t>
      </w:r>
      <w:r w:rsidR="00227AC1" w:rsidRPr="00AB4954">
        <w:t xml:space="preserve"> estava</w:t>
      </w:r>
      <w:r w:rsidR="00AB4954">
        <w:t>m</w:t>
      </w:r>
      <w:r w:rsidR="00227AC1" w:rsidRPr="00AB4954">
        <w:t xml:space="preserve"> presente</w:t>
      </w:r>
      <w:r w:rsidR="00A5629B" w:rsidRPr="00AB4954">
        <w:t>s</w:t>
      </w:r>
      <w:r w:rsidR="00227AC1" w:rsidRPr="00AB4954">
        <w:t xml:space="preserve"> em </w:t>
      </w:r>
      <w:r w:rsidR="00A5629B" w:rsidRPr="00AB4954">
        <w:t>62,26%, 24,53% e 39,62% da amostra, respectivamente.</w:t>
      </w:r>
    </w:p>
    <w:p w14:paraId="39016FFF" w14:textId="5F59FC12" w:rsidR="008103C2" w:rsidRPr="008103C2" w:rsidRDefault="00A5629B" w:rsidP="00FB55F6">
      <w:pPr>
        <w:spacing w:before="30" w:line="360" w:lineRule="auto"/>
        <w:jc w:val="both"/>
      </w:pPr>
      <w:r w:rsidRPr="007F35A6">
        <w:t xml:space="preserve">     </w:t>
      </w:r>
      <w:r w:rsidR="008103C2" w:rsidRPr="007F35A6">
        <w:t>A maioria das voluntárias estava com condição nutricional adequada (79,25%), nenhuma delas apresentava risco de desnutrição. As m</w:t>
      </w:r>
      <w:r w:rsidR="002C36C7" w:rsidRPr="007F35A6">
        <w:t>edianas</w:t>
      </w:r>
      <w:r w:rsidR="008103C2" w:rsidRPr="007F35A6">
        <w:t xml:space="preserve"> </w:t>
      </w:r>
      <w:r w:rsidRPr="007F35A6">
        <w:t>das circunferências</w:t>
      </w:r>
      <w:r w:rsidR="008103C2" w:rsidRPr="00231880">
        <w:t xml:space="preserve"> da panturrilha e cintura foram de 30</w:t>
      </w:r>
      <w:r w:rsidR="00227AC1" w:rsidRPr="00231880">
        <w:t>cm</w:t>
      </w:r>
      <w:r w:rsidR="00F62F9C" w:rsidRPr="00231880">
        <w:t xml:space="preserve"> (IIQ=27-32)</w:t>
      </w:r>
      <w:r w:rsidR="00227AC1" w:rsidRPr="00231880">
        <w:t xml:space="preserve"> e 91,</w:t>
      </w:r>
      <w:r w:rsidR="00F62F9C" w:rsidRPr="00231880">
        <w:t>5</w:t>
      </w:r>
      <w:r w:rsidR="00227AC1" w:rsidRPr="00231880">
        <w:t>cm</w:t>
      </w:r>
      <w:r w:rsidR="00F62F9C" w:rsidRPr="00231880">
        <w:t xml:space="preserve"> (IIQ=87-</w:t>
      </w:r>
      <w:r w:rsidR="00F62F9C" w:rsidRPr="00AB4954">
        <w:t>99)</w:t>
      </w:r>
      <w:r w:rsidR="00227AC1" w:rsidRPr="00AB4954">
        <w:t>, respectivamente</w:t>
      </w:r>
      <w:r w:rsidR="00F62F9C" w:rsidRPr="00AB4954">
        <w:t>.</w:t>
      </w:r>
      <w:r w:rsidR="00227AC1" w:rsidRPr="00AB4954">
        <w:t xml:space="preserve"> </w:t>
      </w:r>
      <w:r w:rsidR="00AB4954" w:rsidRPr="00D02EA8">
        <w:t>A T</w:t>
      </w:r>
      <w:r w:rsidRPr="00D02EA8">
        <w:t xml:space="preserve">abela </w:t>
      </w:r>
      <w:r w:rsidR="00D02EA8" w:rsidRPr="00D02EA8">
        <w:t>4</w:t>
      </w:r>
      <w:r w:rsidRPr="00AB4954">
        <w:t xml:space="preserve"> resume as características sociodemográficas e clinicas.</w:t>
      </w:r>
      <w:r>
        <w:t xml:space="preserve"> </w:t>
      </w:r>
    </w:p>
    <w:p w14:paraId="6A3C357E" w14:textId="77777777" w:rsidR="00C62C17" w:rsidRPr="00083D5B" w:rsidRDefault="00C62C17" w:rsidP="00FB55F6">
      <w:pPr>
        <w:spacing w:before="30" w:line="360" w:lineRule="auto"/>
        <w:jc w:val="both"/>
      </w:pPr>
    </w:p>
    <w:p w14:paraId="6E676B6F" w14:textId="45615B6F" w:rsidR="00FB55F6" w:rsidRPr="00F85264" w:rsidRDefault="00722C72" w:rsidP="00722C72">
      <w:pPr>
        <w:jc w:val="both"/>
        <w:rPr>
          <w:sz w:val="22"/>
          <w:szCs w:val="22"/>
        </w:rPr>
      </w:pPr>
      <w:r w:rsidRPr="00215564">
        <w:rPr>
          <w:b/>
          <w:bCs/>
          <w:sz w:val="22"/>
          <w:szCs w:val="22"/>
        </w:rPr>
        <w:t>T</w:t>
      </w:r>
      <w:r w:rsidR="00F85264" w:rsidRPr="00215564">
        <w:rPr>
          <w:b/>
          <w:bCs/>
          <w:sz w:val="22"/>
          <w:szCs w:val="22"/>
        </w:rPr>
        <w:t>abela</w:t>
      </w:r>
      <w:r w:rsidR="00047856" w:rsidRPr="00215564">
        <w:rPr>
          <w:b/>
          <w:bCs/>
          <w:sz w:val="22"/>
          <w:szCs w:val="22"/>
        </w:rPr>
        <w:t xml:space="preserve"> </w:t>
      </w:r>
      <w:r w:rsidR="00215564" w:rsidRPr="00215564">
        <w:rPr>
          <w:b/>
          <w:bCs/>
          <w:sz w:val="22"/>
          <w:szCs w:val="22"/>
        </w:rPr>
        <w:t>4</w:t>
      </w:r>
      <w:r w:rsidRPr="00215564">
        <w:rPr>
          <w:b/>
          <w:bCs/>
          <w:sz w:val="22"/>
          <w:szCs w:val="22"/>
        </w:rPr>
        <w:t xml:space="preserve">: </w:t>
      </w:r>
      <w:r w:rsidRPr="00215564">
        <w:rPr>
          <w:sz w:val="22"/>
          <w:szCs w:val="22"/>
        </w:rPr>
        <w:t>Características demográficas</w:t>
      </w:r>
      <w:r w:rsidRPr="00F85264">
        <w:rPr>
          <w:sz w:val="22"/>
          <w:szCs w:val="22"/>
        </w:rPr>
        <w:t>, clínicas e antropométricas dos participantes do estudo (n=64).</w:t>
      </w:r>
    </w:p>
    <w:p w14:paraId="1E647CE7" w14:textId="77777777" w:rsidR="0009469A" w:rsidRPr="00F85264" w:rsidRDefault="0009469A" w:rsidP="00722C72">
      <w:pPr>
        <w:jc w:val="both"/>
        <w:rPr>
          <w:rFonts w:ascii="Arial" w:hAnsi="Arial" w:cs="Arial"/>
          <w:b/>
          <w:bCs/>
          <w:sz w:val="22"/>
          <w:szCs w:val="22"/>
        </w:rPr>
      </w:pPr>
    </w:p>
    <w:p w14:paraId="22470F08" w14:textId="3D2D91DD" w:rsidR="00FB55F6" w:rsidRPr="00A5629B" w:rsidRDefault="00FB55F6" w:rsidP="00FB55F6">
      <w:pPr>
        <w:jc w:val="center"/>
        <w:rPr>
          <w:rFonts w:ascii="Arial" w:hAnsi="Arial" w:cs="Arial"/>
          <w:b/>
          <w:bCs/>
          <w:sz w:val="20"/>
          <w:szCs w:val="20"/>
        </w:rPr>
      </w:pPr>
    </w:p>
    <w:tbl>
      <w:tblPr>
        <w:tblStyle w:val="SimplesTabela2"/>
        <w:tblW w:w="7324" w:type="dxa"/>
        <w:tblLook w:val="04A0" w:firstRow="1" w:lastRow="0" w:firstColumn="1" w:lastColumn="0" w:noHBand="0" w:noVBand="1"/>
      </w:tblPr>
      <w:tblGrid>
        <w:gridCol w:w="5154"/>
        <w:gridCol w:w="2170"/>
      </w:tblGrid>
      <w:tr w:rsidR="00FB55F6" w:rsidRPr="00A5629B" w14:paraId="7A0786BD" w14:textId="77777777" w:rsidTr="00466D96">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1B187BB4" w14:textId="77777777" w:rsidR="00FB55F6" w:rsidRPr="00A5629B" w:rsidRDefault="00FB55F6" w:rsidP="0009469A">
            <w:pPr>
              <w:rPr>
                <w:rFonts w:ascii="Arial" w:hAnsi="Arial" w:cs="Arial"/>
                <w:b w:val="0"/>
                <w:bCs w:val="0"/>
                <w:sz w:val="20"/>
                <w:szCs w:val="20"/>
              </w:rPr>
            </w:pPr>
            <w:r w:rsidRPr="00A5629B">
              <w:rPr>
                <w:rFonts w:ascii="Arial" w:hAnsi="Arial" w:cs="Arial"/>
                <w:sz w:val="20"/>
                <w:szCs w:val="20"/>
              </w:rPr>
              <w:t>Variáveis</w:t>
            </w:r>
          </w:p>
        </w:tc>
        <w:tc>
          <w:tcPr>
            <w:tcW w:w="2170" w:type="dxa"/>
            <w:noWrap/>
            <w:hideMark/>
          </w:tcPr>
          <w:p w14:paraId="154E5B0C" w14:textId="77777777" w:rsidR="00FB55F6" w:rsidRPr="00A5629B" w:rsidRDefault="00FB55F6" w:rsidP="00ED5956">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tc>
      </w:tr>
      <w:tr w:rsidR="00FB55F6" w:rsidRPr="00A5629B" w14:paraId="7E201F9E"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0DC90762" w14:textId="14FC3C34" w:rsidR="00FB55F6" w:rsidRPr="00466D96" w:rsidRDefault="00FB55F6" w:rsidP="00ED5956">
            <w:pPr>
              <w:rPr>
                <w:rFonts w:ascii="Arial" w:hAnsi="Arial" w:cs="Arial"/>
                <w:b w:val="0"/>
                <w:bCs w:val="0"/>
                <w:color w:val="000000"/>
                <w:sz w:val="20"/>
                <w:szCs w:val="20"/>
              </w:rPr>
            </w:pPr>
            <w:r w:rsidRPr="00466D96">
              <w:rPr>
                <w:rFonts w:ascii="Arial" w:hAnsi="Arial" w:cs="Arial"/>
                <w:b w:val="0"/>
                <w:bCs w:val="0"/>
                <w:color w:val="000000"/>
                <w:sz w:val="20"/>
                <w:szCs w:val="20"/>
              </w:rPr>
              <w:t>Idade (anos), Med (IIQ)</w:t>
            </w:r>
            <w:r w:rsidR="00F13B40">
              <w:rPr>
                <w:rFonts w:ascii="Arial" w:hAnsi="Arial" w:cs="Arial"/>
                <w:b w:val="0"/>
                <w:bCs w:val="0"/>
                <w:color w:val="000000"/>
                <w:sz w:val="20"/>
                <w:szCs w:val="20"/>
              </w:rPr>
              <w:t xml:space="preserve"> (n=64)</w:t>
            </w:r>
          </w:p>
        </w:tc>
        <w:tc>
          <w:tcPr>
            <w:tcW w:w="2170" w:type="dxa"/>
            <w:noWrap/>
            <w:hideMark/>
          </w:tcPr>
          <w:p w14:paraId="742D04DA" w14:textId="77777777"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6D96">
              <w:rPr>
                <w:rFonts w:ascii="Arial" w:hAnsi="Arial" w:cs="Arial"/>
                <w:sz w:val="18"/>
                <w:szCs w:val="18"/>
              </w:rPr>
              <w:t>70 (65-73)</w:t>
            </w:r>
          </w:p>
        </w:tc>
      </w:tr>
      <w:tr w:rsidR="00FB55F6" w:rsidRPr="00A5629B" w14:paraId="74DC2CDA"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3169FD7D" w14:textId="18D6FBA1" w:rsidR="00FB55F6" w:rsidRPr="00466D96" w:rsidRDefault="00FB55F6" w:rsidP="00ED5956">
            <w:pPr>
              <w:rPr>
                <w:rFonts w:ascii="Arial" w:hAnsi="Arial" w:cs="Arial"/>
                <w:b w:val="0"/>
                <w:bCs w:val="0"/>
                <w:color w:val="000000"/>
                <w:sz w:val="20"/>
                <w:szCs w:val="20"/>
              </w:rPr>
            </w:pPr>
            <w:r w:rsidRPr="00466D96">
              <w:rPr>
                <w:rFonts w:ascii="Arial" w:hAnsi="Arial" w:cs="Arial"/>
                <w:b w:val="0"/>
                <w:bCs w:val="0"/>
                <w:color w:val="000000"/>
                <w:sz w:val="20"/>
                <w:szCs w:val="20"/>
              </w:rPr>
              <w:t>Atividade física, n (%)</w:t>
            </w:r>
            <w:r w:rsidR="00F13B40">
              <w:rPr>
                <w:rFonts w:ascii="Arial" w:hAnsi="Arial" w:cs="Arial"/>
                <w:b w:val="0"/>
                <w:bCs w:val="0"/>
                <w:color w:val="000000"/>
                <w:sz w:val="20"/>
                <w:szCs w:val="20"/>
              </w:rPr>
              <w:t xml:space="preserve"> (n=52)</w:t>
            </w:r>
          </w:p>
        </w:tc>
        <w:tc>
          <w:tcPr>
            <w:tcW w:w="2170" w:type="dxa"/>
            <w:noWrap/>
            <w:hideMark/>
          </w:tcPr>
          <w:p w14:paraId="4A2E7F73" w14:textId="77777777"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6D96">
              <w:rPr>
                <w:rFonts w:ascii="Arial" w:hAnsi="Arial" w:cs="Arial"/>
                <w:sz w:val="18"/>
                <w:szCs w:val="18"/>
              </w:rPr>
              <w:t>44/52 (84,62%)</w:t>
            </w:r>
          </w:p>
        </w:tc>
      </w:tr>
      <w:tr w:rsidR="00FB55F6" w:rsidRPr="00A5629B" w14:paraId="372576B9"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3DB18B60" w14:textId="044B0F6E" w:rsidR="00FB55F6" w:rsidRPr="00466D96" w:rsidRDefault="00FB55F6" w:rsidP="00ED5956">
            <w:pPr>
              <w:rPr>
                <w:rFonts w:ascii="Arial" w:hAnsi="Arial" w:cs="Arial"/>
                <w:b w:val="0"/>
                <w:bCs w:val="0"/>
                <w:color w:val="000000"/>
                <w:sz w:val="20"/>
                <w:szCs w:val="20"/>
              </w:rPr>
            </w:pPr>
            <w:r w:rsidRPr="00466D96">
              <w:rPr>
                <w:rFonts w:ascii="Arial" w:hAnsi="Arial" w:cs="Arial"/>
                <w:b w:val="0"/>
                <w:bCs w:val="0"/>
                <w:color w:val="000000"/>
                <w:sz w:val="20"/>
                <w:szCs w:val="20"/>
              </w:rPr>
              <w:t>Tabagismo, n (%)</w:t>
            </w:r>
            <w:r w:rsidR="00F13B40">
              <w:rPr>
                <w:rFonts w:ascii="Arial" w:hAnsi="Arial" w:cs="Arial"/>
                <w:b w:val="0"/>
                <w:bCs w:val="0"/>
                <w:color w:val="000000"/>
                <w:sz w:val="20"/>
                <w:szCs w:val="20"/>
              </w:rPr>
              <w:t xml:space="preserve"> (n=52)</w:t>
            </w:r>
          </w:p>
        </w:tc>
        <w:tc>
          <w:tcPr>
            <w:tcW w:w="2170" w:type="dxa"/>
            <w:noWrap/>
            <w:hideMark/>
          </w:tcPr>
          <w:p w14:paraId="5F3CB62B" w14:textId="77777777"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6D96">
              <w:rPr>
                <w:rFonts w:ascii="Arial" w:hAnsi="Arial" w:cs="Arial"/>
                <w:sz w:val="18"/>
                <w:szCs w:val="18"/>
              </w:rPr>
              <w:t>2/52 (3,85%)</w:t>
            </w:r>
          </w:p>
        </w:tc>
      </w:tr>
      <w:tr w:rsidR="00FB55F6" w:rsidRPr="00A5629B" w14:paraId="6051EECB"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33486EA6" w14:textId="2245DFA1" w:rsidR="00FB55F6" w:rsidRPr="00466D96" w:rsidRDefault="00FB55F6" w:rsidP="00ED5956">
            <w:pPr>
              <w:rPr>
                <w:rFonts w:ascii="Arial" w:hAnsi="Arial" w:cs="Arial"/>
                <w:b w:val="0"/>
                <w:bCs w:val="0"/>
                <w:color w:val="000000"/>
                <w:sz w:val="20"/>
                <w:szCs w:val="20"/>
              </w:rPr>
            </w:pPr>
            <w:r w:rsidRPr="00466D96">
              <w:rPr>
                <w:rFonts w:ascii="Arial" w:hAnsi="Arial" w:cs="Arial"/>
                <w:b w:val="0"/>
                <w:bCs w:val="0"/>
                <w:color w:val="000000"/>
                <w:sz w:val="20"/>
                <w:szCs w:val="20"/>
              </w:rPr>
              <w:t>Lawton, Med (IIQ)</w:t>
            </w:r>
            <w:r w:rsidR="00F13B40">
              <w:rPr>
                <w:rFonts w:ascii="Arial" w:hAnsi="Arial" w:cs="Arial"/>
                <w:b w:val="0"/>
                <w:bCs w:val="0"/>
                <w:color w:val="000000"/>
                <w:sz w:val="20"/>
                <w:szCs w:val="20"/>
              </w:rPr>
              <w:t xml:space="preserve"> (n=58)</w:t>
            </w:r>
          </w:p>
        </w:tc>
        <w:tc>
          <w:tcPr>
            <w:tcW w:w="2170" w:type="dxa"/>
            <w:noWrap/>
            <w:hideMark/>
          </w:tcPr>
          <w:p w14:paraId="7CC9AF2B" w14:textId="77777777"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6D96">
              <w:rPr>
                <w:rFonts w:ascii="Arial" w:hAnsi="Arial" w:cs="Arial"/>
                <w:sz w:val="18"/>
                <w:szCs w:val="18"/>
              </w:rPr>
              <w:t>21 (20-21)</w:t>
            </w:r>
          </w:p>
        </w:tc>
      </w:tr>
      <w:tr w:rsidR="00FB55F6" w:rsidRPr="00A5629B" w14:paraId="4E1779FF"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hideMark/>
          </w:tcPr>
          <w:p w14:paraId="4242CA6C" w14:textId="77777777" w:rsidR="00FB55F6" w:rsidRPr="00A5629B" w:rsidRDefault="00FB55F6" w:rsidP="00ED5956">
            <w:pPr>
              <w:rPr>
                <w:rFonts w:ascii="Arial" w:hAnsi="Arial" w:cs="Arial"/>
                <w:b w:val="0"/>
                <w:bCs w:val="0"/>
                <w:color w:val="000000"/>
                <w:sz w:val="20"/>
                <w:szCs w:val="20"/>
              </w:rPr>
            </w:pPr>
            <w:r w:rsidRPr="00A5629B">
              <w:rPr>
                <w:rFonts w:ascii="Arial" w:hAnsi="Arial" w:cs="Arial"/>
                <w:color w:val="000000"/>
                <w:sz w:val="20"/>
                <w:szCs w:val="20"/>
              </w:rPr>
              <w:t>Comorbidades</w:t>
            </w:r>
          </w:p>
        </w:tc>
        <w:tc>
          <w:tcPr>
            <w:tcW w:w="2170" w:type="dxa"/>
            <w:hideMark/>
          </w:tcPr>
          <w:p w14:paraId="175C618F" w14:textId="77777777"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466D96">
              <w:rPr>
                <w:rFonts w:ascii="Arial" w:hAnsi="Arial" w:cs="Arial"/>
                <w:b/>
                <w:bCs/>
                <w:color w:val="000000"/>
                <w:sz w:val="18"/>
                <w:szCs w:val="18"/>
              </w:rPr>
              <w:t> </w:t>
            </w:r>
          </w:p>
        </w:tc>
      </w:tr>
      <w:tr w:rsidR="00FB55F6" w:rsidRPr="00A5629B" w14:paraId="4BF1866C"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75B01DAD" w14:textId="22AC37A7" w:rsidR="00FB55F6" w:rsidRPr="00466D96" w:rsidRDefault="00FB55F6" w:rsidP="00ED5956">
            <w:pPr>
              <w:rPr>
                <w:rFonts w:ascii="Arial" w:hAnsi="Arial" w:cs="Arial"/>
                <w:b w:val="0"/>
                <w:bCs w:val="0"/>
                <w:color w:val="000000"/>
                <w:sz w:val="20"/>
                <w:szCs w:val="20"/>
              </w:rPr>
            </w:pPr>
            <w:r w:rsidRPr="00466D96">
              <w:rPr>
                <w:rFonts w:ascii="Arial" w:hAnsi="Arial" w:cs="Arial"/>
                <w:b w:val="0"/>
                <w:bCs w:val="0"/>
                <w:color w:val="000000"/>
                <w:sz w:val="20"/>
                <w:szCs w:val="20"/>
              </w:rPr>
              <w:t>HAS, n (%)</w:t>
            </w:r>
            <w:r w:rsidR="00F13B40">
              <w:rPr>
                <w:rFonts w:ascii="Arial" w:hAnsi="Arial" w:cs="Arial"/>
                <w:b w:val="0"/>
                <w:bCs w:val="0"/>
                <w:color w:val="000000"/>
                <w:sz w:val="20"/>
                <w:szCs w:val="20"/>
              </w:rPr>
              <w:t xml:space="preserve"> (n=53)</w:t>
            </w:r>
          </w:p>
        </w:tc>
        <w:tc>
          <w:tcPr>
            <w:tcW w:w="2170" w:type="dxa"/>
            <w:noWrap/>
            <w:hideMark/>
          </w:tcPr>
          <w:p w14:paraId="006F6139" w14:textId="77777777"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66D96">
              <w:rPr>
                <w:rFonts w:ascii="Arial" w:hAnsi="Arial" w:cs="Arial"/>
                <w:color w:val="000000"/>
                <w:sz w:val="18"/>
                <w:szCs w:val="18"/>
              </w:rPr>
              <w:t>33/53 (62,26)</w:t>
            </w:r>
          </w:p>
        </w:tc>
      </w:tr>
      <w:tr w:rsidR="00FB55F6" w:rsidRPr="00A5629B" w14:paraId="264D2626"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0BBEB85A" w14:textId="43305218" w:rsidR="00FB55F6" w:rsidRPr="00466D96" w:rsidRDefault="00FB55F6" w:rsidP="00ED5956">
            <w:pPr>
              <w:rPr>
                <w:rFonts w:ascii="Arial" w:hAnsi="Arial" w:cs="Arial"/>
                <w:b w:val="0"/>
                <w:bCs w:val="0"/>
                <w:color w:val="000000"/>
                <w:sz w:val="20"/>
                <w:szCs w:val="20"/>
              </w:rPr>
            </w:pPr>
            <w:r w:rsidRPr="00466D96">
              <w:rPr>
                <w:rFonts w:ascii="Arial" w:hAnsi="Arial" w:cs="Arial"/>
                <w:b w:val="0"/>
                <w:bCs w:val="0"/>
                <w:color w:val="000000"/>
                <w:sz w:val="20"/>
                <w:szCs w:val="20"/>
              </w:rPr>
              <w:t>DM, n (%)</w:t>
            </w:r>
            <w:r w:rsidR="00F13B40">
              <w:rPr>
                <w:rFonts w:ascii="Arial" w:hAnsi="Arial" w:cs="Arial"/>
                <w:b w:val="0"/>
                <w:bCs w:val="0"/>
                <w:color w:val="000000"/>
                <w:sz w:val="20"/>
                <w:szCs w:val="20"/>
              </w:rPr>
              <w:t xml:space="preserve"> (n=53)</w:t>
            </w:r>
          </w:p>
        </w:tc>
        <w:tc>
          <w:tcPr>
            <w:tcW w:w="2170" w:type="dxa"/>
            <w:noWrap/>
            <w:hideMark/>
          </w:tcPr>
          <w:p w14:paraId="2EB30ED7" w14:textId="77777777"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466D96">
              <w:rPr>
                <w:rFonts w:ascii="Arial" w:hAnsi="Arial" w:cs="Arial"/>
                <w:color w:val="000000"/>
                <w:sz w:val="18"/>
                <w:szCs w:val="18"/>
              </w:rPr>
              <w:t>13/53 (24,53)</w:t>
            </w:r>
          </w:p>
        </w:tc>
      </w:tr>
      <w:tr w:rsidR="00FB55F6" w:rsidRPr="00A5629B" w14:paraId="52328E89"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78BD43B0" w14:textId="2B6CEB22" w:rsidR="00FB55F6" w:rsidRPr="00466D96" w:rsidRDefault="00FB55F6" w:rsidP="00ED5956">
            <w:pPr>
              <w:rPr>
                <w:rFonts w:ascii="Arial" w:hAnsi="Arial" w:cs="Arial"/>
                <w:b w:val="0"/>
                <w:bCs w:val="0"/>
                <w:color w:val="000000"/>
                <w:sz w:val="20"/>
                <w:szCs w:val="20"/>
              </w:rPr>
            </w:pPr>
            <w:r w:rsidRPr="00466D96">
              <w:rPr>
                <w:rFonts w:ascii="Arial" w:hAnsi="Arial" w:cs="Arial"/>
                <w:b w:val="0"/>
                <w:bCs w:val="0"/>
                <w:color w:val="000000"/>
                <w:sz w:val="20"/>
                <w:szCs w:val="20"/>
              </w:rPr>
              <w:t>DLP, n (%)</w:t>
            </w:r>
            <w:r w:rsidR="00F13B40">
              <w:rPr>
                <w:rFonts w:ascii="Arial" w:hAnsi="Arial" w:cs="Arial"/>
                <w:b w:val="0"/>
                <w:bCs w:val="0"/>
                <w:color w:val="000000"/>
                <w:sz w:val="20"/>
                <w:szCs w:val="20"/>
              </w:rPr>
              <w:t xml:space="preserve"> (n=53)</w:t>
            </w:r>
          </w:p>
        </w:tc>
        <w:tc>
          <w:tcPr>
            <w:tcW w:w="2170" w:type="dxa"/>
            <w:noWrap/>
            <w:hideMark/>
          </w:tcPr>
          <w:p w14:paraId="0FDAA682" w14:textId="77777777"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466D96">
              <w:rPr>
                <w:rFonts w:ascii="Arial" w:hAnsi="Arial" w:cs="Arial"/>
                <w:color w:val="000000"/>
                <w:sz w:val="18"/>
                <w:szCs w:val="18"/>
              </w:rPr>
              <w:t>21/53 (39,62)</w:t>
            </w:r>
          </w:p>
        </w:tc>
      </w:tr>
      <w:tr w:rsidR="00FB55F6" w:rsidRPr="00A5629B" w14:paraId="622E6AC9"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hideMark/>
          </w:tcPr>
          <w:p w14:paraId="05C3A359" w14:textId="77777777" w:rsidR="00FB55F6" w:rsidRPr="00A5629B" w:rsidRDefault="00FB55F6" w:rsidP="00ED5956">
            <w:pPr>
              <w:rPr>
                <w:rFonts w:ascii="Arial" w:hAnsi="Arial" w:cs="Arial"/>
                <w:b w:val="0"/>
                <w:bCs w:val="0"/>
                <w:sz w:val="20"/>
                <w:szCs w:val="20"/>
              </w:rPr>
            </w:pPr>
            <w:r w:rsidRPr="00A5629B">
              <w:rPr>
                <w:rFonts w:ascii="Arial" w:hAnsi="Arial" w:cs="Arial"/>
                <w:sz w:val="20"/>
                <w:szCs w:val="20"/>
              </w:rPr>
              <w:t>Dados clínicos e antropométricos</w:t>
            </w:r>
          </w:p>
        </w:tc>
        <w:tc>
          <w:tcPr>
            <w:tcW w:w="2170" w:type="dxa"/>
            <w:hideMark/>
          </w:tcPr>
          <w:p w14:paraId="3D5E3545" w14:textId="77777777"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466D96">
              <w:rPr>
                <w:rFonts w:ascii="Arial" w:hAnsi="Arial" w:cs="Arial"/>
                <w:b/>
                <w:bCs/>
                <w:sz w:val="18"/>
                <w:szCs w:val="18"/>
              </w:rPr>
              <w:t> </w:t>
            </w:r>
          </w:p>
        </w:tc>
      </w:tr>
      <w:tr w:rsidR="00FB55F6" w:rsidRPr="00A5629B" w14:paraId="12F8F1DF"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29C38F3E" w14:textId="6C4963A1"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t>IMC, Med (IIQ)</w:t>
            </w:r>
            <w:r w:rsidR="00F13B40">
              <w:rPr>
                <w:rFonts w:ascii="Arial" w:hAnsi="Arial" w:cs="Arial"/>
                <w:b w:val="0"/>
                <w:bCs w:val="0"/>
                <w:sz w:val="20"/>
                <w:szCs w:val="20"/>
              </w:rPr>
              <w:t xml:space="preserve"> (n=55)</w:t>
            </w:r>
          </w:p>
        </w:tc>
        <w:tc>
          <w:tcPr>
            <w:tcW w:w="2170" w:type="dxa"/>
            <w:noWrap/>
            <w:hideMark/>
          </w:tcPr>
          <w:p w14:paraId="4E5AF86B" w14:textId="77777777"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6D96">
              <w:rPr>
                <w:rFonts w:ascii="Arial" w:hAnsi="Arial" w:cs="Arial"/>
                <w:sz w:val="18"/>
                <w:szCs w:val="18"/>
              </w:rPr>
              <w:t>26,3 (24-30,6)</w:t>
            </w:r>
          </w:p>
        </w:tc>
      </w:tr>
      <w:tr w:rsidR="00FB55F6" w:rsidRPr="00A5629B" w14:paraId="5FBD594D"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7363B90C" w14:textId="1690593F"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t>Índice de massa gorda (kg/m</w:t>
            </w:r>
            <w:r w:rsidRPr="00466D96">
              <w:rPr>
                <w:rFonts w:ascii="Arial" w:hAnsi="Arial" w:cs="Arial"/>
                <w:b w:val="0"/>
                <w:bCs w:val="0"/>
                <w:sz w:val="20"/>
                <w:szCs w:val="20"/>
                <w:vertAlign w:val="superscript"/>
              </w:rPr>
              <w:t>2</w:t>
            </w:r>
            <w:r w:rsidRPr="00466D96">
              <w:rPr>
                <w:rFonts w:ascii="Arial" w:hAnsi="Arial" w:cs="Arial"/>
                <w:b w:val="0"/>
                <w:bCs w:val="0"/>
                <w:sz w:val="20"/>
                <w:szCs w:val="20"/>
              </w:rPr>
              <w:t>), Med (IIQ)</w:t>
            </w:r>
            <w:r w:rsidR="00F13B40">
              <w:rPr>
                <w:rFonts w:ascii="Arial" w:hAnsi="Arial" w:cs="Arial"/>
                <w:b w:val="0"/>
                <w:bCs w:val="0"/>
                <w:sz w:val="20"/>
                <w:szCs w:val="20"/>
              </w:rPr>
              <w:t xml:space="preserve"> (n=33)</w:t>
            </w:r>
          </w:p>
        </w:tc>
        <w:tc>
          <w:tcPr>
            <w:tcW w:w="2170" w:type="dxa"/>
            <w:noWrap/>
            <w:hideMark/>
          </w:tcPr>
          <w:p w14:paraId="53BEF4AC" w14:textId="77777777"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6D96">
              <w:rPr>
                <w:rFonts w:ascii="Arial" w:hAnsi="Arial" w:cs="Arial"/>
                <w:sz w:val="18"/>
                <w:szCs w:val="18"/>
              </w:rPr>
              <w:t>10,2 (8,3-12,8)</w:t>
            </w:r>
          </w:p>
        </w:tc>
      </w:tr>
      <w:tr w:rsidR="00FB55F6" w:rsidRPr="00A5629B" w14:paraId="62212212"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7E17D19C" w14:textId="6F6B49B5"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t>Massa magra apendicular,</w:t>
            </w:r>
            <w:r w:rsidR="00554835" w:rsidRPr="00466D96">
              <w:rPr>
                <w:rFonts w:ascii="Arial" w:hAnsi="Arial" w:cs="Arial"/>
                <w:b w:val="0"/>
                <w:bCs w:val="0"/>
                <w:sz w:val="20"/>
                <w:szCs w:val="20"/>
              </w:rPr>
              <w:t xml:space="preserve"> </w:t>
            </w:r>
            <w:r w:rsidRPr="00466D96">
              <w:rPr>
                <w:rFonts w:ascii="Arial" w:hAnsi="Arial" w:cs="Arial"/>
                <w:b w:val="0"/>
                <w:bCs w:val="0"/>
                <w:sz w:val="20"/>
                <w:szCs w:val="20"/>
              </w:rPr>
              <w:t>Med (IIQ)</w:t>
            </w:r>
            <w:r w:rsidR="00F13B40">
              <w:rPr>
                <w:rFonts w:ascii="Arial" w:hAnsi="Arial" w:cs="Arial"/>
                <w:b w:val="0"/>
                <w:bCs w:val="0"/>
                <w:sz w:val="20"/>
                <w:szCs w:val="20"/>
              </w:rPr>
              <w:t xml:space="preserve"> (n=33)</w:t>
            </w:r>
          </w:p>
        </w:tc>
        <w:tc>
          <w:tcPr>
            <w:tcW w:w="2170" w:type="dxa"/>
            <w:noWrap/>
            <w:hideMark/>
          </w:tcPr>
          <w:p w14:paraId="72D14A6D" w14:textId="77777777"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6D96">
              <w:rPr>
                <w:rFonts w:ascii="Arial" w:hAnsi="Arial" w:cs="Arial"/>
                <w:sz w:val="18"/>
                <w:szCs w:val="18"/>
              </w:rPr>
              <w:t>16,9 (15,4-18,2)</w:t>
            </w:r>
          </w:p>
        </w:tc>
      </w:tr>
      <w:tr w:rsidR="00FB55F6" w:rsidRPr="00A5629B" w14:paraId="003609B2"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2C24EABA" w14:textId="1377A8A7"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t>Índice de Baumgartner, Med (IIQ)</w:t>
            </w:r>
            <w:r w:rsidR="00F13B40">
              <w:rPr>
                <w:rFonts w:ascii="Arial" w:hAnsi="Arial" w:cs="Arial"/>
                <w:b w:val="0"/>
                <w:bCs w:val="0"/>
                <w:sz w:val="20"/>
                <w:szCs w:val="20"/>
              </w:rPr>
              <w:t xml:space="preserve"> (n=33)</w:t>
            </w:r>
          </w:p>
        </w:tc>
        <w:tc>
          <w:tcPr>
            <w:tcW w:w="2170" w:type="dxa"/>
            <w:noWrap/>
            <w:hideMark/>
          </w:tcPr>
          <w:p w14:paraId="1F4DA169" w14:textId="77777777"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6D96">
              <w:rPr>
                <w:rFonts w:ascii="Arial" w:hAnsi="Arial" w:cs="Arial"/>
                <w:sz w:val="18"/>
                <w:szCs w:val="18"/>
              </w:rPr>
              <w:t>6,7 (6,4-7,5)</w:t>
            </w:r>
          </w:p>
        </w:tc>
      </w:tr>
      <w:tr w:rsidR="00FB55F6" w:rsidRPr="00A5629B" w14:paraId="055923CD"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738BAE59" w14:textId="6BE74E15"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lastRenderedPageBreak/>
              <w:t>Circunferência da cintura, Med (IIQ)</w:t>
            </w:r>
            <w:r w:rsidR="00F13B40">
              <w:rPr>
                <w:rFonts w:ascii="Arial" w:hAnsi="Arial" w:cs="Arial"/>
                <w:b w:val="0"/>
                <w:bCs w:val="0"/>
                <w:sz w:val="20"/>
                <w:szCs w:val="20"/>
              </w:rPr>
              <w:t xml:space="preserve"> (n=</w:t>
            </w:r>
            <w:r w:rsidR="00303A5C">
              <w:rPr>
                <w:rFonts w:ascii="Arial" w:hAnsi="Arial" w:cs="Arial"/>
                <w:b w:val="0"/>
                <w:bCs w:val="0"/>
                <w:sz w:val="20"/>
                <w:szCs w:val="20"/>
              </w:rPr>
              <w:t>54)</w:t>
            </w:r>
          </w:p>
        </w:tc>
        <w:tc>
          <w:tcPr>
            <w:tcW w:w="2170" w:type="dxa"/>
            <w:noWrap/>
            <w:hideMark/>
          </w:tcPr>
          <w:p w14:paraId="50AC8437" w14:textId="77777777"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6D96">
              <w:rPr>
                <w:rFonts w:ascii="Arial" w:hAnsi="Arial" w:cs="Arial"/>
                <w:sz w:val="18"/>
                <w:szCs w:val="18"/>
              </w:rPr>
              <w:t>91,5 (87-99)</w:t>
            </w:r>
          </w:p>
        </w:tc>
      </w:tr>
      <w:tr w:rsidR="00FB55F6" w:rsidRPr="00A5629B" w14:paraId="37A0C796"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47BF1F94" w14:textId="06448143"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t>Circunferência da panturrilha, Med (IIQ)</w:t>
            </w:r>
            <w:r w:rsidR="00303A5C">
              <w:rPr>
                <w:rFonts w:ascii="Arial" w:hAnsi="Arial" w:cs="Arial"/>
                <w:b w:val="0"/>
                <w:bCs w:val="0"/>
                <w:sz w:val="20"/>
                <w:szCs w:val="20"/>
              </w:rPr>
              <w:t xml:space="preserve"> (n=54)</w:t>
            </w:r>
          </w:p>
        </w:tc>
        <w:tc>
          <w:tcPr>
            <w:tcW w:w="2170" w:type="dxa"/>
            <w:noWrap/>
            <w:hideMark/>
          </w:tcPr>
          <w:p w14:paraId="0A2B3BC6" w14:textId="77777777"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6D96">
              <w:rPr>
                <w:rFonts w:ascii="Arial" w:hAnsi="Arial" w:cs="Arial"/>
                <w:sz w:val="18"/>
                <w:szCs w:val="18"/>
              </w:rPr>
              <w:t>30 (27-32)</w:t>
            </w:r>
          </w:p>
        </w:tc>
      </w:tr>
      <w:tr w:rsidR="00FB55F6" w:rsidRPr="00A5629B" w14:paraId="612A012E"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hideMark/>
          </w:tcPr>
          <w:p w14:paraId="2E15A939" w14:textId="13B74483" w:rsidR="00FB55F6" w:rsidRPr="00A5629B" w:rsidRDefault="00FB55F6" w:rsidP="00ED5956">
            <w:pPr>
              <w:rPr>
                <w:rFonts w:ascii="Arial" w:hAnsi="Arial" w:cs="Arial"/>
                <w:b w:val="0"/>
                <w:bCs w:val="0"/>
                <w:sz w:val="20"/>
                <w:szCs w:val="20"/>
              </w:rPr>
            </w:pPr>
            <w:r w:rsidRPr="00A5629B">
              <w:rPr>
                <w:rFonts w:ascii="Arial" w:hAnsi="Arial" w:cs="Arial"/>
                <w:sz w:val="20"/>
                <w:szCs w:val="20"/>
              </w:rPr>
              <w:t xml:space="preserve">Testes de função da </w:t>
            </w:r>
            <w:r w:rsidR="00554835" w:rsidRPr="00A5629B">
              <w:rPr>
                <w:rFonts w:ascii="Arial" w:hAnsi="Arial" w:cs="Arial"/>
                <w:sz w:val="20"/>
                <w:szCs w:val="20"/>
              </w:rPr>
              <w:t>tireoide</w:t>
            </w:r>
          </w:p>
        </w:tc>
        <w:tc>
          <w:tcPr>
            <w:tcW w:w="2170" w:type="dxa"/>
            <w:hideMark/>
          </w:tcPr>
          <w:p w14:paraId="1009C07C" w14:textId="77777777"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466D96">
              <w:rPr>
                <w:rFonts w:ascii="Arial" w:hAnsi="Arial" w:cs="Arial"/>
                <w:b/>
                <w:bCs/>
                <w:sz w:val="18"/>
                <w:szCs w:val="18"/>
              </w:rPr>
              <w:t> </w:t>
            </w:r>
          </w:p>
        </w:tc>
      </w:tr>
      <w:tr w:rsidR="00FB55F6" w:rsidRPr="00A5629B" w14:paraId="1DE36259"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hideMark/>
          </w:tcPr>
          <w:p w14:paraId="237C1B07" w14:textId="5FC5A927"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t>TSH, Med (IIQ)</w:t>
            </w:r>
            <w:r w:rsidR="00303A5C">
              <w:rPr>
                <w:rFonts w:ascii="Arial" w:hAnsi="Arial" w:cs="Arial"/>
                <w:b w:val="0"/>
                <w:bCs w:val="0"/>
                <w:sz w:val="20"/>
                <w:szCs w:val="20"/>
              </w:rPr>
              <w:t xml:space="preserve"> (n=64)</w:t>
            </w:r>
          </w:p>
        </w:tc>
        <w:tc>
          <w:tcPr>
            <w:tcW w:w="2170" w:type="dxa"/>
            <w:hideMark/>
          </w:tcPr>
          <w:p w14:paraId="6B25A2CC" w14:textId="0FC77CD2"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6D96">
              <w:rPr>
                <w:rFonts w:ascii="Arial" w:hAnsi="Arial" w:cs="Arial"/>
                <w:sz w:val="18"/>
                <w:szCs w:val="18"/>
              </w:rPr>
              <w:t>2,17 (1,58-2,97)</w:t>
            </w:r>
            <w:r w:rsidR="005B4370" w:rsidRPr="00466D96">
              <w:rPr>
                <w:rFonts w:ascii="Arial" w:hAnsi="Arial" w:cs="Arial"/>
                <w:sz w:val="18"/>
                <w:szCs w:val="18"/>
              </w:rPr>
              <w:t xml:space="preserve"> mU / L</w:t>
            </w:r>
          </w:p>
        </w:tc>
      </w:tr>
      <w:tr w:rsidR="00FB55F6" w:rsidRPr="00A5629B" w14:paraId="441401FA"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hideMark/>
          </w:tcPr>
          <w:p w14:paraId="3740BC16" w14:textId="619DEB20"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t>fT</w:t>
            </w:r>
            <w:r w:rsidRPr="00466D96">
              <w:rPr>
                <w:rFonts w:ascii="Arial" w:hAnsi="Arial" w:cs="Arial"/>
                <w:b w:val="0"/>
                <w:bCs w:val="0"/>
                <w:sz w:val="20"/>
                <w:szCs w:val="20"/>
                <w:vertAlign w:val="subscript"/>
              </w:rPr>
              <w:t>3</w:t>
            </w:r>
            <w:r w:rsidRPr="00466D96">
              <w:rPr>
                <w:rFonts w:ascii="Arial" w:hAnsi="Arial" w:cs="Arial"/>
                <w:b w:val="0"/>
                <w:bCs w:val="0"/>
                <w:sz w:val="20"/>
                <w:szCs w:val="20"/>
              </w:rPr>
              <w:t>, Med (IIQ)</w:t>
            </w:r>
            <w:r w:rsidR="00303A5C">
              <w:rPr>
                <w:rFonts w:ascii="Arial" w:hAnsi="Arial" w:cs="Arial"/>
                <w:b w:val="0"/>
                <w:bCs w:val="0"/>
                <w:sz w:val="20"/>
                <w:szCs w:val="20"/>
              </w:rPr>
              <w:t xml:space="preserve"> (n=64)</w:t>
            </w:r>
          </w:p>
        </w:tc>
        <w:tc>
          <w:tcPr>
            <w:tcW w:w="2170" w:type="dxa"/>
            <w:hideMark/>
          </w:tcPr>
          <w:p w14:paraId="497C63F8" w14:textId="74852D81"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6D96">
              <w:rPr>
                <w:rFonts w:ascii="Arial" w:hAnsi="Arial" w:cs="Arial"/>
                <w:sz w:val="18"/>
                <w:szCs w:val="18"/>
              </w:rPr>
              <w:t>2,78 (2,64-2,98)</w:t>
            </w:r>
            <w:r w:rsidR="005B4370" w:rsidRPr="00466D96">
              <w:rPr>
                <w:rFonts w:ascii="Arial" w:hAnsi="Arial" w:cs="Arial"/>
                <w:sz w:val="18"/>
                <w:szCs w:val="18"/>
              </w:rPr>
              <w:t xml:space="preserve"> pg / mL</w:t>
            </w:r>
          </w:p>
        </w:tc>
      </w:tr>
      <w:tr w:rsidR="00FB55F6" w:rsidRPr="00A5629B" w14:paraId="039E4D55"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hideMark/>
          </w:tcPr>
          <w:p w14:paraId="4E9CA857" w14:textId="7DD90BA1"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t>fT</w:t>
            </w:r>
            <w:r w:rsidRPr="00466D96">
              <w:rPr>
                <w:rFonts w:ascii="Arial" w:hAnsi="Arial" w:cs="Arial"/>
                <w:b w:val="0"/>
                <w:bCs w:val="0"/>
                <w:sz w:val="20"/>
                <w:szCs w:val="20"/>
                <w:vertAlign w:val="subscript"/>
              </w:rPr>
              <w:t>4</w:t>
            </w:r>
            <w:r w:rsidRPr="00466D96">
              <w:rPr>
                <w:rFonts w:ascii="Arial" w:hAnsi="Arial" w:cs="Arial"/>
                <w:b w:val="0"/>
                <w:bCs w:val="0"/>
                <w:sz w:val="20"/>
                <w:szCs w:val="20"/>
              </w:rPr>
              <w:t>, Med (IIQ)</w:t>
            </w:r>
            <w:r w:rsidR="00303A5C">
              <w:rPr>
                <w:rFonts w:ascii="Arial" w:hAnsi="Arial" w:cs="Arial"/>
                <w:b w:val="0"/>
                <w:bCs w:val="0"/>
                <w:sz w:val="20"/>
                <w:szCs w:val="20"/>
              </w:rPr>
              <w:t xml:space="preserve"> (n=64)</w:t>
            </w:r>
          </w:p>
        </w:tc>
        <w:tc>
          <w:tcPr>
            <w:tcW w:w="2170" w:type="dxa"/>
            <w:hideMark/>
          </w:tcPr>
          <w:p w14:paraId="6AF2E73F" w14:textId="2B8E0FAA"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6D96">
              <w:rPr>
                <w:rFonts w:ascii="Arial" w:hAnsi="Arial" w:cs="Arial"/>
                <w:sz w:val="18"/>
                <w:szCs w:val="18"/>
              </w:rPr>
              <w:t>1,12 (1,04-1,20)</w:t>
            </w:r>
            <w:r w:rsidR="005B4370" w:rsidRPr="00466D96">
              <w:rPr>
                <w:rFonts w:ascii="Arial" w:hAnsi="Arial" w:cs="Arial"/>
                <w:sz w:val="18"/>
                <w:szCs w:val="18"/>
              </w:rPr>
              <w:t xml:space="preserve"> ng / dL</w:t>
            </w:r>
          </w:p>
        </w:tc>
      </w:tr>
      <w:tr w:rsidR="00FB55F6" w:rsidRPr="00A5629B" w14:paraId="3D82BE19"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hideMark/>
          </w:tcPr>
          <w:p w14:paraId="6EE362ED" w14:textId="77777777" w:rsidR="00FB55F6" w:rsidRPr="00466D96" w:rsidRDefault="00FB55F6" w:rsidP="00ED5956">
            <w:pPr>
              <w:rPr>
                <w:rFonts w:ascii="Arial" w:hAnsi="Arial" w:cs="Arial"/>
                <w:b w:val="0"/>
                <w:bCs w:val="0"/>
                <w:sz w:val="20"/>
                <w:szCs w:val="20"/>
              </w:rPr>
            </w:pPr>
            <w:proofErr w:type="spellStart"/>
            <w:r w:rsidRPr="00466D96">
              <w:rPr>
                <w:rFonts w:ascii="Arial" w:hAnsi="Arial" w:cs="Arial"/>
                <w:b w:val="0"/>
                <w:bCs w:val="0"/>
                <w:sz w:val="20"/>
                <w:szCs w:val="20"/>
              </w:rPr>
              <w:t>Anti</w:t>
            </w:r>
            <w:proofErr w:type="spellEnd"/>
            <w:r w:rsidRPr="00466D96">
              <w:rPr>
                <w:rFonts w:ascii="Arial" w:hAnsi="Arial" w:cs="Arial"/>
                <w:b w:val="0"/>
                <w:bCs w:val="0"/>
                <w:sz w:val="20"/>
                <w:szCs w:val="20"/>
              </w:rPr>
              <w:t xml:space="preserve"> TPO positivo, n (%)</w:t>
            </w:r>
          </w:p>
        </w:tc>
        <w:tc>
          <w:tcPr>
            <w:tcW w:w="2170" w:type="dxa"/>
            <w:noWrap/>
            <w:hideMark/>
          </w:tcPr>
          <w:p w14:paraId="24572066" w14:textId="77777777"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6D96">
              <w:rPr>
                <w:rFonts w:ascii="Arial" w:hAnsi="Arial" w:cs="Arial"/>
                <w:sz w:val="18"/>
                <w:szCs w:val="18"/>
              </w:rPr>
              <w:t>8/64 (12,50)</w:t>
            </w:r>
          </w:p>
        </w:tc>
      </w:tr>
      <w:tr w:rsidR="00FB55F6" w:rsidRPr="00A5629B" w14:paraId="3DA8E519"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hideMark/>
          </w:tcPr>
          <w:p w14:paraId="5BC3A524" w14:textId="77777777" w:rsidR="00FB55F6" w:rsidRPr="00A5629B" w:rsidRDefault="00FB55F6" w:rsidP="00ED5956">
            <w:pPr>
              <w:rPr>
                <w:rFonts w:ascii="Arial" w:hAnsi="Arial" w:cs="Arial"/>
                <w:b w:val="0"/>
                <w:bCs w:val="0"/>
                <w:sz w:val="20"/>
                <w:szCs w:val="20"/>
              </w:rPr>
            </w:pPr>
            <w:r w:rsidRPr="00A5629B">
              <w:rPr>
                <w:rFonts w:ascii="Arial" w:hAnsi="Arial" w:cs="Arial"/>
                <w:sz w:val="20"/>
                <w:szCs w:val="20"/>
              </w:rPr>
              <w:t>Avaliação nutricional (MNA)</w:t>
            </w:r>
          </w:p>
        </w:tc>
        <w:tc>
          <w:tcPr>
            <w:tcW w:w="2170" w:type="dxa"/>
            <w:hideMark/>
          </w:tcPr>
          <w:p w14:paraId="7BA32AAB" w14:textId="77777777"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466D96">
              <w:rPr>
                <w:rFonts w:ascii="Arial" w:hAnsi="Arial" w:cs="Arial"/>
                <w:b/>
                <w:bCs/>
                <w:sz w:val="18"/>
                <w:szCs w:val="18"/>
              </w:rPr>
              <w:t> </w:t>
            </w:r>
          </w:p>
        </w:tc>
      </w:tr>
      <w:tr w:rsidR="00FB55F6" w:rsidRPr="00A5629B" w14:paraId="63BB16B9"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1369B70B" w14:textId="580F90EA"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t>Nutrição adequada, n (%)</w:t>
            </w:r>
            <w:r w:rsidR="00303A5C">
              <w:rPr>
                <w:rFonts w:ascii="Arial" w:hAnsi="Arial" w:cs="Arial"/>
                <w:b w:val="0"/>
                <w:bCs w:val="0"/>
                <w:sz w:val="20"/>
                <w:szCs w:val="20"/>
              </w:rPr>
              <w:t xml:space="preserve"> (n=53)</w:t>
            </w:r>
          </w:p>
        </w:tc>
        <w:tc>
          <w:tcPr>
            <w:tcW w:w="2170" w:type="dxa"/>
            <w:noWrap/>
            <w:hideMark/>
          </w:tcPr>
          <w:p w14:paraId="599FD4FF" w14:textId="77777777"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6D96">
              <w:rPr>
                <w:rFonts w:ascii="Arial" w:hAnsi="Arial" w:cs="Arial"/>
                <w:sz w:val="18"/>
                <w:szCs w:val="18"/>
              </w:rPr>
              <w:t>42/53 (79,25)</w:t>
            </w:r>
          </w:p>
        </w:tc>
      </w:tr>
      <w:tr w:rsidR="00FB55F6" w:rsidRPr="00A5629B" w14:paraId="6C535810" w14:textId="77777777" w:rsidTr="00466D9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1B639A1D" w14:textId="4827B433"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t>Risco de desnutrição, n (%)</w:t>
            </w:r>
            <w:r w:rsidR="00303A5C">
              <w:rPr>
                <w:rFonts w:ascii="Arial" w:hAnsi="Arial" w:cs="Arial"/>
                <w:b w:val="0"/>
                <w:bCs w:val="0"/>
                <w:sz w:val="20"/>
                <w:szCs w:val="20"/>
              </w:rPr>
              <w:t xml:space="preserve"> (n=53)</w:t>
            </w:r>
          </w:p>
        </w:tc>
        <w:tc>
          <w:tcPr>
            <w:tcW w:w="2170" w:type="dxa"/>
            <w:noWrap/>
            <w:hideMark/>
          </w:tcPr>
          <w:p w14:paraId="571C1B62" w14:textId="77777777" w:rsidR="00FB55F6" w:rsidRPr="00466D96" w:rsidRDefault="00FB55F6" w:rsidP="00466D9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66D96">
              <w:rPr>
                <w:rFonts w:ascii="Arial" w:hAnsi="Arial" w:cs="Arial"/>
                <w:sz w:val="18"/>
                <w:szCs w:val="18"/>
              </w:rPr>
              <w:t>11/53 (20,75)</w:t>
            </w:r>
          </w:p>
        </w:tc>
      </w:tr>
      <w:tr w:rsidR="00FB55F6" w:rsidRPr="00A5629B" w14:paraId="318E8CAA" w14:textId="77777777" w:rsidTr="00466D96">
        <w:trPr>
          <w:trHeight w:val="386"/>
        </w:trPr>
        <w:tc>
          <w:tcPr>
            <w:cnfStyle w:val="001000000000" w:firstRow="0" w:lastRow="0" w:firstColumn="1" w:lastColumn="0" w:oddVBand="0" w:evenVBand="0" w:oddHBand="0" w:evenHBand="0" w:firstRowFirstColumn="0" w:firstRowLastColumn="0" w:lastRowFirstColumn="0" w:lastRowLastColumn="0"/>
            <w:tcW w:w="5154" w:type="dxa"/>
            <w:noWrap/>
            <w:hideMark/>
          </w:tcPr>
          <w:p w14:paraId="5466595E" w14:textId="4F6FFA77" w:rsidR="00FB55F6" w:rsidRPr="00466D96" w:rsidRDefault="00FB55F6" w:rsidP="00ED5956">
            <w:pPr>
              <w:rPr>
                <w:rFonts w:ascii="Arial" w:hAnsi="Arial" w:cs="Arial"/>
                <w:b w:val="0"/>
                <w:bCs w:val="0"/>
                <w:sz w:val="20"/>
                <w:szCs w:val="20"/>
              </w:rPr>
            </w:pPr>
            <w:r w:rsidRPr="00466D96">
              <w:rPr>
                <w:rFonts w:ascii="Arial" w:hAnsi="Arial" w:cs="Arial"/>
                <w:b w:val="0"/>
                <w:bCs w:val="0"/>
                <w:sz w:val="20"/>
                <w:szCs w:val="20"/>
              </w:rPr>
              <w:t>Desnutrição n (%)</w:t>
            </w:r>
            <w:r w:rsidR="00303A5C">
              <w:rPr>
                <w:rFonts w:ascii="Arial" w:hAnsi="Arial" w:cs="Arial"/>
                <w:b w:val="0"/>
                <w:bCs w:val="0"/>
                <w:sz w:val="20"/>
                <w:szCs w:val="20"/>
              </w:rPr>
              <w:t xml:space="preserve"> (n=53)</w:t>
            </w:r>
          </w:p>
        </w:tc>
        <w:tc>
          <w:tcPr>
            <w:tcW w:w="2170" w:type="dxa"/>
            <w:noWrap/>
            <w:hideMark/>
          </w:tcPr>
          <w:p w14:paraId="757F5937" w14:textId="77777777" w:rsidR="00FB55F6" w:rsidRPr="00466D96" w:rsidRDefault="00FB55F6" w:rsidP="00466D9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66D96">
              <w:rPr>
                <w:rFonts w:ascii="Arial" w:hAnsi="Arial" w:cs="Arial"/>
                <w:sz w:val="18"/>
                <w:szCs w:val="18"/>
              </w:rPr>
              <w:t>0/53 (0,00)</w:t>
            </w:r>
          </w:p>
        </w:tc>
      </w:tr>
    </w:tbl>
    <w:p w14:paraId="5450C8DA" w14:textId="025FF535" w:rsidR="00730E0F" w:rsidRDefault="00D959CE" w:rsidP="00504642">
      <w:pPr>
        <w:spacing w:before="30" w:line="360" w:lineRule="auto"/>
        <w:rPr>
          <w:sz w:val="22"/>
          <w:szCs w:val="22"/>
        </w:rPr>
      </w:pPr>
      <w:r w:rsidRPr="00D959CE">
        <w:rPr>
          <w:sz w:val="22"/>
          <w:szCs w:val="22"/>
        </w:rPr>
        <w:t xml:space="preserve">Fonte: </w:t>
      </w:r>
      <w:r>
        <w:rPr>
          <w:sz w:val="22"/>
          <w:szCs w:val="22"/>
        </w:rPr>
        <w:t>Dados da pesquisa.</w:t>
      </w:r>
    </w:p>
    <w:p w14:paraId="11E11869" w14:textId="3728D0BF" w:rsidR="00FC1A41" w:rsidRDefault="00FC1A41" w:rsidP="00F85264">
      <w:pPr>
        <w:pStyle w:val="PargrafodaLista"/>
        <w:spacing w:before="30" w:line="360" w:lineRule="auto"/>
        <w:ind w:left="0"/>
      </w:pPr>
    </w:p>
    <w:p w14:paraId="14F22D8C" w14:textId="56EA2FB3" w:rsidR="00430662" w:rsidRPr="00F85264" w:rsidRDefault="00F85264" w:rsidP="00F85264">
      <w:pPr>
        <w:pStyle w:val="PargrafodaLista"/>
        <w:spacing w:before="30" w:line="360" w:lineRule="auto"/>
        <w:ind w:left="0"/>
        <w:rPr>
          <w:sz w:val="22"/>
          <w:szCs w:val="22"/>
        </w:rPr>
      </w:pPr>
      <w:r>
        <w:t xml:space="preserve">8.2 </w:t>
      </w:r>
      <w:r w:rsidR="00504642">
        <w:t>FREQUÊNCIA ALÉLICA</w:t>
      </w:r>
    </w:p>
    <w:p w14:paraId="508D5390" w14:textId="2B1CEE2A" w:rsidR="00544B4B" w:rsidRDefault="00544B4B" w:rsidP="00544B4B">
      <w:pPr>
        <w:spacing w:before="30" w:line="360" w:lineRule="auto"/>
      </w:pPr>
    </w:p>
    <w:p w14:paraId="3FE28C38" w14:textId="707E1B34" w:rsidR="008A6335" w:rsidRDefault="00504642" w:rsidP="001F2014">
      <w:pPr>
        <w:spacing w:before="30" w:line="360" w:lineRule="auto"/>
        <w:jc w:val="both"/>
      </w:pPr>
      <w:r>
        <w:t xml:space="preserve">     Após </w:t>
      </w:r>
      <w:r w:rsidR="00AB4954">
        <w:t xml:space="preserve">a </w:t>
      </w:r>
      <w:r>
        <w:t>genotipagem</w:t>
      </w:r>
      <w:r w:rsidR="00AB4954">
        <w:t xml:space="preserve"> e</w:t>
      </w:r>
      <w:r>
        <w:t xml:space="preserve"> a</w:t>
      </w:r>
      <w:r w:rsidR="006104DA">
        <w:t>s</w:t>
      </w:r>
      <w:r>
        <w:t xml:space="preserve"> frequência</w:t>
      </w:r>
      <w:r w:rsidR="006104DA">
        <w:t>s</w:t>
      </w:r>
      <w:r>
        <w:t xml:space="preserve"> alélica</w:t>
      </w:r>
      <w:r w:rsidR="006104DA">
        <w:t>s</w:t>
      </w:r>
      <w:r>
        <w:t xml:space="preserve"> dos </w:t>
      </w:r>
      <w:r w:rsidR="00247A6F">
        <w:t>polimorfismos</w:t>
      </w:r>
      <w:r>
        <w:t xml:space="preserve"> </w:t>
      </w:r>
      <w:r w:rsidR="00247A6F">
        <w:t xml:space="preserve">em estudo </w:t>
      </w:r>
      <w:r>
        <w:t>fo</w:t>
      </w:r>
      <w:r w:rsidR="006104DA">
        <w:t>ram</w:t>
      </w:r>
      <w:r>
        <w:t xml:space="preserve"> calculada</w:t>
      </w:r>
      <w:r w:rsidR="006104DA">
        <w:t>s</w:t>
      </w:r>
      <w:r>
        <w:t xml:space="preserve"> e comparada</w:t>
      </w:r>
      <w:r w:rsidR="006104DA">
        <w:t>s</w:t>
      </w:r>
      <w:r>
        <w:t xml:space="preserve"> com a</w:t>
      </w:r>
      <w:r w:rsidR="00247A6F">
        <w:t xml:space="preserve">quelas encontradas na </w:t>
      </w:r>
      <w:r>
        <w:t xml:space="preserve">população </w:t>
      </w:r>
      <w:r w:rsidR="009F6EBA">
        <w:t xml:space="preserve">global, </w:t>
      </w:r>
      <w:r w:rsidR="007662B7">
        <w:t xml:space="preserve">europeia, africana e brasileira. </w:t>
      </w:r>
      <w:r>
        <w:t>Todos os polimorfismos estavam em equilíbrio de Hardy-Weinberg.</w:t>
      </w:r>
      <w:r w:rsidR="00466D96">
        <w:t xml:space="preserve"> A</w:t>
      </w:r>
      <w:r w:rsidR="007662B7">
        <w:t>s</w:t>
      </w:r>
      <w:r w:rsidR="00AB4954">
        <w:t xml:space="preserve"> </w:t>
      </w:r>
      <w:r w:rsidR="00AB4954" w:rsidRPr="00FC1A41">
        <w:t>T</w:t>
      </w:r>
      <w:r w:rsidR="00466D96" w:rsidRPr="00FC1A41">
        <w:t>abela</w:t>
      </w:r>
      <w:r w:rsidR="007662B7" w:rsidRPr="00FC1A41">
        <w:t>s</w:t>
      </w:r>
      <w:r w:rsidR="00466D96" w:rsidRPr="00FC1A41">
        <w:t xml:space="preserve"> </w:t>
      </w:r>
      <w:r w:rsidR="00FC1A41">
        <w:t xml:space="preserve">5 e 6 </w:t>
      </w:r>
      <w:r w:rsidR="00466D96">
        <w:t>expõe</w:t>
      </w:r>
      <w:r w:rsidR="007662B7">
        <w:t>m</w:t>
      </w:r>
      <w:r w:rsidR="00466D96">
        <w:t xml:space="preserve"> es</w:t>
      </w:r>
      <w:r w:rsidR="00AB4954">
        <w:t>s</w:t>
      </w:r>
      <w:r w:rsidR="00466D96">
        <w:t>es dados.</w:t>
      </w:r>
    </w:p>
    <w:p w14:paraId="206B10D5" w14:textId="77777777" w:rsidR="00FC1A41" w:rsidRDefault="00FC1A41" w:rsidP="00247A6F">
      <w:pPr>
        <w:rPr>
          <w:b/>
          <w:bCs/>
        </w:rPr>
      </w:pPr>
    </w:p>
    <w:p w14:paraId="0C3F0335" w14:textId="0C32268A" w:rsidR="00701038" w:rsidRDefault="00504642" w:rsidP="00247A6F">
      <w:r w:rsidRPr="00215564">
        <w:rPr>
          <w:b/>
          <w:bCs/>
        </w:rPr>
        <w:t>T</w:t>
      </w:r>
      <w:r w:rsidR="00F85264" w:rsidRPr="00215564">
        <w:rPr>
          <w:b/>
          <w:bCs/>
        </w:rPr>
        <w:t>abela</w:t>
      </w:r>
      <w:r w:rsidR="00047856" w:rsidRPr="00215564">
        <w:rPr>
          <w:b/>
          <w:bCs/>
        </w:rPr>
        <w:t xml:space="preserve"> </w:t>
      </w:r>
      <w:r w:rsidR="00FC1A41">
        <w:rPr>
          <w:b/>
          <w:bCs/>
        </w:rPr>
        <w:t>5</w:t>
      </w:r>
      <w:r w:rsidR="00047856" w:rsidRPr="00215564">
        <w:rPr>
          <w:b/>
          <w:bCs/>
        </w:rPr>
        <w:t>:</w:t>
      </w:r>
      <w:r w:rsidR="00047856" w:rsidRPr="00215564">
        <w:t xml:space="preserve"> </w:t>
      </w:r>
      <w:r w:rsidRPr="00215564">
        <w:t xml:space="preserve"> Frequência </w:t>
      </w:r>
      <w:r w:rsidR="00466D96" w:rsidRPr="00215564">
        <w:t>a</w:t>
      </w:r>
      <w:r w:rsidRPr="00215564">
        <w:t>lélica</w:t>
      </w:r>
      <w:r w:rsidR="00466D96" w:rsidRPr="00215564">
        <w:t xml:space="preserve"> dos polimorfismos </w:t>
      </w:r>
      <w:r w:rsidR="00A37AE3">
        <w:t>estudados</w:t>
      </w:r>
    </w:p>
    <w:p w14:paraId="139A18D0" w14:textId="19B6AE58" w:rsidR="00FC1A41" w:rsidRDefault="00FC1A41" w:rsidP="00247A6F"/>
    <w:tbl>
      <w:tblPr>
        <w:tblStyle w:val="SimplesTabela2"/>
        <w:tblpPr w:leftFromText="141" w:rightFromText="141" w:vertAnchor="page" w:horzAnchor="page" w:tblpX="1301" w:tblpY="10239"/>
        <w:tblW w:w="10584" w:type="dxa"/>
        <w:tblLook w:val="04A0" w:firstRow="1" w:lastRow="0" w:firstColumn="1" w:lastColumn="0" w:noHBand="0" w:noVBand="1"/>
      </w:tblPr>
      <w:tblGrid>
        <w:gridCol w:w="2001"/>
        <w:gridCol w:w="1600"/>
        <w:gridCol w:w="1866"/>
        <w:gridCol w:w="1678"/>
        <w:gridCol w:w="1718"/>
        <w:gridCol w:w="1721"/>
      </w:tblGrid>
      <w:tr w:rsidR="00FC1A41" w:rsidRPr="00D24A1B" w14:paraId="0F06CF1A" w14:textId="77777777" w:rsidTr="00FC1A41">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01" w:type="dxa"/>
            <w:noWrap/>
            <w:hideMark/>
          </w:tcPr>
          <w:p w14:paraId="7409CE10" w14:textId="77777777" w:rsidR="00FC1A41" w:rsidRPr="00EB7452" w:rsidRDefault="00FC1A41" w:rsidP="00FC1A41">
            <w:pPr>
              <w:rPr>
                <w:rFonts w:ascii="Arial" w:hAnsi="Arial" w:cs="Arial"/>
                <w:color w:val="000000"/>
                <w:sz w:val="20"/>
                <w:szCs w:val="20"/>
              </w:rPr>
            </w:pPr>
            <w:r w:rsidRPr="00EB7452">
              <w:rPr>
                <w:rFonts w:ascii="Arial" w:hAnsi="Arial" w:cs="Arial"/>
                <w:color w:val="000000"/>
                <w:sz w:val="20"/>
                <w:szCs w:val="20"/>
              </w:rPr>
              <w:t>SNP-Gene</w:t>
            </w:r>
          </w:p>
        </w:tc>
        <w:tc>
          <w:tcPr>
            <w:tcW w:w="1600" w:type="dxa"/>
            <w:noWrap/>
            <w:hideMark/>
          </w:tcPr>
          <w:p w14:paraId="37333619" w14:textId="77777777" w:rsidR="00FC1A41" w:rsidRPr="00EB7452" w:rsidRDefault="00FC1A41" w:rsidP="00FC1A41">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C36DE">
              <w:rPr>
                <w:rFonts w:ascii="Arial" w:hAnsi="Arial" w:cs="Arial"/>
                <w:color w:val="000000" w:themeColor="text1"/>
                <w:sz w:val="20"/>
                <w:szCs w:val="20"/>
              </w:rPr>
              <w:t>Global</w:t>
            </w:r>
          </w:p>
        </w:tc>
        <w:tc>
          <w:tcPr>
            <w:tcW w:w="1866" w:type="dxa"/>
            <w:noWrap/>
            <w:hideMark/>
          </w:tcPr>
          <w:p w14:paraId="42AF2158" w14:textId="77777777" w:rsidR="00FC1A41" w:rsidRPr="00EB7452" w:rsidRDefault="00FC1A41" w:rsidP="00FC1A41">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B7452">
              <w:rPr>
                <w:rFonts w:ascii="Arial" w:hAnsi="Arial" w:cs="Arial"/>
                <w:color w:val="000000"/>
                <w:sz w:val="20"/>
                <w:szCs w:val="20"/>
              </w:rPr>
              <w:t>Europa</w:t>
            </w:r>
          </w:p>
        </w:tc>
        <w:tc>
          <w:tcPr>
            <w:tcW w:w="1678" w:type="dxa"/>
            <w:noWrap/>
            <w:hideMark/>
          </w:tcPr>
          <w:p w14:paraId="539EF2A7" w14:textId="77777777" w:rsidR="00FC1A41" w:rsidRPr="00EB7452" w:rsidRDefault="00FC1A41" w:rsidP="00FC1A41">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B7452">
              <w:rPr>
                <w:rFonts w:ascii="Arial" w:hAnsi="Arial" w:cs="Arial"/>
                <w:color w:val="000000"/>
                <w:sz w:val="20"/>
                <w:szCs w:val="20"/>
              </w:rPr>
              <w:t>África</w:t>
            </w:r>
          </w:p>
        </w:tc>
        <w:tc>
          <w:tcPr>
            <w:tcW w:w="1718" w:type="dxa"/>
          </w:tcPr>
          <w:p w14:paraId="13CFC7AA" w14:textId="77777777" w:rsidR="00FC1A41" w:rsidRPr="00EB7452" w:rsidRDefault="00FC1A41" w:rsidP="00FC1A41">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B7452">
              <w:rPr>
                <w:rFonts w:ascii="Arial" w:hAnsi="Arial" w:cs="Arial"/>
                <w:color w:val="000000"/>
                <w:sz w:val="20"/>
                <w:szCs w:val="20"/>
              </w:rPr>
              <w:t>Brasil</w:t>
            </w:r>
          </w:p>
        </w:tc>
        <w:tc>
          <w:tcPr>
            <w:tcW w:w="1721" w:type="dxa"/>
            <w:noWrap/>
            <w:hideMark/>
          </w:tcPr>
          <w:p w14:paraId="252B73D1" w14:textId="77777777" w:rsidR="00FC1A41" w:rsidRPr="00EB7452" w:rsidRDefault="00FC1A41" w:rsidP="00FC1A41">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B7452">
              <w:rPr>
                <w:rFonts w:ascii="Arial" w:hAnsi="Arial" w:cs="Arial"/>
                <w:color w:val="000000"/>
                <w:sz w:val="20"/>
                <w:szCs w:val="20"/>
              </w:rPr>
              <w:t>Este estudo</w:t>
            </w:r>
          </w:p>
        </w:tc>
      </w:tr>
      <w:tr w:rsidR="00FC1A41" w:rsidRPr="00D24A1B" w14:paraId="70345DB4" w14:textId="77777777" w:rsidTr="00FC1A4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01" w:type="dxa"/>
            <w:noWrap/>
            <w:hideMark/>
          </w:tcPr>
          <w:p w14:paraId="1343D870" w14:textId="77777777" w:rsidR="00FC1A41" w:rsidRPr="00EB7452" w:rsidRDefault="00FC1A41" w:rsidP="00FC1A41">
            <w:pPr>
              <w:rPr>
                <w:rFonts w:ascii="Arial" w:hAnsi="Arial" w:cs="Arial"/>
                <w:color w:val="000000"/>
                <w:sz w:val="18"/>
                <w:szCs w:val="18"/>
              </w:rPr>
            </w:pPr>
            <w:r w:rsidRPr="00EB7452">
              <w:rPr>
                <w:rFonts w:ascii="Arial" w:hAnsi="Arial" w:cs="Arial"/>
                <w:color w:val="000000"/>
                <w:sz w:val="18"/>
                <w:szCs w:val="18"/>
              </w:rPr>
              <w:t>rs12885300-DIO2</w:t>
            </w:r>
          </w:p>
        </w:tc>
        <w:tc>
          <w:tcPr>
            <w:tcW w:w="1600" w:type="dxa"/>
            <w:noWrap/>
            <w:hideMark/>
          </w:tcPr>
          <w:p w14:paraId="2CD2F8CF"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C=</w:t>
            </w:r>
            <w:r>
              <w:rPr>
                <w:rFonts w:ascii="Arial" w:hAnsi="Arial" w:cs="Arial"/>
                <w:sz w:val="18"/>
                <w:szCs w:val="18"/>
              </w:rPr>
              <w:t>81</w:t>
            </w:r>
            <w:r w:rsidRPr="00EB7452">
              <w:rPr>
                <w:rFonts w:ascii="Arial" w:hAnsi="Arial" w:cs="Arial"/>
                <w:sz w:val="18"/>
                <w:szCs w:val="18"/>
              </w:rPr>
              <w:t>% / T=</w:t>
            </w:r>
            <w:r>
              <w:rPr>
                <w:rFonts w:ascii="Arial" w:hAnsi="Arial" w:cs="Arial"/>
                <w:sz w:val="18"/>
                <w:szCs w:val="18"/>
              </w:rPr>
              <w:t>19</w:t>
            </w:r>
            <w:r w:rsidRPr="00EB7452">
              <w:rPr>
                <w:rFonts w:ascii="Arial" w:hAnsi="Arial" w:cs="Arial"/>
                <w:sz w:val="18"/>
                <w:szCs w:val="18"/>
              </w:rPr>
              <w:t>%</w:t>
            </w:r>
          </w:p>
        </w:tc>
        <w:tc>
          <w:tcPr>
            <w:tcW w:w="1866" w:type="dxa"/>
            <w:noWrap/>
            <w:hideMark/>
          </w:tcPr>
          <w:p w14:paraId="349FF8EA"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C=64% / T=36%</w:t>
            </w:r>
          </w:p>
        </w:tc>
        <w:tc>
          <w:tcPr>
            <w:tcW w:w="1678" w:type="dxa"/>
            <w:noWrap/>
            <w:hideMark/>
          </w:tcPr>
          <w:p w14:paraId="781CE912"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C=98% / T=2%</w:t>
            </w:r>
          </w:p>
        </w:tc>
        <w:tc>
          <w:tcPr>
            <w:tcW w:w="1718" w:type="dxa"/>
          </w:tcPr>
          <w:p w14:paraId="08263CFF"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Helvetica Neue" w:eastAsiaTheme="minorHAnsi" w:hAnsi="Helvetica Neue" w:cs="Helvetica Neue"/>
                <w:color w:val="000000"/>
                <w:sz w:val="18"/>
                <w:szCs w:val="18"/>
                <w:lang w:eastAsia="en-US"/>
              </w:rPr>
            </w:pPr>
            <w:r w:rsidRPr="00EB7452">
              <w:rPr>
                <w:rFonts w:ascii="Arial" w:hAnsi="Arial" w:cs="Arial"/>
                <w:sz w:val="18"/>
                <w:szCs w:val="18"/>
              </w:rPr>
              <w:t>C=71% / T=29%</w:t>
            </w:r>
          </w:p>
          <w:p w14:paraId="3DFEB404"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sz w:val="18"/>
                <w:szCs w:val="18"/>
              </w:rPr>
            </w:pPr>
          </w:p>
        </w:tc>
        <w:tc>
          <w:tcPr>
            <w:tcW w:w="1721" w:type="dxa"/>
            <w:noWrap/>
          </w:tcPr>
          <w:p w14:paraId="6F4CCBD3"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C=82% / T=18%</w:t>
            </w:r>
          </w:p>
        </w:tc>
      </w:tr>
      <w:tr w:rsidR="00FC1A41" w:rsidRPr="00D24A1B" w14:paraId="6D0484D6" w14:textId="77777777" w:rsidTr="00FC1A41">
        <w:trPr>
          <w:trHeight w:val="261"/>
        </w:trPr>
        <w:tc>
          <w:tcPr>
            <w:cnfStyle w:val="001000000000" w:firstRow="0" w:lastRow="0" w:firstColumn="1" w:lastColumn="0" w:oddVBand="0" w:evenVBand="0" w:oddHBand="0" w:evenHBand="0" w:firstRowFirstColumn="0" w:firstRowLastColumn="0" w:lastRowFirstColumn="0" w:lastRowLastColumn="0"/>
            <w:tcW w:w="2001" w:type="dxa"/>
            <w:noWrap/>
            <w:hideMark/>
          </w:tcPr>
          <w:p w14:paraId="23FBAC91" w14:textId="77777777" w:rsidR="00FC1A41" w:rsidRPr="00EB7452" w:rsidRDefault="00FC1A41" w:rsidP="00FC1A41">
            <w:pPr>
              <w:rPr>
                <w:rFonts w:ascii="Arial" w:hAnsi="Arial" w:cs="Arial"/>
                <w:color w:val="000000"/>
                <w:sz w:val="18"/>
                <w:szCs w:val="18"/>
              </w:rPr>
            </w:pPr>
            <w:r w:rsidRPr="00EB7452">
              <w:rPr>
                <w:rFonts w:ascii="Arial" w:hAnsi="Arial" w:cs="Arial"/>
                <w:color w:val="000000"/>
                <w:sz w:val="18"/>
                <w:szCs w:val="18"/>
              </w:rPr>
              <w:t>rs225014-DIO2</w:t>
            </w:r>
          </w:p>
        </w:tc>
        <w:tc>
          <w:tcPr>
            <w:tcW w:w="1600" w:type="dxa"/>
            <w:noWrap/>
            <w:hideMark/>
          </w:tcPr>
          <w:p w14:paraId="0917F8FE"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B7452">
              <w:rPr>
                <w:rFonts w:ascii="Arial" w:hAnsi="Arial" w:cs="Arial"/>
                <w:sz w:val="18"/>
                <w:szCs w:val="18"/>
              </w:rPr>
              <w:t>T=</w:t>
            </w:r>
            <w:r>
              <w:rPr>
                <w:rFonts w:ascii="Arial" w:hAnsi="Arial" w:cs="Arial"/>
                <w:sz w:val="18"/>
                <w:szCs w:val="18"/>
              </w:rPr>
              <w:t>54</w:t>
            </w:r>
            <w:r w:rsidRPr="00EB7452">
              <w:rPr>
                <w:rFonts w:ascii="Arial" w:hAnsi="Arial" w:cs="Arial"/>
                <w:sz w:val="18"/>
                <w:szCs w:val="18"/>
              </w:rPr>
              <w:t>% / C=</w:t>
            </w:r>
            <w:r>
              <w:rPr>
                <w:rFonts w:ascii="Arial" w:hAnsi="Arial" w:cs="Arial"/>
                <w:sz w:val="18"/>
                <w:szCs w:val="18"/>
              </w:rPr>
              <w:t>46</w:t>
            </w:r>
            <w:r w:rsidRPr="00EB7452">
              <w:rPr>
                <w:rFonts w:ascii="Arial" w:hAnsi="Arial" w:cs="Arial"/>
                <w:sz w:val="18"/>
                <w:szCs w:val="18"/>
              </w:rPr>
              <w:t>%</w:t>
            </w:r>
          </w:p>
        </w:tc>
        <w:tc>
          <w:tcPr>
            <w:tcW w:w="1866" w:type="dxa"/>
            <w:noWrap/>
            <w:hideMark/>
          </w:tcPr>
          <w:p w14:paraId="77B7D23B"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B7452">
              <w:rPr>
                <w:rFonts w:ascii="Arial" w:hAnsi="Arial" w:cs="Arial"/>
                <w:sz w:val="18"/>
                <w:szCs w:val="18"/>
              </w:rPr>
              <w:t>T=66% / C=34%</w:t>
            </w:r>
          </w:p>
        </w:tc>
        <w:tc>
          <w:tcPr>
            <w:tcW w:w="1678" w:type="dxa"/>
            <w:noWrap/>
            <w:hideMark/>
          </w:tcPr>
          <w:p w14:paraId="620916D8"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B7452">
              <w:rPr>
                <w:rFonts w:ascii="Arial" w:hAnsi="Arial" w:cs="Arial"/>
                <w:sz w:val="18"/>
                <w:szCs w:val="18"/>
              </w:rPr>
              <w:t>T=54% / C=46%</w:t>
            </w:r>
          </w:p>
        </w:tc>
        <w:tc>
          <w:tcPr>
            <w:tcW w:w="1718" w:type="dxa"/>
          </w:tcPr>
          <w:p w14:paraId="11BE4E96"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000000"/>
                <w:sz w:val="18"/>
                <w:szCs w:val="18"/>
                <w:lang w:eastAsia="en-US"/>
              </w:rPr>
            </w:pPr>
            <w:r w:rsidRPr="00EB7452">
              <w:rPr>
                <w:rFonts w:ascii="Arial" w:hAnsi="Arial" w:cs="Arial"/>
                <w:sz w:val="18"/>
                <w:szCs w:val="18"/>
              </w:rPr>
              <w:t>T=59% / C=</w:t>
            </w:r>
            <w:r w:rsidRPr="00EB7452">
              <w:rPr>
                <w:rFonts w:ascii="Helvetica Neue" w:eastAsiaTheme="minorHAnsi" w:hAnsi="Helvetica Neue" w:cs="Helvetica Neue"/>
                <w:color w:val="000000"/>
                <w:sz w:val="18"/>
                <w:szCs w:val="18"/>
                <w:lang w:eastAsia="en-US"/>
              </w:rPr>
              <w:t>41%</w:t>
            </w:r>
          </w:p>
          <w:p w14:paraId="4CD99C78"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sz w:val="18"/>
                <w:szCs w:val="18"/>
              </w:rPr>
            </w:pPr>
          </w:p>
        </w:tc>
        <w:tc>
          <w:tcPr>
            <w:tcW w:w="1721" w:type="dxa"/>
            <w:noWrap/>
            <w:hideMark/>
          </w:tcPr>
          <w:p w14:paraId="5354887A"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color w:val="C00000"/>
                <w:sz w:val="18"/>
                <w:szCs w:val="18"/>
              </w:rPr>
            </w:pPr>
            <w:r w:rsidRPr="00EB7452">
              <w:rPr>
                <w:rFonts w:ascii="Arial" w:hAnsi="Arial" w:cs="Arial"/>
                <w:sz w:val="18"/>
                <w:szCs w:val="18"/>
              </w:rPr>
              <w:t>T=59% / C=41%</w:t>
            </w:r>
          </w:p>
        </w:tc>
      </w:tr>
      <w:tr w:rsidR="00FC1A41" w:rsidRPr="00D24A1B" w14:paraId="0B0A44B9" w14:textId="77777777" w:rsidTr="00FC1A4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01" w:type="dxa"/>
            <w:noWrap/>
            <w:hideMark/>
          </w:tcPr>
          <w:p w14:paraId="616901BF" w14:textId="77777777" w:rsidR="00FC1A41" w:rsidRPr="00EB7452" w:rsidRDefault="00FC1A41" w:rsidP="00FC1A41">
            <w:pPr>
              <w:rPr>
                <w:rFonts w:ascii="Arial" w:hAnsi="Arial" w:cs="Arial"/>
                <w:color w:val="000000"/>
                <w:sz w:val="18"/>
                <w:szCs w:val="18"/>
              </w:rPr>
            </w:pPr>
            <w:r w:rsidRPr="00EB7452">
              <w:rPr>
                <w:rFonts w:ascii="Arial" w:hAnsi="Arial" w:cs="Arial"/>
                <w:color w:val="000000"/>
                <w:sz w:val="18"/>
                <w:szCs w:val="18"/>
              </w:rPr>
              <w:t>rs978055-DIO2</w:t>
            </w:r>
          </w:p>
        </w:tc>
        <w:tc>
          <w:tcPr>
            <w:tcW w:w="1600" w:type="dxa"/>
            <w:noWrap/>
            <w:hideMark/>
          </w:tcPr>
          <w:p w14:paraId="1474EDE8"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B7452">
              <w:rPr>
                <w:rFonts w:ascii="Arial" w:hAnsi="Arial" w:cs="Arial"/>
                <w:sz w:val="18"/>
                <w:szCs w:val="18"/>
              </w:rPr>
              <w:t>T=</w:t>
            </w:r>
            <w:r>
              <w:rPr>
                <w:rFonts w:ascii="Arial" w:hAnsi="Arial" w:cs="Arial"/>
                <w:sz w:val="18"/>
                <w:szCs w:val="18"/>
              </w:rPr>
              <w:t>55</w:t>
            </w:r>
            <w:r w:rsidRPr="00EB7452">
              <w:rPr>
                <w:rFonts w:ascii="Arial" w:hAnsi="Arial" w:cs="Arial"/>
                <w:sz w:val="18"/>
                <w:szCs w:val="18"/>
              </w:rPr>
              <w:t>% / A=</w:t>
            </w:r>
            <w:r>
              <w:rPr>
                <w:rFonts w:ascii="Arial" w:hAnsi="Arial" w:cs="Arial"/>
                <w:sz w:val="18"/>
                <w:szCs w:val="18"/>
              </w:rPr>
              <w:t>45</w:t>
            </w:r>
            <w:r w:rsidRPr="00EB7452">
              <w:rPr>
                <w:rFonts w:ascii="Arial" w:hAnsi="Arial" w:cs="Arial"/>
                <w:sz w:val="18"/>
                <w:szCs w:val="18"/>
              </w:rPr>
              <w:t>%</w:t>
            </w:r>
          </w:p>
        </w:tc>
        <w:tc>
          <w:tcPr>
            <w:tcW w:w="1866" w:type="dxa"/>
            <w:noWrap/>
            <w:hideMark/>
          </w:tcPr>
          <w:p w14:paraId="64D797E0"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T=61% / A=39%</w:t>
            </w:r>
          </w:p>
        </w:tc>
        <w:tc>
          <w:tcPr>
            <w:tcW w:w="1678" w:type="dxa"/>
            <w:noWrap/>
            <w:hideMark/>
          </w:tcPr>
          <w:p w14:paraId="3DEA47DD"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T=42% / A=58%</w:t>
            </w:r>
          </w:p>
        </w:tc>
        <w:tc>
          <w:tcPr>
            <w:tcW w:w="1718" w:type="dxa"/>
          </w:tcPr>
          <w:p w14:paraId="5FD3BACE"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Helvetica Neue" w:eastAsiaTheme="minorHAnsi" w:hAnsi="Helvetica Neue" w:cs="Helvetica Neue"/>
                <w:color w:val="000000"/>
                <w:sz w:val="18"/>
                <w:szCs w:val="18"/>
                <w:lang w:eastAsia="en-US"/>
              </w:rPr>
            </w:pPr>
            <w:r w:rsidRPr="00EB7452">
              <w:rPr>
                <w:rFonts w:ascii="Arial" w:hAnsi="Arial" w:cs="Arial"/>
                <w:sz w:val="18"/>
                <w:szCs w:val="18"/>
              </w:rPr>
              <w:t>T=58% / A=42%</w:t>
            </w:r>
          </w:p>
          <w:p w14:paraId="58B262A7"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Helvetica Neue" w:eastAsiaTheme="minorHAnsi" w:hAnsi="Helvetica Neue" w:cs="Helvetica Neue"/>
                <w:color w:val="000000"/>
                <w:sz w:val="18"/>
                <w:szCs w:val="18"/>
                <w:lang w:eastAsia="en-US"/>
              </w:rPr>
            </w:pPr>
          </w:p>
        </w:tc>
        <w:tc>
          <w:tcPr>
            <w:tcW w:w="1721" w:type="dxa"/>
            <w:noWrap/>
            <w:hideMark/>
          </w:tcPr>
          <w:p w14:paraId="4E7F7722"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T=55% / A=45%</w:t>
            </w:r>
          </w:p>
        </w:tc>
      </w:tr>
      <w:tr w:rsidR="00FC1A41" w:rsidRPr="00D24A1B" w14:paraId="14B6EFCB" w14:textId="77777777" w:rsidTr="00FC1A41">
        <w:trPr>
          <w:trHeight w:val="261"/>
        </w:trPr>
        <w:tc>
          <w:tcPr>
            <w:cnfStyle w:val="001000000000" w:firstRow="0" w:lastRow="0" w:firstColumn="1" w:lastColumn="0" w:oddVBand="0" w:evenVBand="0" w:oddHBand="0" w:evenHBand="0" w:firstRowFirstColumn="0" w:firstRowLastColumn="0" w:lastRowFirstColumn="0" w:lastRowLastColumn="0"/>
            <w:tcW w:w="2001" w:type="dxa"/>
            <w:noWrap/>
            <w:hideMark/>
          </w:tcPr>
          <w:p w14:paraId="23FB19DE" w14:textId="77777777" w:rsidR="00FC1A41" w:rsidRDefault="00FC1A41" w:rsidP="00FC1A41">
            <w:pPr>
              <w:rPr>
                <w:rFonts w:ascii="Arial" w:hAnsi="Arial" w:cs="Arial"/>
                <w:b w:val="0"/>
                <w:bCs w:val="0"/>
                <w:color w:val="000000"/>
                <w:sz w:val="18"/>
                <w:szCs w:val="18"/>
              </w:rPr>
            </w:pPr>
            <w:r w:rsidRPr="00EB7452">
              <w:rPr>
                <w:rFonts w:ascii="Arial" w:hAnsi="Arial" w:cs="Arial"/>
                <w:color w:val="000000"/>
                <w:sz w:val="18"/>
                <w:szCs w:val="18"/>
              </w:rPr>
              <w:t>rs2235544-DIO1</w:t>
            </w:r>
          </w:p>
          <w:p w14:paraId="731C1703" w14:textId="77777777" w:rsidR="00FC1A41" w:rsidRDefault="00FC1A41" w:rsidP="00FC1A41">
            <w:pPr>
              <w:rPr>
                <w:rFonts w:ascii="Arial" w:hAnsi="Arial" w:cs="Arial"/>
                <w:b w:val="0"/>
                <w:bCs w:val="0"/>
                <w:color w:val="000000"/>
                <w:sz w:val="18"/>
                <w:szCs w:val="18"/>
              </w:rPr>
            </w:pPr>
          </w:p>
          <w:p w14:paraId="17ABC53B" w14:textId="77777777" w:rsidR="00FC1A41" w:rsidRPr="00EB7452" w:rsidRDefault="00FC1A41" w:rsidP="00FC1A41">
            <w:pPr>
              <w:rPr>
                <w:rFonts w:ascii="Arial" w:hAnsi="Arial" w:cs="Arial"/>
                <w:color w:val="000000"/>
                <w:sz w:val="18"/>
                <w:szCs w:val="18"/>
              </w:rPr>
            </w:pPr>
          </w:p>
        </w:tc>
        <w:tc>
          <w:tcPr>
            <w:tcW w:w="1600" w:type="dxa"/>
            <w:noWrap/>
            <w:hideMark/>
          </w:tcPr>
          <w:p w14:paraId="33BA14B8"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B7452">
              <w:rPr>
                <w:rFonts w:ascii="Arial" w:hAnsi="Arial" w:cs="Arial"/>
                <w:sz w:val="18"/>
                <w:szCs w:val="18"/>
              </w:rPr>
              <w:t>C=</w:t>
            </w:r>
            <w:r>
              <w:rPr>
                <w:rFonts w:ascii="Arial" w:hAnsi="Arial" w:cs="Arial"/>
                <w:sz w:val="18"/>
                <w:szCs w:val="18"/>
              </w:rPr>
              <w:t>54</w:t>
            </w:r>
            <w:r w:rsidRPr="00EB7452">
              <w:rPr>
                <w:rFonts w:ascii="Arial" w:hAnsi="Arial" w:cs="Arial"/>
                <w:sz w:val="18"/>
                <w:szCs w:val="18"/>
              </w:rPr>
              <w:t>% / A=</w:t>
            </w:r>
            <w:r>
              <w:rPr>
                <w:rFonts w:ascii="Arial" w:hAnsi="Arial" w:cs="Arial"/>
                <w:sz w:val="18"/>
                <w:szCs w:val="18"/>
              </w:rPr>
              <w:t>46</w:t>
            </w:r>
            <w:r w:rsidRPr="00EB7452">
              <w:rPr>
                <w:rFonts w:ascii="Arial" w:hAnsi="Arial" w:cs="Arial"/>
                <w:sz w:val="18"/>
                <w:szCs w:val="18"/>
              </w:rPr>
              <w:t>%</w:t>
            </w:r>
          </w:p>
        </w:tc>
        <w:tc>
          <w:tcPr>
            <w:tcW w:w="1866" w:type="dxa"/>
            <w:noWrap/>
            <w:hideMark/>
          </w:tcPr>
          <w:p w14:paraId="04B997BC"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B7452">
              <w:rPr>
                <w:rFonts w:ascii="Arial" w:hAnsi="Arial" w:cs="Arial"/>
                <w:sz w:val="18"/>
                <w:szCs w:val="18"/>
              </w:rPr>
              <w:t>C=48% / A=52%</w:t>
            </w:r>
          </w:p>
          <w:p w14:paraId="5EFEC64F"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78" w:type="dxa"/>
            <w:noWrap/>
            <w:hideMark/>
          </w:tcPr>
          <w:p w14:paraId="6F0ABBAF"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B7452">
              <w:rPr>
                <w:rFonts w:ascii="Arial" w:hAnsi="Arial" w:cs="Arial"/>
                <w:sz w:val="18"/>
                <w:szCs w:val="18"/>
              </w:rPr>
              <w:t>C=84% / A=16%</w:t>
            </w:r>
          </w:p>
        </w:tc>
        <w:tc>
          <w:tcPr>
            <w:tcW w:w="1718" w:type="dxa"/>
          </w:tcPr>
          <w:p w14:paraId="09CF1380"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sz w:val="18"/>
                <w:szCs w:val="18"/>
              </w:rPr>
            </w:pPr>
            <w:r w:rsidRPr="00EB7452">
              <w:rPr>
                <w:rFonts w:ascii="Arial" w:hAnsi="Arial" w:cs="Arial"/>
                <w:sz w:val="18"/>
                <w:szCs w:val="18"/>
              </w:rPr>
              <w:t>C=55% / A=45%</w:t>
            </w:r>
          </w:p>
        </w:tc>
        <w:tc>
          <w:tcPr>
            <w:tcW w:w="1721" w:type="dxa"/>
            <w:noWrap/>
            <w:hideMark/>
          </w:tcPr>
          <w:p w14:paraId="682BD0C4"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B7452">
              <w:rPr>
                <w:rFonts w:ascii="Arial" w:hAnsi="Arial" w:cs="Arial"/>
                <w:sz w:val="18"/>
                <w:szCs w:val="18"/>
              </w:rPr>
              <w:t>C=62% / A=38%</w:t>
            </w:r>
          </w:p>
          <w:p w14:paraId="73F4E30A"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C1A41" w:rsidRPr="00D24A1B" w14:paraId="3D5DBC47" w14:textId="77777777" w:rsidTr="00FC1A41">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001" w:type="dxa"/>
            <w:noWrap/>
            <w:hideMark/>
          </w:tcPr>
          <w:p w14:paraId="491A0DA5" w14:textId="77777777" w:rsidR="00FC1A41" w:rsidRPr="00EB7452" w:rsidRDefault="00FC1A41" w:rsidP="00FC1A41">
            <w:pPr>
              <w:rPr>
                <w:rFonts w:ascii="Arial" w:hAnsi="Arial" w:cs="Arial"/>
                <w:color w:val="000000"/>
                <w:sz w:val="18"/>
                <w:szCs w:val="18"/>
              </w:rPr>
            </w:pPr>
            <w:r w:rsidRPr="00EB7452">
              <w:rPr>
                <w:rFonts w:ascii="Arial" w:hAnsi="Arial" w:cs="Arial"/>
                <w:color w:val="000000"/>
                <w:sz w:val="18"/>
                <w:szCs w:val="18"/>
              </w:rPr>
              <w:t>rs9356988- SLC17A4</w:t>
            </w:r>
          </w:p>
        </w:tc>
        <w:tc>
          <w:tcPr>
            <w:tcW w:w="1600" w:type="dxa"/>
            <w:noWrap/>
            <w:hideMark/>
          </w:tcPr>
          <w:p w14:paraId="078A570D"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EB7452">
              <w:rPr>
                <w:rFonts w:ascii="Arial" w:hAnsi="Arial" w:cs="Arial"/>
                <w:sz w:val="18"/>
                <w:szCs w:val="18"/>
              </w:rPr>
              <w:t>G=</w:t>
            </w:r>
            <w:r>
              <w:rPr>
                <w:rFonts w:ascii="Arial" w:hAnsi="Arial" w:cs="Arial"/>
                <w:sz w:val="18"/>
                <w:szCs w:val="18"/>
              </w:rPr>
              <w:t>63</w:t>
            </w:r>
            <w:r w:rsidRPr="00EB7452">
              <w:rPr>
                <w:rFonts w:ascii="Arial" w:hAnsi="Arial" w:cs="Arial"/>
                <w:sz w:val="18"/>
                <w:szCs w:val="18"/>
              </w:rPr>
              <w:t>% / A=</w:t>
            </w:r>
            <w:r>
              <w:rPr>
                <w:rFonts w:ascii="Arial" w:hAnsi="Arial" w:cs="Arial"/>
                <w:sz w:val="18"/>
                <w:szCs w:val="18"/>
              </w:rPr>
              <w:t>37</w:t>
            </w:r>
            <w:r w:rsidRPr="00EB7452">
              <w:rPr>
                <w:rFonts w:ascii="Arial" w:hAnsi="Arial" w:cs="Arial"/>
                <w:sz w:val="18"/>
                <w:szCs w:val="18"/>
              </w:rPr>
              <w:t>%</w:t>
            </w:r>
          </w:p>
        </w:tc>
        <w:tc>
          <w:tcPr>
            <w:tcW w:w="1866" w:type="dxa"/>
            <w:noWrap/>
            <w:hideMark/>
          </w:tcPr>
          <w:p w14:paraId="613A349C"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G=72% / A=28%</w:t>
            </w:r>
          </w:p>
        </w:tc>
        <w:tc>
          <w:tcPr>
            <w:tcW w:w="1678" w:type="dxa"/>
            <w:noWrap/>
            <w:hideMark/>
          </w:tcPr>
          <w:p w14:paraId="110128EE"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G=81%/ A=19%</w:t>
            </w:r>
          </w:p>
        </w:tc>
        <w:tc>
          <w:tcPr>
            <w:tcW w:w="1718" w:type="dxa"/>
          </w:tcPr>
          <w:p w14:paraId="748BE748"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Helvetica Neue" w:eastAsiaTheme="minorHAnsi" w:hAnsi="Helvetica Neue" w:cs="Helvetica Neue"/>
                <w:color w:val="000000"/>
                <w:sz w:val="18"/>
                <w:szCs w:val="18"/>
                <w:lang w:eastAsia="en-US"/>
              </w:rPr>
            </w:pPr>
            <w:r w:rsidRPr="00EB7452">
              <w:rPr>
                <w:rFonts w:ascii="Arial" w:hAnsi="Arial" w:cs="Arial"/>
                <w:sz w:val="18"/>
                <w:szCs w:val="18"/>
              </w:rPr>
              <w:t>G=70%/ A=30%</w:t>
            </w:r>
          </w:p>
          <w:p w14:paraId="3634B788"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sz w:val="18"/>
                <w:szCs w:val="18"/>
              </w:rPr>
            </w:pPr>
          </w:p>
        </w:tc>
        <w:tc>
          <w:tcPr>
            <w:tcW w:w="1721" w:type="dxa"/>
            <w:noWrap/>
            <w:hideMark/>
          </w:tcPr>
          <w:p w14:paraId="1F71B858"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G=67% / A=33%</w:t>
            </w:r>
          </w:p>
          <w:p w14:paraId="68B9DCEF"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C1A41" w:rsidRPr="00D24A1B" w14:paraId="4DBF9CE9" w14:textId="77777777" w:rsidTr="00FC1A41">
        <w:trPr>
          <w:trHeight w:val="261"/>
        </w:trPr>
        <w:tc>
          <w:tcPr>
            <w:cnfStyle w:val="001000000000" w:firstRow="0" w:lastRow="0" w:firstColumn="1" w:lastColumn="0" w:oddVBand="0" w:evenVBand="0" w:oddHBand="0" w:evenHBand="0" w:firstRowFirstColumn="0" w:firstRowLastColumn="0" w:lastRowFirstColumn="0" w:lastRowLastColumn="0"/>
            <w:tcW w:w="2001" w:type="dxa"/>
            <w:noWrap/>
            <w:hideMark/>
          </w:tcPr>
          <w:p w14:paraId="500CC882" w14:textId="77777777" w:rsidR="00FC1A41" w:rsidRPr="00EB7452" w:rsidRDefault="00FC1A41" w:rsidP="00FC1A41">
            <w:pPr>
              <w:rPr>
                <w:rFonts w:ascii="Arial" w:hAnsi="Arial" w:cs="Arial"/>
                <w:color w:val="000000"/>
                <w:sz w:val="18"/>
                <w:szCs w:val="18"/>
              </w:rPr>
            </w:pPr>
            <w:r w:rsidRPr="00EB7452">
              <w:rPr>
                <w:rFonts w:ascii="Arial" w:hAnsi="Arial" w:cs="Arial"/>
                <w:color w:val="000000"/>
                <w:sz w:val="18"/>
                <w:szCs w:val="18"/>
              </w:rPr>
              <w:t>rs753760-PDE10A</w:t>
            </w:r>
          </w:p>
        </w:tc>
        <w:tc>
          <w:tcPr>
            <w:tcW w:w="1600" w:type="dxa"/>
            <w:noWrap/>
            <w:hideMark/>
          </w:tcPr>
          <w:p w14:paraId="1574FF77"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B7452">
              <w:rPr>
                <w:rFonts w:ascii="Arial" w:hAnsi="Arial" w:cs="Arial"/>
                <w:sz w:val="18"/>
                <w:szCs w:val="18"/>
              </w:rPr>
              <w:t>C=6</w:t>
            </w:r>
            <w:r>
              <w:rPr>
                <w:rFonts w:ascii="Arial" w:hAnsi="Arial" w:cs="Arial"/>
                <w:sz w:val="18"/>
                <w:szCs w:val="18"/>
              </w:rPr>
              <w:t>9</w:t>
            </w:r>
            <w:r w:rsidRPr="00EB7452">
              <w:rPr>
                <w:rFonts w:ascii="Arial" w:hAnsi="Arial" w:cs="Arial"/>
                <w:sz w:val="18"/>
                <w:szCs w:val="18"/>
              </w:rPr>
              <w:t>% / G=3</w:t>
            </w:r>
            <w:r>
              <w:rPr>
                <w:rFonts w:ascii="Arial" w:hAnsi="Arial" w:cs="Arial"/>
                <w:sz w:val="18"/>
                <w:szCs w:val="18"/>
              </w:rPr>
              <w:t>1</w:t>
            </w:r>
            <w:r w:rsidRPr="00EB7452">
              <w:rPr>
                <w:rFonts w:ascii="Arial" w:hAnsi="Arial" w:cs="Arial"/>
                <w:sz w:val="18"/>
                <w:szCs w:val="18"/>
              </w:rPr>
              <w:t>%</w:t>
            </w:r>
          </w:p>
          <w:p w14:paraId="447942B6"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1866" w:type="dxa"/>
            <w:noWrap/>
            <w:hideMark/>
          </w:tcPr>
          <w:p w14:paraId="7B0108B8"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B7452">
              <w:rPr>
                <w:rFonts w:ascii="Arial" w:hAnsi="Arial" w:cs="Arial"/>
                <w:sz w:val="18"/>
                <w:szCs w:val="18"/>
              </w:rPr>
              <w:t>C=68% / G=32%</w:t>
            </w:r>
          </w:p>
          <w:p w14:paraId="71B87B6B"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78" w:type="dxa"/>
            <w:noWrap/>
            <w:hideMark/>
          </w:tcPr>
          <w:p w14:paraId="4D63AC62"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B7452">
              <w:rPr>
                <w:rFonts w:ascii="Arial" w:hAnsi="Arial" w:cs="Arial"/>
                <w:sz w:val="18"/>
                <w:szCs w:val="18"/>
              </w:rPr>
              <w:t>C=59% / G=41%</w:t>
            </w:r>
          </w:p>
          <w:p w14:paraId="03D916D4"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718" w:type="dxa"/>
          </w:tcPr>
          <w:p w14:paraId="3A4D73B8"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000000"/>
                <w:sz w:val="18"/>
                <w:szCs w:val="18"/>
                <w:lang w:eastAsia="en-US"/>
              </w:rPr>
            </w:pPr>
            <w:r w:rsidRPr="00EB7452">
              <w:rPr>
                <w:rFonts w:ascii="Arial" w:hAnsi="Arial" w:cs="Arial"/>
                <w:sz w:val="18"/>
                <w:szCs w:val="18"/>
              </w:rPr>
              <w:t>C=67%/ G=33%</w:t>
            </w:r>
          </w:p>
          <w:p w14:paraId="485D363B"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sz w:val="18"/>
                <w:szCs w:val="18"/>
              </w:rPr>
            </w:pPr>
          </w:p>
        </w:tc>
        <w:tc>
          <w:tcPr>
            <w:tcW w:w="1721" w:type="dxa"/>
            <w:noWrap/>
            <w:hideMark/>
          </w:tcPr>
          <w:p w14:paraId="3AF64DDA"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B7452">
              <w:rPr>
                <w:rFonts w:ascii="Arial" w:hAnsi="Arial" w:cs="Arial"/>
                <w:sz w:val="18"/>
                <w:szCs w:val="18"/>
              </w:rPr>
              <w:t>C=61% / G=39%</w:t>
            </w:r>
          </w:p>
          <w:p w14:paraId="16156490"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C1A41" w:rsidRPr="00303A5C" w14:paraId="3FB4A007" w14:textId="77777777" w:rsidTr="00FC1A41">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001" w:type="dxa"/>
            <w:noWrap/>
            <w:hideMark/>
          </w:tcPr>
          <w:p w14:paraId="4AF3841D" w14:textId="77777777" w:rsidR="00FC1A41" w:rsidRPr="00EB7452" w:rsidRDefault="00FC1A41" w:rsidP="00FC1A41">
            <w:pPr>
              <w:rPr>
                <w:rFonts w:ascii="Arial" w:hAnsi="Arial" w:cs="Arial"/>
                <w:color w:val="000000"/>
                <w:sz w:val="18"/>
                <w:szCs w:val="18"/>
              </w:rPr>
            </w:pPr>
            <w:r w:rsidRPr="00EB7452">
              <w:rPr>
                <w:rFonts w:ascii="Arial" w:hAnsi="Arial" w:cs="Arial"/>
                <w:color w:val="000000"/>
                <w:sz w:val="18"/>
                <w:szCs w:val="18"/>
              </w:rPr>
              <w:t>rs1571583- GLIS3</w:t>
            </w:r>
          </w:p>
        </w:tc>
        <w:tc>
          <w:tcPr>
            <w:tcW w:w="1600" w:type="dxa"/>
            <w:noWrap/>
            <w:hideMark/>
          </w:tcPr>
          <w:p w14:paraId="7B2034D5"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A=</w:t>
            </w:r>
            <w:r>
              <w:rPr>
                <w:rFonts w:ascii="Arial" w:hAnsi="Arial" w:cs="Arial"/>
                <w:sz w:val="18"/>
                <w:szCs w:val="18"/>
              </w:rPr>
              <w:t>31</w:t>
            </w:r>
            <w:r w:rsidRPr="00EB7452">
              <w:rPr>
                <w:rFonts w:ascii="Arial" w:hAnsi="Arial" w:cs="Arial"/>
                <w:sz w:val="18"/>
                <w:szCs w:val="18"/>
              </w:rPr>
              <w:t>% / G=</w:t>
            </w:r>
            <w:r>
              <w:rPr>
                <w:rFonts w:ascii="Arial" w:hAnsi="Arial" w:cs="Arial"/>
                <w:sz w:val="18"/>
                <w:szCs w:val="18"/>
              </w:rPr>
              <w:t>69</w:t>
            </w:r>
            <w:r w:rsidRPr="00EB7452">
              <w:rPr>
                <w:rFonts w:ascii="Arial" w:hAnsi="Arial" w:cs="Arial"/>
                <w:sz w:val="18"/>
                <w:szCs w:val="18"/>
              </w:rPr>
              <w:t>%</w:t>
            </w:r>
          </w:p>
          <w:p w14:paraId="1D97C997"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631D6338"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1866" w:type="dxa"/>
            <w:noWrap/>
            <w:hideMark/>
          </w:tcPr>
          <w:p w14:paraId="7974527A"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A=25% / G=75%</w:t>
            </w:r>
          </w:p>
        </w:tc>
        <w:tc>
          <w:tcPr>
            <w:tcW w:w="1678" w:type="dxa"/>
            <w:noWrap/>
            <w:hideMark/>
          </w:tcPr>
          <w:p w14:paraId="7E8D0B2D"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B7452">
              <w:rPr>
                <w:rFonts w:ascii="Arial" w:hAnsi="Arial" w:cs="Arial"/>
                <w:sz w:val="18"/>
                <w:szCs w:val="18"/>
              </w:rPr>
              <w:t>A=20% / G=80%</w:t>
            </w:r>
          </w:p>
        </w:tc>
        <w:tc>
          <w:tcPr>
            <w:tcW w:w="1718" w:type="dxa"/>
          </w:tcPr>
          <w:p w14:paraId="03F2BD1B"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sz w:val="18"/>
                <w:szCs w:val="18"/>
              </w:rPr>
            </w:pPr>
            <w:r w:rsidRPr="00EB7452">
              <w:rPr>
                <w:rFonts w:ascii="Arial" w:hAnsi="Arial" w:cs="Arial"/>
                <w:sz w:val="18"/>
                <w:szCs w:val="18"/>
              </w:rPr>
              <w:t>A=25% / G=75%</w:t>
            </w:r>
          </w:p>
        </w:tc>
        <w:tc>
          <w:tcPr>
            <w:tcW w:w="1721" w:type="dxa"/>
            <w:noWrap/>
            <w:hideMark/>
          </w:tcPr>
          <w:p w14:paraId="124D5CC0"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B7452">
              <w:rPr>
                <w:rFonts w:ascii="Arial" w:hAnsi="Arial" w:cs="Arial"/>
                <w:color w:val="000000" w:themeColor="text1"/>
                <w:sz w:val="18"/>
                <w:szCs w:val="18"/>
              </w:rPr>
              <w:t>A=24% / G=76%</w:t>
            </w:r>
          </w:p>
          <w:p w14:paraId="3CEBDE1C" w14:textId="77777777" w:rsidR="00FC1A41" w:rsidRPr="00EB7452" w:rsidRDefault="00FC1A41" w:rsidP="00FC1A41">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p>
        </w:tc>
      </w:tr>
      <w:tr w:rsidR="00FC1A41" w:rsidRPr="00303A5C" w14:paraId="5DD7B0B4" w14:textId="77777777" w:rsidTr="00FC1A41">
        <w:trPr>
          <w:trHeight w:val="261"/>
        </w:trPr>
        <w:tc>
          <w:tcPr>
            <w:cnfStyle w:val="001000000000" w:firstRow="0" w:lastRow="0" w:firstColumn="1" w:lastColumn="0" w:oddVBand="0" w:evenVBand="0" w:oddHBand="0" w:evenHBand="0" w:firstRowFirstColumn="0" w:firstRowLastColumn="0" w:lastRowFirstColumn="0" w:lastRowLastColumn="0"/>
            <w:tcW w:w="2001" w:type="dxa"/>
            <w:noWrap/>
            <w:hideMark/>
          </w:tcPr>
          <w:p w14:paraId="0F6C0DCE" w14:textId="77777777" w:rsidR="00FC1A41" w:rsidRPr="00EB7452" w:rsidRDefault="00FC1A41" w:rsidP="00FC1A41">
            <w:pPr>
              <w:rPr>
                <w:rFonts w:ascii="Arial" w:hAnsi="Arial" w:cs="Arial"/>
                <w:color w:val="000000"/>
                <w:sz w:val="18"/>
                <w:szCs w:val="18"/>
              </w:rPr>
            </w:pPr>
            <w:r w:rsidRPr="00EB7452">
              <w:rPr>
                <w:rFonts w:ascii="Arial" w:hAnsi="Arial" w:cs="Arial"/>
                <w:color w:val="000000"/>
                <w:sz w:val="18"/>
                <w:szCs w:val="18"/>
              </w:rPr>
              <w:t>rs7045138- PTCSC2</w:t>
            </w:r>
          </w:p>
        </w:tc>
        <w:tc>
          <w:tcPr>
            <w:tcW w:w="1600" w:type="dxa"/>
            <w:noWrap/>
            <w:hideMark/>
          </w:tcPr>
          <w:p w14:paraId="3F5A4278"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EB7452">
              <w:rPr>
                <w:rFonts w:ascii="Arial" w:hAnsi="Arial" w:cs="Arial"/>
                <w:sz w:val="18"/>
                <w:szCs w:val="18"/>
              </w:rPr>
              <w:t>C=</w:t>
            </w:r>
            <w:r>
              <w:rPr>
                <w:rFonts w:ascii="Arial" w:hAnsi="Arial" w:cs="Arial"/>
                <w:sz w:val="18"/>
                <w:szCs w:val="18"/>
              </w:rPr>
              <w:t>34</w:t>
            </w:r>
            <w:r w:rsidRPr="00EB7452">
              <w:rPr>
                <w:rFonts w:ascii="Arial" w:hAnsi="Arial" w:cs="Arial"/>
                <w:sz w:val="18"/>
                <w:szCs w:val="18"/>
              </w:rPr>
              <w:t>% / T=</w:t>
            </w:r>
            <w:r>
              <w:rPr>
                <w:rFonts w:ascii="Arial" w:hAnsi="Arial" w:cs="Arial"/>
                <w:sz w:val="18"/>
                <w:szCs w:val="18"/>
              </w:rPr>
              <w:t>66</w:t>
            </w:r>
            <w:r w:rsidRPr="00EB7452">
              <w:rPr>
                <w:rFonts w:ascii="Arial" w:hAnsi="Arial" w:cs="Arial"/>
                <w:sz w:val="18"/>
                <w:szCs w:val="18"/>
              </w:rPr>
              <w:t>%</w:t>
            </w:r>
          </w:p>
        </w:tc>
        <w:tc>
          <w:tcPr>
            <w:tcW w:w="1866" w:type="dxa"/>
            <w:noWrap/>
            <w:hideMark/>
          </w:tcPr>
          <w:p w14:paraId="04B4DD00"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B7452">
              <w:rPr>
                <w:rFonts w:ascii="Arial" w:hAnsi="Arial" w:cs="Arial"/>
                <w:sz w:val="18"/>
                <w:szCs w:val="18"/>
              </w:rPr>
              <w:t>C=47% / T=53%</w:t>
            </w:r>
          </w:p>
        </w:tc>
        <w:tc>
          <w:tcPr>
            <w:tcW w:w="1678" w:type="dxa"/>
            <w:noWrap/>
            <w:hideMark/>
          </w:tcPr>
          <w:p w14:paraId="298EEF97"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B7452">
              <w:rPr>
                <w:rFonts w:ascii="Arial" w:hAnsi="Arial" w:cs="Arial"/>
                <w:sz w:val="18"/>
                <w:szCs w:val="18"/>
              </w:rPr>
              <w:t>C=37% / T=63%</w:t>
            </w:r>
          </w:p>
        </w:tc>
        <w:tc>
          <w:tcPr>
            <w:tcW w:w="1718" w:type="dxa"/>
          </w:tcPr>
          <w:p w14:paraId="6B8A3C3C"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000000"/>
                <w:sz w:val="18"/>
                <w:szCs w:val="18"/>
                <w:lang w:eastAsia="en-US"/>
              </w:rPr>
            </w:pPr>
            <w:r w:rsidRPr="00EB7452">
              <w:rPr>
                <w:rFonts w:ascii="Arial" w:hAnsi="Arial" w:cs="Arial"/>
                <w:sz w:val="18"/>
                <w:szCs w:val="18"/>
              </w:rPr>
              <w:t>C=42% / T=58%</w:t>
            </w:r>
          </w:p>
          <w:p w14:paraId="3135B578"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sz w:val="18"/>
                <w:szCs w:val="18"/>
              </w:rPr>
            </w:pPr>
          </w:p>
        </w:tc>
        <w:tc>
          <w:tcPr>
            <w:tcW w:w="1721" w:type="dxa"/>
            <w:noWrap/>
            <w:hideMark/>
          </w:tcPr>
          <w:p w14:paraId="747F972E" w14:textId="77777777" w:rsidR="00FC1A41" w:rsidRPr="00EB7452" w:rsidRDefault="00FC1A41" w:rsidP="00FC1A4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B7452">
              <w:rPr>
                <w:rFonts w:ascii="Arial" w:hAnsi="Arial" w:cs="Arial"/>
                <w:color w:val="000000" w:themeColor="text1"/>
                <w:sz w:val="18"/>
                <w:szCs w:val="18"/>
              </w:rPr>
              <w:t>C=40% / T=60%</w:t>
            </w:r>
          </w:p>
        </w:tc>
      </w:tr>
    </w:tbl>
    <w:p w14:paraId="77B734D3" w14:textId="4A727CC9" w:rsidR="00025210" w:rsidRDefault="00025210" w:rsidP="00247A6F">
      <w:pPr>
        <w:rPr>
          <w:sz w:val="20"/>
          <w:szCs w:val="20"/>
        </w:rPr>
      </w:pPr>
    </w:p>
    <w:p w14:paraId="5F72E94C" w14:textId="77777777" w:rsidR="00FC1A41" w:rsidRDefault="00FC1A41" w:rsidP="00FC1A41">
      <w:pPr>
        <w:spacing w:before="30" w:line="360" w:lineRule="auto"/>
        <w:rPr>
          <w:sz w:val="22"/>
          <w:szCs w:val="22"/>
        </w:rPr>
      </w:pPr>
      <w:r w:rsidRPr="00D959CE">
        <w:rPr>
          <w:sz w:val="22"/>
          <w:szCs w:val="22"/>
        </w:rPr>
        <w:t xml:space="preserve">Fonte: </w:t>
      </w:r>
      <w:r>
        <w:rPr>
          <w:sz w:val="22"/>
          <w:szCs w:val="22"/>
        </w:rPr>
        <w:t>Dados da pesquisa.</w:t>
      </w:r>
    </w:p>
    <w:p w14:paraId="4203834A" w14:textId="77777777" w:rsidR="007662B7" w:rsidRPr="00247A6F" w:rsidRDefault="007662B7" w:rsidP="00247A6F"/>
    <w:p w14:paraId="13B00A34" w14:textId="754CF6E7" w:rsidR="00025210" w:rsidRDefault="00025210" w:rsidP="00E92E4B">
      <w:pPr>
        <w:jc w:val="both"/>
        <w:rPr>
          <w:b/>
          <w:bCs/>
        </w:rPr>
      </w:pPr>
    </w:p>
    <w:p w14:paraId="24A902DE" w14:textId="2E25FD89" w:rsidR="00421A62" w:rsidRDefault="00421A62" w:rsidP="00E92E4B">
      <w:pPr>
        <w:jc w:val="both"/>
        <w:rPr>
          <w:b/>
          <w:bCs/>
        </w:rPr>
      </w:pPr>
    </w:p>
    <w:p w14:paraId="2F714296" w14:textId="0CF7ED64" w:rsidR="00860A18" w:rsidRDefault="00A176D6" w:rsidP="00A37AE3">
      <w:pPr>
        <w:jc w:val="both"/>
        <w:rPr>
          <w:b/>
          <w:bCs/>
          <w:sz w:val="20"/>
          <w:szCs w:val="20"/>
        </w:rPr>
      </w:pPr>
      <w:r w:rsidRPr="00FC1A41">
        <w:rPr>
          <w:b/>
          <w:bCs/>
          <w:sz w:val="22"/>
          <w:szCs w:val="22"/>
        </w:rPr>
        <w:lastRenderedPageBreak/>
        <w:t>T</w:t>
      </w:r>
      <w:r w:rsidR="00F85264" w:rsidRPr="00FC1A41">
        <w:rPr>
          <w:b/>
          <w:bCs/>
          <w:sz w:val="22"/>
          <w:szCs w:val="22"/>
        </w:rPr>
        <w:t>abela</w:t>
      </w:r>
      <w:r w:rsidRPr="00FC1A41">
        <w:rPr>
          <w:b/>
          <w:bCs/>
          <w:sz w:val="22"/>
          <w:szCs w:val="22"/>
        </w:rPr>
        <w:t xml:space="preserve"> </w:t>
      </w:r>
      <w:r w:rsidR="00FC1A41">
        <w:rPr>
          <w:b/>
          <w:bCs/>
          <w:sz w:val="22"/>
          <w:szCs w:val="22"/>
        </w:rPr>
        <w:t>6:</w:t>
      </w:r>
      <w:r w:rsidRPr="00F85264">
        <w:rPr>
          <w:sz w:val="22"/>
          <w:szCs w:val="22"/>
        </w:rPr>
        <w:t xml:space="preserve">  </w:t>
      </w:r>
      <w:r w:rsidR="00A37AE3">
        <w:rPr>
          <w:sz w:val="22"/>
          <w:szCs w:val="22"/>
        </w:rPr>
        <w:t>Frequência alélica da</w:t>
      </w:r>
      <w:r w:rsidR="00A37AE3" w:rsidRPr="00F85264">
        <w:rPr>
          <w:sz w:val="22"/>
          <w:szCs w:val="22"/>
        </w:rPr>
        <w:t>s</w:t>
      </w:r>
      <w:r w:rsidR="00A37AE3">
        <w:rPr>
          <w:sz w:val="22"/>
          <w:szCs w:val="22"/>
        </w:rPr>
        <w:t xml:space="preserve"> populações </w:t>
      </w:r>
      <w:r w:rsidR="00C512F1">
        <w:rPr>
          <w:sz w:val="22"/>
          <w:szCs w:val="22"/>
        </w:rPr>
        <w:t>g</w:t>
      </w:r>
      <w:r w:rsidR="00A37AE3">
        <w:rPr>
          <w:sz w:val="22"/>
          <w:szCs w:val="22"/>
        </w:rPr>
        <w:t>lobal, europeia, africana e brasileira</w:t>
      </w:r>
      <w:r w:rsidR="00A37AE3" w:rsidRPr="00F85264" w:rsidDel="00A37AE3">
        <w:rPr>
          <w:sz w:val="22"/>
          <w:szCs w:val="22"/>
        </w:rPr>
        <w:t xml:space="preserve"> </w:t>
      </w:r>
    </w:p>
    <w:tbl>
      <w:tblPr>
        <w:tblStyle w:val="SimplesTabela2"/>
        <w:tblpPr w:leftFromText="141" w:rightFromText="141" w:vertAnchor="page" w:horzAnchor="margin" w:tblpY="3092"/>
        <w:tblW w:w="8080" w:type="dxa"/>
        <w:tblLook w:val="04A0" w:firstRow="1" w:lastRow="0" w:firstColumn="1" w:lastColumn="0" w:noHBand="0" w:noVBand="1"/>
      </w:tblPr>
      <w:tblGrid>
        <w:gridCol w:w="1756"/>
        <w:gridCol w:w="1168"/>
        <w:gridCol w:w="2605"/>
        <w:gridCol w:w="2551"/>
      </w:tblGrid>
      <w:tr w:rsidR="00FC1A41" w:rsidRPr="00D24A1B" w14:paraId="21CF619E" w14:textId="77777777" w:rsidTr="00FC1A41">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56" w:type="dxa"/>
            <w:noWrap/>
            <w:hideMark/>
          </w:tcPr>
          <w:p w14:paraId="27AB397D" w14:textId="77777777" w:rsidR="00FC1A41" w:rsidRPr="009F6EBA" w:rsidRDefault="00FC1A41" w:rsidP="00FC1A41">
            <w:pPr>
              <w:rPr>
                <w:rFonts w:ascii="Arial" w:hAnsi="Arial" w:cs="Arial"/>
                <w:color w:val="000000"/>
                <w:sz w:val="20"/>
                <w:szCs w:val="20"/>
              </w:rPr>
            </w:pPr>
            <w:r w:rsidRPr="009F6EBA">
              <w:rPr>
                <w:rFonts w:ascii="Arial" w:hAnsi="Arial" w:cs="Arial"/>
                <w:color w:val="000000"/>
                <w:sz w:val="20"/>
                <w:szCs w:val="20"/>
              </w:rPr>
              <w:t>SNP</w:t>
            </w:r>
          </w:p>
        </w:tc>
        <w:tc>
          <w:tcPr>
            <w:tcW w:w="1168" w:type="dxa"/>
            <w:noWrap/>
            <w:hideMark/>
          </w:tcPr>
          <w:p w14:paraId="6EC94574" w14:textId="77777777" w:rsidR="00FC1A41" w:rsidRPr="009F6EBA" w:rsidRDefault="00FC1A41" w:rsidP="00FC1A4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Gene</w:t>
            </w:r>
          </w:p>
        </w:tc>
        <w:tc>
          <w:tcPr>
            <w:tcW w:w="2605" w:type="dxa"/>
            <w:noWrap/>
            <w:hideMark/>
          </w:tcPr>
          <w:p w14:paraId="3A7A5333" w14:textId="77777777" w:rsidR="00FC1A41" w:rsidRPr="009F6EBA" w:rsidRDefault="00FC1A41" w:rsidP="00FC1A4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 xml:space="preserve">Frequência Alélica </w:t>
            </w:r>
          </w:p>
        </w:tc>
        <w:tc>
          <w:tcPr>
            <w:tcW w:w="2551" w:type="dxa"/>
            <w:noWrap/>
            <w:hideMark/>
          </w:tcPr>
          <w:p w14:paraId="01D6A046" w14:textId="77777777" w:rsidR="00FC1A41" w:rsidRPr="009F6EBA" w:rsidRDefault="00FC1A41" w:rsidP="00FC1A4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HWE</w:t>
            </w:r>
            <w:r w:rsidRPr="009F6EBA">
              <w:rPr>
                <w:rFonts w:ascii="Arial" w:hAnsi="Arial" w:cs="Arial"/>
                <w:color w:val="000000"/>
                <w:sz w:val="20"/>
                <w:szCs w:val="20"/>
                <w:vertAlign w:val="superscript"/>
              </w:rPr>
              <w:t>1</w:t>
            </w:r>
          </w:p>
        </w:tc>
      </w:tr>
      <w:tr w:rsidR="00FC1A41" w:rsidRPr="00D24A1B" w14:paraId="54FCB22C" w14:textId="77777777" w:rsidTr="00FC1A4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56" w:type="dxa"/>
            <w:noWrap/>
            <w:hideMark/>
          </w:tcPr>
          <w:p w14:paraId="2BE0A91E" w14:textId="77777777" w:rsidR="00FC1A41" w:rsidRPr="009F6EBA" w:rsidRDefault="00FC1A41" w:rsidP="00FC1A41">
            <w:pPr>
              <w:rPr>
                <w:rFonts w:ascii="Arial" w:hAnsi="Arial" w:cs="Arial"/>
                <w:color w:val="000000"/>
                <w:sz w:val="20"/>
                <w:szCs w:val="20"/>
              </w:rPr>
            </w:pPr>
            <w:r w:rsidRPr="009F6EBA">
              <w:rPr>
                <w:rFonts w:ascii="Arial" w:hAnsi="Arial" w:cs="Arial"/>
                <w:color w:val="000000"/>
                <w:sz w:val="20"/>
                <w:szCs w:val="20"/>
              </w:rPr>
              <w:t>rs12885300</w:t>
            </w:r>
          </w:p>
        </w:tc>
        <w:tc>
          <w:tcPr>
            <w:tcW w:w="1168" w:type="dxa"/>
            <w:noWrap/>
            <w:hideMark/>
          </w:tcPr>
          <w:p w14:paraId="64C4AFA6"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DIO2</w:t>
            </w:r>
          </w:p>
        </w:tc>
        <w:tc>
          <w:tcPr>
            <w:tcW w:w="2605" w:type="dxa"/>
            <w:noWrap/>
          </w:tcPr>
          <w:p w14:paraId="689365A5"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EBA">
              <w:rPr>
                <w:rFonts w:ascii="Arial" w:hAnsi="Arial" w:cs="Arial"/>
                <w:sz w:val="20"/>
                <w:szCs w:val="20"/>
              </w:rPr>
              <w:t>C=0,82 / T=0,18 (n=36)</w:t>
            </w:r>
          </w:p>
        </w:tc>
        <w:tc>
          <w:tcPr>
            <w:tcW w:w="2551" w:type="dxa"/>
            <w:noWrap/>
          </w:tcPr>
          <w:p w14:paraId="79AF4BD2"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EBA">
              <w:rPr>
                <w:rFonts w:ascii="Arial" w:hAnsi="Arial" w:cs="Arial"/>
                <w:sz w:val="20"/>
                <w:szCs w:val="20"/>
              </w:rPr>
              <w:t>p= 0,71 (Sim)</w:t>
            </w:r>
          </w:p>
        </w:tc>
      </w:tr>
      <w:tr w:rsidR="00FC1A41" w:rsidRPr="00D24A1B" w14:paraId="1FE981F3" w14:textId="77777777" w:rsidTr="00FC1A41">
        <w:trPr>
          <w:trHeight w:val="251"/>
        </w:trPr>
        <w:tc>
          <w:tcPr>
            <w:cnfStyle w:val="001000000000" w:firstRow="0" w:lastRow="0" w:firstColumn="1" w:lastColumn="0" w:oddVBand="0" w:evenVBand="0" w:oddHBand="0" w:evenHBand="0" w:firstRowFirstColumn="0" w:firstRowLastColumn="0" w:lastRowFirstColumn="0" w:lastRowLastColumn="0"/>
            <w:tcW w:w="1756" w:type="dxa"/>
            <w:noWrap/>
            <w:hideMark/>
          </w:tcPr>
          <w:p w14:paraId="7D4C17A0" w14:textId="77777777" w:rsidR="00FC1A41" w:rsidRPr="009F6EBA" w:rsidRDefault="00FC1A41" w:rsidP="00FC1A41">
            <w:pPr>
              <w:rPr>
                <w:rFonts w:ascii="Arial" w:hAnsi="Arial" w:cs="Arial"/>
                <w:color w:val="000000"/>
                <w:sz w:val="20"/>
                <w:szCs w:val="20"/>
              </w:rPr>
            </w:pPr>
            <w:r w:rsidRPr="009F6EBA">
              <w:rPr>
                <w:rFonts w:ascii="Arial" w:hAnsi="Arial" w:cs="Arial"/>
                <w:color w:val="000000"/>
                <w:sz w:val="20"/>
                <w:szCs w:val="20"/>
              </w:rPr>
              <w:t>rs225014</w:t>
            </w:r>
          </w:p>
        </w:tc>
        <w:tc>
          <w:tcPr>
            <w:tcW w:w="1168" w:type="dxa"/>
            <w:noWrap/>
            <w:hideMark/>
          </w:tcPr>
          <w:p w14:paraId="6B334690" w14:textId="77777777" w:rsidR="00FC1A41" w:rsidRPr="009F6EBA" w:rsidRDefault="00FC1A41"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DIO2</w:t>
            </w:r>
          </w:p>
        </w:tc>
        <w:tc>
          <w:tcPr>
            <w:tcW w:w="2605" w:type="dxa"/>
            <w:noWrap/>
            <w:hideMark/>
          </w:tcPr>
          <w:p w14:paraId="292702D1" w14:textId="77777777" w:rsidR="00FC1A41" w:rsidRPr="009F6EBA" w:rsidRDefault="00FC1A41"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9F6EBA">
              <w:rPr>
                <w:rFonts w:ascii="Arial" w:hAnsi="Arial" w:cs="Arial"/>
                <w:sz w:val="20"/>
                <w:szCs w:val="20"/>
              </w:rPr>
              <w:t>T=0,59 / C=0,41 (n=41)</w:t>
            </w:r>
          </w:p>
        </w:tc>
        <w:tc>
          <w:tcPr>
            <w:tcW w:w="2551" w:type="dxa"/>
            <w:noWrap/>
            <w:hideMark/>
          </w:tcPr>
          <w:p w14:paraId="58A3D32E" w14:textId="77777777" w:rsidR="00FC1A41" w:rsidRPr="009F6EBA" w:rsidRDefault="00FC1A41"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rPr>
            </w:pPr>
            <w:r w:rsidRPr="009F6EBA">
              <w:rPr>
                <w:rFonts w:ascii="Arial" w:hAnsi="Arial" w:cs="Arial"/>
                <w:color w:val="000000"/>
                <w:sz w:val="20"/>
                <w:szCs w:val="20"/>
              </w:rPr>
              <w:t>p=0,32 (Sim)</w:t>
            </w:r>
          </w:p>
        </w:tc>
      </w:tr>
      <w:tr w:rsidR="00FC1A41" w:rsidRPr="00D24A1B" w14:paraId="51407207" w14:textId="77777777" w:rsidTr="00FC1A4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56" w:type="dxa"/>
            <w:noWrap/>
            <w:hideMark/>
          </w:tcPr>
          <w:p w14:paraId="5C2B12E1" w14:textId="77777777" w:rsidR="00FC1A41" w:rsidRPr="009F6EBA" w:rsidRDefault="00FC1A41" w:rsidP="00FC1A41">
            <w:pPr>
              <w:rPr>
                <w:rFonts w:ascii="Arial" w:hAnsi="Arial" w:cs="Arial"/>
                <w:color w:val="000000"/>
                <w:sz w:val="20"/>
                <w:szCs w:val="20"/>
              </w:rPr>
            </w:pPr>
            <w:r w:rsidRPr="009F6EBA">
              <w:rPr>
                <w:rFonts w:ascii="Arial" w:hAnsi="Arial" w:cs="Arial"/>
                <w:color w:val="000000"/>
                <w:sz w:val="20"/>
                <w:szCs w:val="20"/>
              </w:rPr>
              <w:t>rs978055</w:t>
            </w:r>
          </w:p>
        </w:tc>
        <w:tc>
          <w:tcPr>
            <w:tcW w:w="1168" w:type="dxa"/>
            <w:noWrap/>
            <w:hideMark/>
          </w:tcPr>
          <w:p w14:paraId="7B802624"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DIO2</w:t>
            </w:r>
          </w:p>
        </w:tc>
        <w:tc>
          <w:tcPr>
            <w:tcW w:w="2605" w:type="dxa"/>
            <w:noWrap/>
            <w:hideMark/>
          </w:tcPr>
          <w:p w14:paraId="7E441C33"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EBA">
              <w:rPr>
                <w:rFonts w:ascii="Arial" w:hAnsi="Arial" w:cs="Arial"/>
                <w:sz w:val="20"/>
                <w:szCs w:val="20"/>
              </w:rPr>
              <w:t>T=0,55 / A=0,45 (n=57)</w:t>
            </w:r>
          </w:p>
        </w:tc>
        <w:tc>
          <w:tcPr>
            <w:tcW w:w="2551" w:type="dxa"/>
            <w:noWrap/>
            <w:hideMark/>
          </w:tcPr>
          <w:p w14:paraId="15FACABD"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p= 0,10 (Sim)</w:t>
            </w:r>
          </w:p>
        </w:tc>
      </w:tr>
      <w:tr w:rsidR="00FC1A41" w:rsidRPr="00D24A1B" w14:paraId="61FA910E" w14:textId="77777777" w:rsidTr="00FC1A41">
        <w:trPr>
          <w:trHeight w:val="251"/>
        </w:trPr>
        <w:tc>
          <w:tcPr>
            <w:cnfStyle w:val="001000000000" w:firstRow="0" w:lastRow="0" w:firstColumn="1" w:lastColumn="0" w:oddVBand="0" w:evenVBand="0" w:oddHBand="0" w:evenHBand="0" w:firstRowFirstColumn="0" w:firstRowLastColumn="0" w:lastRowFirstColumn="0" w:lastRowLastColumn="0"/>
            <w:tcW w:w="1756" w:type="dxa"/>
            <w:noWrap/>
            <w:hideMark/>
          </w:tcPr>
          <w:p w14:paraId="30634751" w14:textId="77777777" w:rsidR="00FC1A41" w:rsidRPr="009F6EBA" w:rsidRDefault="00FC1A41" w:rsidP="00FC1A41">
            <w:pPr>
              <w:rPr>
                <w:rFonts w:ascii="Arial" w:hAnsi="Arial" w:cs="Arial"/>
                <w:color w:val="000000"/>
                <w:sz w:val="20"/>
                <w:szCs w:val="20"/>
              </w:rPr>
            </w:pPr>
            <w:r w:rsidRPr="009F6EBA">
              <w:rPr>
                <w:rFonts w:ascii="Arial" w:hAnsi="Arial" w:cs="Arial"/>
                <w:color w:val="000000"/>
                <w:sz w:val="20"/>
                <w:szCs w:val="20"/>
              </w:rPr>
              <w:t>rs2235544</w:t>
            </w:r>
          </w:p>
        </w:tc>
        <w:tc>
          <w:tcPr>
            <w:tcW w:w="1168" w:type="dxa"/>
            <w:noWrap/>
            <w:hideMark/>
          </w:tcPr>
          <w:p w14:paraId="6BB3C0EB" w14:textId="77777777" w:rsidR="00FC1A41" w:rsidRPr="009F6EBA" w:rsidRDefault="00FC1A41"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DIO1</w:t>
            </w:r>
          </w:p>
        </w:tc>
        <w:tc>
          <w:tcPr>
            <w:tcW w:w="2605" w:type="dxa"/>
            <w:noWrap/>
            <w:hideMark/>
          </w:tcPr>
          <w:p w14:paraId="69FCF70C" w14:textId="77777777" w:rsidR="00FC1A41" w:rsidRPr="009F6EBA" w:rsidRDefault="00FC1A41"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EBA">
              <w:rPr>
                <w:rFonts w:ascii="Arial" w:hAnsi="Arial" w:cs="Arial"/>
                <w:sz w:val="20"/>
                <w:szCs w:val="20"/>
              </w:rPr>
              <w:t>C=0,62/ A=0,38 (n=63)</w:t>
            </w:r>
          </w:p>
        </w:tc>
        <w:tc>
          <w:tcPr>
            <w:tcW w:w="2551" w:type="dxa"/>
            <w:noWrap/>
            <w:hideMark/>
          </w:tcPr>
          <w:p w14:paraId="289E74FB" w14:textId="77777777" w:rsidR="00FC1A41" w:rsidRPr="009F6EBA" w:rsidRDefault="00FC1A41"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EBA">
              <w:rPr>
                <w:rFonts w:ascii="Arial" w:hAnsi="Arial" w:cs="Arial"/>
                <w:sz w:val="20"/>
                <w:szCs w:val="20"/>
              </w:rPr>
              <w:t>p=0,47 (Sim)</w:t>
            </w:r>
          </w:p>
        </w:tc>
      </w:tr>
      <w:tr w:rsidR="00FC1A41" w:rsidRPr="00D24A1B" w14:paraId="63291F00" w14:textId="77777777" w:rsidTr="00FC1A4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56" w:type="dxa"/>
            <w:noWrap/>
            <w:hideMark/>
          </w:tcPr>
          <w:p w14:paraId="649BB80D" w14:textId="77777777" w:rsidR="00FC1A41" w:rsidRPr="009F6EBA" w:rsidRDefault="00FC1A41" w:rsidP="00FC1A41">
            <w:pPr>
              <w:rPr>
                <w:rFonts w:ascii="Arial" w:hAnsi="Arial" w:cs="Arial"/>
                <w:color w:val="000000"/>
                <w:sz w:val="20"/>
                <w:szCs w:val="20"/>
              </w:rPr>
            </w:pPr>
            <w:r w:rsidRPr="009F6EBA">
              <w:rPr>
                <w:rFonts w:ascii="Arial" w:hAnsi="Arial" w:cs="Arial"/>
                <w:color w:val="000000"/>
                <w:sz w:val="20"/>
                <w:szCs w:val="20"/>
              </w:rPr>
              <w:t>rs9356988</w:t>
            </w:r>
          </w:p>
        </w:tc>
        <w:tc>
          <w:tcPr>
            <w:tcW w:w="1168" w:type="dxa"/>
            <w:noWrap/>
            <w:hideMark/>
          </w:tcPr>
          <w:p w14:paraId="44F0AF20"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SLC17A4</w:t>
            </w:r>
          </w:p>
        </w:tc>
        <w:tc>
          <w:tcPr>
            <w:tcW w:w="2605" w:type="dxa"/>
            <w:noWrap/>
            <w:hideMark/>
          </w:tcPr>
          <w:p w14:paraId="607B47BF"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EBA">
              <w:rPr>
                <w:rFonts w:ascii="Arial" w:hAnsi="Arial" w:cs="Arial"/>
                <w:sz w:val="20"/>
                <w:szCs w:val="20"/>
              </w:rPr>
              <w:t>G=0,67 / A=033 (n=64)</w:t>
            </w:r>
          </w:p>
        </w:tc>
        <w:tc>
          <w:tcPr>
            <w:tcW w:w="2551" w:type="dxa"/>
            <w:noWrap/>
            <w:hideMark/>
          </w:tcPr>
          <w:p w14:paraId="747C6484"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p=0,36 (Sim)</w:t>
            </w:r>
          </w:p>
        </w:tc>
      </w:tr>
      <w:tr w:rsidR="00FC1A41" w:rsidRPr="00D24A1B" w14:paraId="6C172BD9" w14:textId="77777777" w:rsidTr="00FC1A41">
        <w:trPr>
          <w:trHeight w:val="251"/>
        </w:trPr>
        <w:tc>
          <w:tcPr>
            <w:cnfStyle w:val="001000000000" w:firstRow="0" w:lastRow="0" w:firstColumn="1" w:lastColumn="0" w:oddVBand="0" w:evenVBand="0" w:oddHBand="0" w:evenHBand="0" w:firstRowFirstColumn="0" w:firstRowLastColumn="0" w:lastRowFirstColumn="0" w:lastRowLastColumn="0"/>
            <w:tcW w:w="1756" w:type="dxa"/>
            <w:noWrap/>
            <w:hideMark/>
          </w:tcPr>
          <w:p w14:paraId="3B97375D" w14:textId="77777777" w:rsidR="00FC1A41" w:rsidRPr="009F6EBA" w:rsidRDefault="00FC1A41" w:rsidP="00FC1A41">
            <w:pPr>
              <w:rPr>
                <w:rFonts w:ascii="Arial" w:hAnsi="Arial" w:cs="Arial"/>
                <w:color w:val="000000"/>
                <w:sz w:val="20"/>
                <w:szCs w:val="20"/>
              </w:rPr>
            </w:pPr>
            <w:r w:rsidRPr="009F6EBA">
              <w:rPr>
                <w:rFonts w:ascii="Arial" w:hAnsi="Arial" w:cs="Arial"/>
                <w:color w:val="000000"/>
                <w:sz w:val="20"/>
                <w:szCs w:val="20"/>
              </w:rPr>
              <w:t>rs753760</w:t>
            </w:r>
          </w:p>
        </w:tc>
        <w:tc>
          <w:tcPr>
            <w:tcW w:w="1168" w:type="dxa"/>
            <w:noWrap/>
            <w:hideMark/>
          </w:tcPr>
          <w:p w14:paraId="3333C7FF" w14:textId="77777777" w:rsidR="00FC1A41" w:rsidRPr="009F6EBA" w:rsidRDefault="00FC1A41"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PDE10A</w:t>
            </w:r>
          </w:p>
        </w:tc>
        <w:tc>
          <w:tcPr>
            <w:tcW w:w="2605" w:type="dxa"/>
            <w:noWrap/>
            <w:hideMark/>
          </w:tcPr>
          <w:p w14:paraId="648C59FA" w14:textId="77777777" w:rsidR="00FC1A41" w:rsidRPr="009F6EBA" w:rsidRDefault="00FC1A41"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EBA">
              <w:rPr>
                <w:rFonts w:ascii="Arial" w:hAnsi="Arial" w:cs="Arial"/>
                <w:sz w:val="20"/>
                <w:szCs w:val="20"/>
              </w:rPr>
              <w:t>C=0,61 / G=0,39 (n=64)</w:t>
            </w:r>
          </w:p>
        </w:tc>
        <w:tc>
          <w:tcPr>
            <w:tcW w:w="2551" w:type="dxa"/>
            <w:noWrap/>
            <w:hideMark/>
          </w:tcPr>
          <w:p w14:paraId="7764AB93" w14:textId="77777777" w:rsidR="00FC1A41" w:rsidRPr="009F6EBA" w:rsidRDefault="00FC1A41"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F6EBA">
              <w:rPr>
                <w:rFonts w:ascii="Arial" w:hAnsi="Arial" w:cs="Arial"/>
                <w:sz w:val="20"/>
                <w:szCs w:val="20"/>
              </w:rPr>
              <w:t>p=0,51 (Sim)</w:t>
            </w:r>
          </w:p>
        </w:tc>
      </w:tr>
      <w:tr w:rsidR="00FC1A41" w:rsidRPr="00D24A1B" w14:paraId="5D61F999" w14:textId="77777777" w:rsidTr="00FC1A4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56" w:type="dxa"/>
            <w:noWrap/>
            <w:hideMark/>
          </w:tcPr>
          <w:p w14:paraId="4FFA1100" w14:textId="77777777" w:rsidR="00FC1A41" w:rsidRPr="009F6EBA" w:rsidRDefault="00FC1A41" w:rsidP="00FC1A41">
            <w:pPr>
              <w:rPr>
                <w:rFonts w:ascii="Arial" w:hAnsi="Arial" w:cs="Arial"/>
                <w:color w:val="000000"/>
                <w:sz w:val="20"/>
                <w:szCs w:val="20"/>
              </w:rPr>
            </w:pPr>
            <w:r w:rsidRPr="009F6EBA">
              <w:rPr>
                <w:rFonts w:ascii="Arial" w:hAnsi="Arial" w:cs="Arial"/>
                <w:color w:val="000000"/>
                <w:sz w:val="20"/>
                <w:szCs w:val="20"/>
              </w:rPr>
              <w:t>rs1571583</w:t>
            </w:r>
          </w:p>
        </w:tc>
        <w:tc>
          <w:tcPr>
            <w:tcW w:w="1168" w:type="dxa"/>
            <w:noWrap/>
            <w:hideMark/>
          </w:tcPr>
          <w:p w14:paraId="476B1FDD"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GLIS3</w:t>
            </w:r>
          </w:p>
        </w:tc>
        <w:tc>
          <w:tcPr>
            <w:tcW w:w="2605" w:type="dxa"/>
            <w:noWrap/>
            <w:hideMark/>
          </w:tcPr>
          <w:p w14:paraId="73B24C94"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F6EBA">
              <w:rPr>
                <w:rFonts w:ascii="Arial" w:hAnsi="Arial" w:cs="Arial"/>
                <w:color w:val="000000" w:themeColor="text1"/>
                <w:sz w:val="20"/>
                <w:szCs w:val="20"/>
              </w:rPr>
              <w:t>A=0,24 / G=0,76 (n=64)</w:t>
            </w:r>
          </w:p>
        </w:tc>
        <w:tc>
          <w:tcPr>
            <w:tcW w:w="2551" w:type="dxa"/>
            <w:noWrap/>
            <w:hideMark/>
          </w:tcPr>
          <w:p w14:paraId="1A30CE2B"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p=0,61 (Sim)</w:t>
            </w:r>
          </w:p>
        </w:tc>
      </w:tr>
      <w:tr w:rsidR="00B6048A" w:rsidRPr="00D24A1B" w14:paraId="453A904A" w14:textId="77777777" w:rsidTr="00FC1A41">
        <w:trPr>
          <w:trHeight w:val="251"/>
        </w:trPr>
        <w:tc>
          <w:tcPr>
            <w:cnfStyle w:val="001000000000" w:firstRow="0" w:lastRow="0" w:firstColumn="1" w:lastColumn="0" w:oddVBand="0" w:evenVBand="0" w:oddHBand="0" w:evenHBand="0" w:firstRowFirstColumn="0" w:firstRowLastColumn="0" w:lastRowFirstColumn="0" w:lastRowLastColumn="0"/>
            <w:tcW w:w="1756" w:type="dxa"/>
            <w:noWrap/>
          </w:tcPr>
          <w:p w14:paraId="7729366B" w14:textId="77777777" w:rsidR="00B6048A" w:rsidRPr="009F6EBA" w:rsidRDefault="00B6048A" w:rsidP="00FC1A41">
            <w:pPr>
              <w:rPr>
                <w:rFonts w:ascii="Arial" w:hAnsi="Arial" w:cs="Arial"/>
                <w:color w:val="000000"/>
                <w:sz w:val="20"/>
                <w:szCs w:val="20"/>
              </w:rPr>
            </w:pPr>
          </w:p>
        </w:tc>
        <w:tc>
          <w:tcPr>
            <w:tcW w:w="1168" w:type="dxa"/>
            <w:noWrap/>
          </w:tcPr>
          <w:p w14:paraId="03199AB7" w14:textId="77777777" w:rsidR="00B6048A" w:rsidRPr="009F6EBA" w:rsidRDefault="00B6048A"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2605" w:type="dxa"/>
            <w:noWrap/>
          </w:tcPr>
          <w:p w14:paraId="08510B11" w14:textId="77777777" w:rsidR="00B6048A" w:rsidRPr="009F6EBA" w:rsidRDefault="00B6048A"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551" w:type="dxa"/>
            <w:noWrap/>
          </w:tcPr>
          <w:p w14:paraId="28224194" w14:textId="77777777" w:rsidR="00B6048A" w:rsidRPr="009F6EBA" w:rsidRDefault="00B6048A" w:rsidP="00FC1A4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FC1A41" w:rsidRPr="00D24A1B" w14:paraId="21788D06" w14:textId="77777777" w:rsidTr="00FC1A4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56" w:type="dxa"/>
            <w:noWrap/>
            <w:hideMark/>
          </w:tcPr>
          <w:p w14:paraId="12B14258" w14:textId="77777777" w:rsidR="00FC1A41" w:rsidRPr="009F6EBA" w:rsidRDefault="00FC1A41" w:rsidP="00FC1A41">
            <w:pPr>
              <w:rPr>
                <w:rFonts w:ascii="Arial" w:hAnsi="Arial" w:cs="Arial"/>
                <w:color w:val="000000"/>
                <w:sz w:val="20"/>
                <w:szCs w:val="20"/>
              </w:rPr>
            </w:pPr>
            <w:r w:rsidRPr="009F6EBA">
              <w:rPr>
                <w:rFonts w:ascii="Arial" w:hAnsi="Arial" w:cs="Arial"/>
                <w:color w:val="000000"/>
                <w:sz w:val="20"/>
                <w:szCs w:val="20"/>
              </w:rPr>
              <w:t>rs7045138</w:t>
            </w:r>
          </w:p>
        </w:tc>
        <w:tc>
          <w:tcPr>
            <w:tcW w:w="1168" w:type="dxa"/>
            <w:noWrap/>
            <w:hideMark/>
          </w:tcPr>
          <w:p w14:paraId="354AE2B1"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9F6EBA">
              <w:rPr>
                <w:rFonts w:ascii="Arial" w:hAnsi="Arial" w:cs="Arial"/>
                <w:color w:val="000000"/>
                <w:sz w:val="20"/>
                <w:szCs w:val="20"/>
              </w:rPr>
              <w:t>PTCSC2</w:t>
            </w:r>
          </w:p>
        </w:tc>
        <w:tc>
          <w:tcPr>
            <w:tcW w:w="2605" w:type="dxa"/>
            <w:noWrap/>
            <w:hideMark/>
          </w:tcPr>
          <w:p w14:paraId="14E76709"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9F6EBA">
              <w:rPr>
                <w:rFonts w:ascii="Arial" w:hAnsi="Arial" w:cs="Arial"/>
                <w:color w:val="000000" w:themeColor="text1"/>
                <w:sz w:val="20"/>
                <w:szCs w:val="20"/>
              </w:rPr>
              <w:t>C=0,40 / T=0,60 (n=63)</w:t>
            </w:r>
          </w:p>
        </w:tc>
        <w:tc>
          <w:tcPr>
            <w:tcW w:w="2551" w:type="dxa"/>
            <w:noWrap/>
            <w:hideMark/>
          </w:tcPr>
          <w:p w14:paraId="0C6889BB" w14:textId="77777777" w:rsidR="00FC1A41" w:rsidRPr="009F6EBA" w:rsidRDefault="00FC1A41" w:rsidP="00FC1A4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F6EBA">
              <w:rPr>
                <w:rFonts w:ascii="Arial" w:hAnsi="Arial" w:cs="Arial"/>
                <w:sz w:val="20"/>
                <w:szCs w:val="20"/>
              </w:rPr>
              <w:t>p= 0,82 (Sim)</w:t>
            </w:r>
          </w:p>
        </w:tc>
      </w:tr>
    </w:tbl>
    <w:p w14:paraId="40651559" w14:textId="00F0DAFE" w:rsidR="00FC1A41" w:rsidRDefault="00FC1A41" w:rsidP="00EB7452">
      <w:pPr>
        <w:spacing w:before="30" w:line="360" w:lineRule="auto"/>
        <w:jc w:val="both"/>
        <w:rPr>
          <w:b/>
          <w:bCs/>
          <w:sz w:val="20"/>
          <w:szCs w:val="20"/>
        </w:rPr>
      </w:pPr>
    </w:p>
    <w:p w14:paraId="330DE5B7" w14:textId="36A2BFEF" w:rsidR="00FC1A41" w:rsidRDefault="00FC1A41" w:rsidP="00EB7452">
      <w:pPr>
        <w:spacing w:before="30" w:line="360" w:lineRule="auto"/>
        <w:jc w:val="both"/>
        <w:rPr>
          <w:b/>
          <w:bCs/>
          <w:sz w:val="20"/>
          <w:szCs w:val="20"/>
        </w:rPr>
      </w:pPr>
    </w:p>
    <w:p w14:paraId="6B993B20" w14:textId="77777777" w:rsidR="00FC1A41" w:rsidRDefault="00FC1A41" w:rsidP="00FC1A41">
      <w:pPr>
        <w:spacing w:before="30" w:line="360" w:lineRule="auto"/>
        <w:rPr>
          <w:b/>
          <w:bCs/>
          <w:sz w:val="20"/>
          <w:szCs w:val="20"/>
        </w:rPr>
      </w:pPr>
    </w:p>
    <w:p w14:paraId="3912C9D4" w14:textId="77777777" w:rsidR="0014348A" w:rsidRDefault="0014348A" w:rsidP="00FC1A41">
      <w:pPr>
        <w:spacing w:before="30" w:line="360" w:lineRule="auto"/>
        <w:rPr>
          <w:sz w:val="22"/>
          <w:szCs w:val="22"/>
        </w:rPr>
      </w:pPr>
    </w:p>
    <w:p w14:paraId="20D5A701" w14:textId="77777777" w:rsidR="0014348A" w:rsidRDefault="0014348A" w:rsidP="00FC1A41">
      <w:pPr>
        <w:spacing w:before="30" w:line="360" w:lineRule="auto"/>
        <w:rPr>
          <w:sz w:val="22"/>
          <w:szCs w:val="22"/>
        </w:rPr>
      </w:pPr>
    </w:p>
    <w:p w14:paraId="263F8525" w14:textId="77777777" w:rsidR="00A37AE3" w:rsidRDefault="00A37AE3" w:rsidP="00FC1A41">
      <w:pPr>
        <w:spacing w:before="30" w:line="360" w:lineRule="auto"/>
        <w:rPr>
          <w:bCs/>
          <w:sz w:val="22"/>
          <w:szCs w:val="22"/>
        </w:rPr>
      </w:pPr>
    </w:p>
    <w:p w14:paraId="6DE3AEB6" w14:textId="77777777" w:rsidR="00A37AE3" w:rsidRDefault="00A37AE3" w:rsidP="00A37AE3">
      <w:pPr>
        <w:rPr>
          <w:bCs/>
          <w:sz w:val="22"/>
          <w:szCs w:val="22"/>
        </w:rPr>
      </w:pPr>
    </w:p>
    <w:p w14:paraId="42B638F0" w14:textId="77777777" w:rsidR="005A5C70" w:rsidRDefault="005A5C70" w:rsidP="00A37AE3">
      <w:pPr>
        <w:rPr>
          <w:bCs/>
          <w:sz w:val="22"/>
          <w:szCs w:val="22"/>
        </w:rPr>
      </w:pPr>
    </w:p>
    <w:p w14:paraId="63B33610" w14:textId="77777777" w:rsidR="005A5C70" w:rsidRDefault="005A5C70" w:rsidP="00A37AE3">
      <w:pPr>
        <w:rPr>
          <w:bCs/>
          <w:sz w:val="22"/>
          <w:szCs w:val="22"/>
        </w:rPr>
      </w:pPr>
    </w:p>
    <w:p w14:paraId="6D2DECB6" w14:textId="77777777" w:rsidR="005A5C70" w:rsidRDefault="005A5C70" w:rsidP="00A37AE3">
      <w:pPr>
        <w:rPr>
          <w:bCs/>
          <w:sz w:val="22"/>
          <w:szCs w:val="22"/>
        </w:rPr>
      </w:pPr>
    </w:p>
    <w:p w14:paraId="15DEE759" w14:textId="77777777" w:rsidR="005A5C70" w:rsidRDefault="005A5C70" w:rsidP="00A37AE3">
      <w:pPr>
        <w:rPr>
          <w:bCs/>
          <w:sz w:val="22"/>
          <w:szCs w:val="22"/>
        </w:rPr>
      </w:pPr>
    </w:p>
    <w:p w14:paraId="235E0418" w14:textId="77777777" w:rsidR="005A5C70" w:rsidRDefault="005A5C70" w:rsidP="00A37AE3">
      <w:pPr>
        <w:rPr>
          <w:bCs/>
          <w:sz w:val="22"/>
          <w:szCs w:val="22"/>
        </w:rPr>
      </w:pPr>
    </w:p>
    <w:p w14:paraId="68CFE07D" w14:textId="77777777" w:rsidR="005A5C70" w:rsidRDefault="005A5C70" w:rsidP="00A37AE3">
      <w:pPr>
        <w:rPr>
          <w:bCs/>
          <w:sz w:val="22"/>
          <w:szCs w:val="22"/>
        </w:rPr>
      </w:pPr>
    </w:p>
    <w:p w14:paraId="61577F65" w14:textId="288D530D" w:rsidR="00A176D6" w:rsidRPr="00F85264" w:rsidRDefault="0014348A" w:rsidP="00A37AE3">
      <w:pPr>
        <w:rPr>
          <w:rFonts w:ascii="Arial" w:hAnsi="Arial" w:cs="Arial"/>
          <w:color w:val="000000"/>
          <w:sz w:val="22"/>
          <w:szCs w:val="22"/>
        </w:rPr>
      </w:pPr>
      <w:r w:rsidRPr="00A322DB">
        <w:rPr>
          <w:bCs/>
          <w:sz w:val="22"/>
          <w:szCs w:val="22"/>
        </w:rPr>
        <w:t>Fonte:</w:t>
      </w:r>
      <w:r w:rsidRPr="00F85264">
        <w:rPr>
          <w:b/>
          <w:bCs/>
          <w:sz w:val="22"/>
          <w:szCs w:val="22"/>
        </w:rPr>
        <w:t xml:space="preserve"> </w:t>
      </w:r>
      <w:proofErr w:type="spellStart"/>
      <w:r w:rsidRPr="00F85264">
        <w:rPr>
          <w:sz w:val="22"/>
          <w:szCs w:val="22"/>
        </w:rPr>
        <w:t>Ensembl</w:t>
      </w:r>
      <w:proofErr w:type="spellEnd"/>
      <w:r>
        <w:rPr>
          <w:sz w:val="22"/>
          <w:szCs w:val="22"/>
        </w:rPr>
        <w:t xml:space="preserve"> </w:t>
      </w:r>
      <w:r w:rsidR="00A176D6" w:rsidRPr="00F85264">
        <w:rPr>
          <w:sz w:val="22"/>
          <w:szCs w:val="22"/>
        </w:rPr>
        <w:t xml:space="preserve">e </w:t>
      </w:r>
      <w:proofErr w:type="spellStart"/>
      <w:r w:rsidR="00A176D6" w:rsidRPr="00A322DB">
        <w:rPr>
          <w:i/>
          <w:sz w:val="22"/>
          <w:szCs w:val="22"/>
        </w:rPr>
        <w:t>Brazilian</w:t>
      </w:r>
      <w:proofErr w:type="spellEnd"/>
      <w:r w:rsidR="00A176D6" w:rsidRPr="00A322DB">
        <w:rPr>
          <w:i/>
          <w:sz w:val="22"/>
          <w:szCs w:val="22"/>
        </w:rPr>
        <w:t xml:space="preserve"> </w:t>
      </w:r>
      <w:proofErr w:type="spellStart"/>
      <w:r w:rsidR="00A176D6" w:rsidRPr="00A322DB">
        <w:rPr>
          <w:i/>
          <w:sz w:val="22"/>
          <w:szCs w:val="22"/>
        </w:rPr>
        <w:t>genomic</w:t>
      </w:r>
      <w:proofErr w:type="spellEnd"/>
      <w:r w:rsidR="00A176D6" w:rsidRPr="00A322DB">
        <w:rPr>
          <w:i/>
          <w:sz w:val="22"/>
          <w:szCs w:val="22"/>
        </w:rPr>
        <w:t xml:space="preserve"> </w:t>
      </w:r>
      <w:proofErr w:type="spellStart"/>
      <w:r w:rsidR="00A176D6" w:rsidRPr="00A322DB">
        <w:rPr>
          <w:i/>
          <w:sz w:val="22"/>
          <w:szCs w:val="22"/>
        </w:rPr>
        <w:t>variants</w:t>
      </w:r>
      <w:proofErr w:type="spellEnd"/>
      <w:r w:rsidR="00A52687" w:rsidRPr="00F85264">
        <w:rPr>
          <w:sz w:val="22"/>
          <w:szCs w:val="22"/>
        </w:rPr>
        <w:t xml:space="preserve"> (</w:t>
      </w:r>
      <w:proofErr w:type="spellStart"/>
      <w:r w:rsidR="00A52687" w:rsidRPr="00F85264">
        <w:rPr>
          <w:rFonts w:ascii="Arial" w:hAnsi="Arial" w:cs="Arial"/>
          <w:color w:val="000000"/>
          <w:sz w:val="22"/>
          <w:szCs w:val="22"/>
        </w:rPr>
        <w:t>ABraOM</w:t>
      </w:r>
      <w:proofErr w:type="spellEnd"/>
      <w:r w:rsidR="00A52687" w:rsidRPr="00F85264">
        <w:rPr>
          <w:rFonts w:ascii="Arial" w:hAnsi="Arial" w:cs="Arial"/>
          <w:color w:val="000000"/>
          <w:sz w:val="22"/>
          <w:szCs w:val="22"/>
        </w:rPr>
        <w:t>)</w:t>
      </w:r>
    </w:p>
    <w:p w14:paraId="745D8239" w14:textId="7A1B22CC" w:rsidR="009F6EBA" w:rsidRDefault="009F6EBA" w:rsidP="00EB7452">
      <w:pPr>
        <w:spacing w:before="30" w:line="360" w:lineRule="auto"/>
        <w:jc w:val="center"/>
        <w:rPr>
          <w:rFonts w:ascii="Arial" w:hAnsi="Arial" w:cs="Arial"/>
          <w:color w:val="000000"/>
          <w:sz w:val="16"/>
          <w:szCs w:val="16"/>
        </w:rPr>
      </w:pPr>
    </w:p>
    <w:p w14:paraId="72EC804F" w14:textId="77777777" w:rsidR="00A37AE3" w:rsidRDefault="00A37AE3" w:rsidP="00EB7452">
      <w:pPr>
        <w:spacing w:before="30" w:line="360" w:lineRule="auto"/>
        <w:jc w:val="center"/>
        <w:rPr>
          <w:rFonts w:ascii="Arial" w:hAnsi="Arial" w:cs="Arial"/>
          <w:color w:val="000000"/>
          <w:sz w:val="16"/>
          <w:szCs w:val="16"/>
        </w:rPr>
      </w:pPr>
    </w:p>
    <w:p w14:paraId="078AC877" w14:textId="5C82C50E" w:rsidR="000B358B" w:rsidRDefault="00E37412" w:rsidP="00AB4954">
      <w:pPr>
        <w:pStyle w:val="chapter-para"/>
        <w:numPr>
          <w:ilvl w:val="1"/>
          <w:numId w:val="43"/>
        </w:numPr>
        <w:shd w:val="clear" w:color="auto" w:fill="FFFFFF"/>
        <w:spacing w:before="0" w:beforeAutospacing="0" w:after="0" w:afterAutospacing="0"/>
        <w:ind w:left="357" w:hanging="357"/>
        <w:jc w:val="both"/>
        <w:textAlignment w:val="baseline"/>
        <w:rPr>
          <w:color w:val="000000" w:themeColor="text1"/>
        </w:rPr>
      </w:pPr>
      <w:r>
        <w:rPr>
          <w:color w:val="000000" w:themeColor="text1"/>
        </w:rPr>
        <w:t>A</w:t>
      </w:r>
      <w:r w:rsidR="000B358B">
        <w:rPr>
          <w:color w:val="000000" w:themeColor="text1"/>
        </w:rPr>
        <w:t>NÁLISE DA FREQUÊNCIA GENOTÍPICA E DA ASSOCIAÇÃO ENTRE OS POLIMORFISMOS GENÉTICOS E FUNÇÃO TIREOIDIANA</w:t>
      </w:r>
    </w:p>
    <w:p w14:paraId="3353BD2A" w14:textId="678F8BFF" w:rsidR="00AB4954" w:rsidRDefault="00AB4954" w:rsidP="00AB4954">
      <w:pPr>
        <w:pStyle w:val="chapter-para"/>
        <w:shd w:val="clear" w:color="auto" w:fill="FFFFFF"/>
        <w:spacing w:before="0" w:beforeAutospacing="0" w:after="0" w:afterAutospacing="0" w:line="360" w:lineRule="auto"/>
        <w:ind w:left="357"/>
        <w:jc w:val="both"/>
        <w:textAlignment w:val="baseline"/>
        <w:rPr>
          <w:color w:val="000000" w:themeColor="text1"/>
        </w:rPr>
      </w:pPr>
    </w:p>
    <w:p w14:paraId="457E6B6A" w14:textId="6BBCC957" w:rsidR="000B358B" w:rsidRDefault="00AB4954" w:rsidP="00AB4954">
      <w:pPr>
        <w:pStyle w:val="chapter-para"/>
        <w:shd w:val="clear" w:color="auto" w:fill="FFFFFF"/>
        <w:spacing w:before="0" w:beforeAutospacing="0" w:after="0" w:afterAutospacing="0" w:line="360" w:lineRule="auto"/>
        <w:ind w:firstLine="357"/>
        <w:jc w:val="both"/>
        <w:textAlignment w:val="baseline"/>
        <w:rPr>
          <w:color w:val="000000" w:themeColor="text1"/>
        </w:rPr>
      </w:pPr>
      <w:r>
        <w:rPr>
          <w:color w:val="000000" w:themeColor="text1"/>
        </w:rPr>
        <w:t xml:space="preserve">Agruparam-se </w:t>
      </w:r>
      <w:r w:rsidR="00282854">
        <w:rPr>
          <w:color w:val="000000" w:themeColor="text1"/>
        </w:rPr>
        <w:t>os alelos polimórficos em homozigose e em heterozigose e comparam</w:t>
      </w:r>
      <w:r>
        <w:rPr>
          <w:color w:val="000000" w:themeColor="text1"/>
        </w:rPr>
        <w:t>-se</w:t>
      </w:r>
      <w:r w:rsidR="00282854">
        <w:rPr>
          <w:color w:val="000000" w:themeColor="text1"/>
        </w:rPr>
        <w:t xml:space="preserve"> com os alelos selvagens em homozigose</w:t>
      </w:r>
      <w:r w:rsidR="00E37412">
        <w:rPr>
          <w:color w:val="000000" w:themeColor="text1"/>
        </w:rPr>
        <w:t>.</w:t>
      </w:r>
      <w:r w:rsidR="00282854">
        <w:rPr>
          <w:color w:val="000000" w:themeColor="text1"/>
        </w:rPr>
        <w:t xml:space="preserve"> </w:t>
      </w:r>
      <w:r>
        <w:rPr>
          <w:color w:val="000000" w:themeColor="text1"/>
        </w:rPr>
        <w:t>C</w:t>
      </w:r>
      <w:r w:rsidR="00CA4AD9">
        <w:rPr>
          <w:color w:val="000000" w:themeColor="text1"/>
        </w:rPr>
        <w:t>alcu</w:t>
      </w:r>
      <w:r>
        <w:rPr>
          <w:color w:val="000000" w:themeColor="text1"/>
        </w:rPr>
        <w:t>laram-se</w:t>
      </w:r>
      <w:r w:rsidR="00CC1566">
        <w:rPr>
          <w:color w:val="000000" w:themeColor="text1"/>
        </w:rPr>
        <w:t xml:space="preserve"> </w:t>
      </w:r>
      <w:r w:rsidR="005072F2">
        <w:rPr>
          <w:color w:val="000000" w:themeColor="text1"/>
        </w:rPr>
        <w:t xml:space="preserve">as </w:t>
      </w:r>
      <w:r w:rsidR="00CC1566">
        <w:rPr>
          <w:color w:val="000000" w:themeColor="text1"/>
        </w:rPr>
        <w:t>frequência</w:t>
      </w:r>
      <w:r w:rsidR="005072F2">
        <w:rPr>
          <w:color w:val="000000" w:themeColor="text1"/>
        </w:rPr>
        <w:t>s</w:t>
      </w:r>
      <w:r w:rsidR="00CC1566">
        <w:rPr>
          <w:color w:val="000000" w:themeColor="text1"/>
        </w:rPr>
        <w:t xml:space="preserve"> genotípica</w:t>
      </w:r>
      <w:r w:rsidR="005072F2">
        <w:rPr>
          <w:color w:val="000000" w:themeColor="text1"/>
        </w:rPr>
        <w:t>s de</w:t>
      </w:r>
      <w:r w:rsidR="0044590E">
        <w:rPr>
          <w:color w:val="000000" w:themeColor="text1"/>
        </w:rPr>
        <w:t>s</w:t>
      </w:r>
      <w:r>
        <w:rPr>
          <w:color w:val="000000" w:themeColor="text1"/>
        </w:rPr>
        <w:t>s</w:t>
      </w:r>
      <w:r w:rsidR="0044590E">
        <w:rPr>
          <w:color w:val="000000" w:themeColor="text1"/>
        </w:rPr>
        <w:t>es</w:t>
      </w:r>
      <w:r w:rsidR="005072F2">
        <w:rPr>
          <w:color w:val="000000" w:themeColor="text1"/>
        </w:rPr>
        <w:t xml:space="preserve"> 2 grupos</w:t>
      </w:r>
      <w:r w:rsidR="00282854">
        <w:rPr>
          <w:color w:val="000000" w:themeColor="text1"/>
        </w:rPr>
        <w:t xml:space="preserve"> formados. Para análise das associações entre os </w:t>
      </w:r>
      <w:r w:rsidR="0044590E">
        <w:rPr>
          <w:color w:val="000000" w:themeColor="text1"/>
        </w:rPr>
        <w:t>genótipos</w:t>
      </w:r>
      <w:r w:rsidR="00282854">
        <w:rPr>
          <w:color w:val="000000" w:themeColor="text1"/>
        </w:rPr>
        <w:t xml:space="preserve"> e função tireoidiana</w:t>
      </w:r>
      <w:r>
        <w:rPr>
          <w:color w:val="000000" w:themeColor="text1"/>
        </w:rPr>
        <w:t>,</w:t>
      </w:r>
      <w:r w:rsidR="00282854">
        <w:rPr>
          <w:color w:val="000000" w:themeColor="text1"/>
        </w:rPr>
        <w:t xml:space="preserve"> </w:t>
      </w:r>
      <w:r>
        <w:rPr>
          <w:color w:val="000000" w:themeColor="text1"/>
        </w:rPr>
        <w:t>utilizou-se</w:t>
      </w:r>
      <w:r w:rsidR="00282854">
        <w:rPr>
          <w:color w:val="000000" w:themeColor="text1"/>
        </w:rPr>
        <w:t xml:space="preserve"> o modelo genético dominante.</w:t>
      </w:r>
    </w:p>
    <w:p w14:paraId="77573AD7" w14:textId="6288FAA7" w:rsidR="000B358B" w:rsidRDefault="000B358B" w:rsidP="000B358B">
      <w:pPr>
        <w:pStyle w:val="chapter-para"/>
        <w:shd w:val="clear" w:color="auto" w:fill="FFFFFF"/>
        <w:spacing w:before="0" w:after="0" w:line="360" w:lineRule="auto"/>
        <w:jc w:val="both"/>
        <w:textAlignment w:val="baseline"/>
      </w:pPr>
      <w:r>
        <w:rPr>
          <w:color w:val="000000" w:themeColor="text1"/>
        </w:rPr>
        <w:t xml:space="preserve">     </w:t>
      </w:r>
      <w:r w:rsidR="00282854">
        <w:rPr>
          <w:color w:val="000000" w:themeColor="text1"/>
        </w:rPr>
        <w:t>A seguir, descrevem</w:t>
      </w:r>
      <w:r w:rsidR="00B16887">
        <w:rPr>
          <w:color w:val="000000" w:themeColor="text1"/>
        </w:rPr>
        <w:t>-se</w:t>
      </w:r>
      <w:r w:rsidR="00282854">
        <w:rPr>
          <w:color w:val="000000" w:themeColor="text1"/>
        </w:rPr>
        <w:t xml:space="preserve"> os resultados</w:t>
      </w:r>
      <w:r w:rsidR="00E37412">
        <w:rPr>
          <w:color w:val="000000" w:themeColor="text1"/>
        </w:rPr>
        <w:t xml:space="preserve"> do estudo</w:t>
      </w:r>
      <w:r w:rsidR="00282854">
        <w:rPr>
          <w:color w:val="000000" w:themeColor="text1"/>
        </w:rPr>
        <w:t xml:space="preserve"> das associações encontradas entre cada</w:t>
      </w:r>
      <w:r w:rsidR="00E37412">
        <w:rPr>
          <w:color w:val="000000" w:themeColor="text1"/>
        </w:rPr>
        <w:t xml:space="preserve"> gene e seus</w:t>
      </w:r>
      <w:r w:rsidR="00282854">
        <w:rPr>
          <w:color w:val="000000" w:themeColor="text1"/>
        </w:rPr>
        <w:t xml:space="preserve"> polimorfismos</w:t>
      </w:r>
      <w:r w:rsidR="00B16887">
        <w:rPr>
          <w:color w:val="000000" w:themeColor="text1"/>
        </w:rPr>
        <w:t>,</w:t>
      </w:r>
      <w:r w:rsidR="00282854">
        <w:rPr>
          <w:color w:val="000000" w:themeColor="text1"/>
        </w:rPr>
        <w:t xml:space="preserve"> estudados </w:t>
      </w:r>
      <w:r w:rsidR="00E37412">
        <w:rPr>
          <w:color w:val="000000" w:themeColor="text1"/>
        </w:rPr>
        <w:t>com os</w:t>
      </w:r>
      <w:r w:rsidR="00282854">
        <w:rPr>
          <w:color w:val="000000" w:themeColor="text1"/>
        </w:rPr>
        <w:t xml:space="preserve"> níveis séricos de TSH, T4l e T3l</w:t>
      </w:r>
      <w:r w:rsidR="00E37412">
        <w:rPr>
          <w:color w:val="000000" w:themeColor="text1"/>
        </w:rPr>
        <w:t xml:space="preserve"> na população </w:t>
      </w:r>
      <w:r w:rsidR="00B16887">
        <w:rPr>
          <w:color w:val="000000" w:themeColor="text1"/>
        </w:rPr>
        <w:t xml:space="preserve">avaliada, constituída </w:t>
      </w:r>
      <w:r w:rsidR="00E37412">
        <w:rPr>
          <w:color w:val="000000" w:themeColor="text1"/>
        </w:rPr>
        <w:t xml:space="preserve">de mulheres idosas eutireoidianas. </w:t>
      </w:r>
      <w:r w:rsidR="00D6797E">
        <w:t>Utiliza</w:t>
      </w:r>
      <w:r w:rsidR="00B16887">
        <w:t>ra</w:t>
      </w:r>
      <w:r w:rsidR="00D6797E">
        <w:t>m</w:t>
      </w:r>
      <w:r w:rsidR="00B16887">
        <w:t>-se</w:t>
      </w:r>
      <w:r w:rsidR="00D6797E">
        <w:t xml:space="preserve"> os termos selvagem para o alelo de maior frequência e polimórfico para o alelo de menor frequência. </w:t>
      </w:r>
    </w:p>
    <w:p w14:paraId="71CE3BAD" w14:textId="0FD45DA0" w:rsidR="000B358B" w:rsidRPr="00D4452B" w:rsidRDefault="00445F50" w:rsidP="00215564">
      <w:pPr>
        <w:pStyle w:val="chapter-para"/>
        <w:shd w:val="clear" w:color="auto" w:fill="FFFFFF"/>
        <w:spacing w:before="0" w:beforeAutospacing="0" w:after="0" w:afterAutospacing="0" w:line="360" w:lineRule="auto"/>
        <w:jc w:val="both"/>
        <w:textAlignment w:val="baseline"/>
        <w:rPr>
          <w:b/>
          <w:bCs/>
          <w:i/>
          <w:iCs/>
          <w:u w:val="single"/>
        </w:rPr>
      </w:pPr>
      <w:r w:rsidRPr="00D4452B">
        <w:rPr>
          <w:b/>
          <w:bCs/>
          <w:u w:val="single"/>
        </w:rPr>
        <w:t>Gene</w:t>
      </w:r>
      <w:r w:rsidRPr="00D4452B">
        <w:rPr>
          <w:b/>
          <w:bCs/>
          <w:i/>
          <w:iCs/>
          <w:u w:val="single"/>
        </w:rPr>
        <w:t xml:space="preserve"> </w:t>
      </w:r>
      <w:r w:rsidR="007614E7" w:rsidRPr="00D4452B">
        <w:rPr>
          <w:b/>
          <w:bCs/>
          <w:i/>
          <w:iCs/>
          <w:u w:val="single"/>
        </w:rPr>
        <w:t>DIO2</w:t>
      </w:r>
    </w:p>
    <w:p w14:paraId="41BEF209" w14:textId="77777777" w:rsidR="00215564" w:rsidRDefault="00D6797E" w:rsidP="00215564">
      <w:pPr>
        <w:spacing w:line="360" w:lineRule="auto"/>
        <w:rPr>
          <w:i/>
          <w:iCs/>
        </w:rPr>
      </w:pPr>
      <w:r>
        <w:rPr>
          <w:i/>
          <w:iCs/>
        </w:rPr>
        <w:t xml:space="preserve">     </w:t>
      </w:r>
    </w:p>
    <w:p w14:paraId="3AC10DB8" w14:textId="55582400" w:rsidR="00D6797E" w:rsidRDefault="00125D33" w:rsidP="00215564">
      <w:pPr>
        <w:spacing w:line="360" w:lineRule="auto"/>
        <w:ind w:firstLine="663"/>
      </w:pPr>
      <w:r w:rsidRPr="001A2280">
        <w:t xml:space="preserve">Para o gene </w:t>
      </w:r>
      <w:r w:rsidRPr="00A322DB">
        <w:rPr>
          <w:i/>
        </w:rPr>
        <w:t>DIO2</w:t>
      </w:r>
      <w:r w:rsidRPr="001A2280">
        <w:t xml:space="preserve">, foram </w:t>
      </w:r>
      <w:proofErr w:type="spellStart"/>
      <w:r w:rsidR="00E37412">
        <w:t>estudados</w:t>
      </w:r>
      <w:r w:rsidR="00B16887">
        <w:t>três</w:t>
      </w:r>
      <w:proofErr w:type="spellEnd"/>
      <w:r w:rsidR="001A2280">
        <w:t xml:space="preserve"> polimorfismos</w:t>
      </w:r>
      <w:r w:rsidR="00066A86">
        <w:t xml:space="preserve"> genéticos</w:t>
      </w:r>
      <w:r w:rsidR="001A2280">
        <w:t>:</w:t>
      </w:r>
    </w:p>
    <w:p w14:paraId="57FCB552" w14:textId="1DC370DD" w:rsidR="00D822F3" w:rsidRPr="00D4452B" w:rsidRDefault="001A2280" w:rsidP="000B358B">
      <w:pPr>
        <w:pStyle w:val="PargrafodaLista"/>
        <w:numPr>
          <w:ilvl w:val="0"/>
          <w:numId w:val="35"/>
        </w:numPr>
        <w:spacing w:before="30" w:line="360" w:lineRule="auto"/>
        <w:jc w:val="both"/>
        <w:rPr>
          <w:b/>
          <w:bCs/>
        </w:rPr>
      </w:pPr>
      <w:r w:rsidRPr="00D4452B">
        <w:rPr>
          <w:b/>
          <w:bCs/>
        </w:rPr>
        <w:t>rs12885300 (ORFaG</w:t>
      </w:r>
      <w:r w:rsidR="00C10A8C" w:rsidRPr="00D4452B">
        <w:rPr>
          <w:b/>
          <w:bCs/>
        </w:rPr>
        <w:t>ly</w:t>
      </w:r>
      <w:r w:rsidRPr="00D4452B">
        <w:rPr>
          <w:b/>
          <w:bCs/>
        </w:rPr>
        <w:t>3Asp)</w:t>
      </w:r>
    </w:p>
    <w:p w14:paraId="0FC78E49" w14:textId="31DE8BAF" w:rsidR="001A2280" w:rsidRDefault="00D822F3" w:rsidP="001A2280">
      <w:pPr>
        <w:spacing w:before="30" w:line="360" w:lineRule="auto"/>
        <w:jc w:val="both"/>
      </w:pPr>
      <w:r>
        <w:t xml:space="preserve">     Fizeram genotipagem deste polimorfismo 36 participantes do estudo. O </w:t>
      </w:r>
      <w:r w:rsidR="00D6797E">
        <w:t xml:space="preserve">alelo selvagem é </w:t>
      </w:r>
      <w:r w:rsidR="001A2280">
        <w:t>C e</w:t>
      </w:r>
      <w:r w:rsidR="00D6797E">
        <w:t xml:space="preserve"> </w:t>
      </w:r>
      <w:r>
        <w:t xml:space="preserve">o </w:t>
      </w:r>
      <w:r w:rsidR="00D6797E">
        <w:t xml:space="preserve">polimórfico, </w:t>
      </w:r>
      <w:r w:rsidR="001A2280">
        <w:t>T</w:t>
      </w:r>
      <w:r w:rsidR="00E828FC">
        <w:t xml:space="preserve">; </w:t>
      </w:r>
      <w:r w:rsidR="001A2280">
        <w:t>25</w:t>
      </w:r>
      <w:r w:rsidR="00D6797E">
        <w:t xml:space="preserve"> (69,44%) </w:t>
      </w:r>
      <w:r w:rsidR="00A87068">
        <w:t xml:space="preserve">participantes </w:t>
      </w:r>
      <w:r w:rsidR="001A2280">
        <w:t>apresenta</w:t>
      </w:r>
      <w:r w:rsidR="008255EE">
        <w:t>vam</w:t>
      </w:r>
      <w:r w:rsidR="001A2280">
        <w:t xml:space="preserve"> genótipo C/C</w:t>
      </w:r>
      <w:r w:rsidR="00D6797E">
        <w:t>,</w:t>
      </w:r>
      <w:r w:rsidR="001A2280">
        <w:t xml:space="preserve"> </w:t>
      </w:r>
      <w:r w:rsidR="00A87068">
        <w:t xml:space="preserve">enquanto que </w:t>
      </w:r>
      <w:r w:rsidR="001A2280">
        <w:t>11</w:t>
      </w:r>
      <w:r w:rsidR="00596687">
        <w:t xml:space="preserve"> (30,56%)</w:t>
      </w:r>
      <w:r w:rsidR="001A2280">
        <w:t xml:space="preserve"> apresenta</w:t>
      </w:r>
      <w:r w:rsidR="008255EE">
        <w:t>vam</w:t>
      </w:r>
      <w:r w:rsidR="001A2280">
        <w:t xml:space="preserve"> genótipo C/T ou T/T</w:t>
      </w:r>
      <w:r>
        <w:t>.</w:t>
      </w:r>
    </w:p>
    <w:p w14:paraId="6044DA6A" w14:textId="6E21EE3F" w:rsidR="003C2476" w:rsidRDefault="001A2280" w:rsidP="001A2280">
      <w:pPr>
        <w:spacing w:before="30" w:line="360" w:lineRule="auto"/>
        <w:jc w:val="both"/>
      </w:pPr>
      <w:r>
        <w:t xml:space="preserve">     </w:t>
      </w:r>
      <w:r w:rsidR="00D822F3">
        <w:t>Associação do SNP com função tireoidiana: a</w:t>
      </w:r>
      <w:r>
        <w:t>s m</w:t>
      </w:r>
      <w:r w:rsidR="00284C83">
        <w:t>edianas</w:t>
      </w:r>
      <w:r w:rsidR="00A87068">
        <w:t xml:space="preserve"> </w:t>
      </w:r>
      <w:r>
        <w:t>do TSH, T3l e T4l para o alelo selvagem em homozigose</w:t>
      </w:r>
      <w:r w:rsidR="00A761A8">
        <w:t xml:space="preserve"> (C/C)</w:t>
      </w:r>
      <w:r>
        <w:t xml:space="preserve"> foram</w:t>
      </w:r>
      <w:r w:rsidR="008255EE">
        <w:t xml:space="preserve"> </w:t>
      </w:r>
      <w:r>
        <w:t>1,89mU/L</w:t>
      </w:r>
      <w:r w:rsidR="00284C83">
        <w:t xml:space="preserve"> (</w:t>
      </w:r>
      <w:r w:rsidR="00A87068">
        <w:t>IIQ=</w:t>
      </w:r>
      <w:r w:rsidR="00284C83">
        <w:t xml:space="preserve">1,17-2,42), </w:t>
      </w:r>
      <w:r>
        <w:t xml:space="preserve">2,85pg/dL </w:t>
      </w:r>
      <w:r w:rsidR="00284C83">
        <w:t>(</w:t>
      </w:r>
      <w:r w:rsidR="00A87068">
        <w:t>IIQ=</w:t>
      </w:r>
      <w:r w:rsidR="00284C83">
        <w:t xml:space="preserve">2,69-2,98) </w:t>
      </w:r>
      <w:r>
        <w:lastRenderedPageBreak/>
        <w:t>e 1.15ng/mL</w:t>
      </w:r>
      <w:r w:rsidR="00284C83">
        <w:t xml:space="preserve"> (</w:t>
      </w:r>
      <w:r w:rsidR="00A87068">
        <w:t>IIQ=</w:t>
      </w:r>
      <w:r w:rsidR="00284C83">
        <w:t>1,11-1,21)</w:t>
      </w:r>
      <w:r w:rsidR="008255EE">
        <w:t xml:space="preserve">. Enquanto que, para o alelo polimórfico em homozigose ou heterozigose </w:t>
      </w:r>
      <w:r w:rsidR="00A761A8">
        <w:t>(C/T + T/T)</w:t>
      </w:r>
      <w:r w:rsidR="005F69A0">
        <w:t>,</w:t>
      </w:r>
      <w:r w:rsidR="008255EE">
        <w:t xml:space="preserve"> foram</w:t>
      </w:r>
      <w:r>
        <w:t xml:space="preserve"> 2,82mU/L</w:t>
      </w:r>
      <w:r w:rsidR="00284C83">
        <w:t xml:space="preserve"> (</w:t>
      </w:r>
      <w:r w:rsidR="00A87068">
        <w:t>IIQ=</w:t>
      </w:r>
      <w:r w:rsidR="00284C83">
        <w:t>2,0-4,2)</w:t>
      </w:r>
      <w:r>
        <w:t>, 2.83pg/dL</w:t>
      </w:r>
      <w:r w:rsidR="00284C83">
        <w:t xml:space="preserve"> (</w:t>
      </w:r>
      <w:r w:rsidR="00A87068">
        <w:t>IIQ=</w:t>
      </w:r>
      <w:r w:rsidR="00284C83">
        <w:t xml:space="preserve">2,64-3,17) </w:t>
      </w:r>
      <w:r>
        <w:t>e 1.16</w:t>
      </w:r>
      <w:r w:rsidRPr="00125D33">
        <w:t xml:space="preserve"> </w:t>
      </w:r>
      <w:r>
        <w:t>ng/mL</w:t>
      </w:r>
      <w:r w:rsidR="00284C83">
        <w:t xml:space="preserve"> (</w:t>
      </w:r>
      <w:r w:rsidR="00A87068">
        <w:t>IIQ=</w:t>
      </w:r>
      <w:r w:rsidR="00284C83">
        <w:t>1,06-1,24)</w:t>
      </w:r>
      <w:r w:rsidR="008255EE">
        <w:t xml:space="preserve"> (TSH, T3l e T4l, respectivamente). </w:t>
      </w:r>
      <w:r>
        <w:t>Encontr</w:t>
      </w:r>
      <w:r w:rsidR="00B16887">
        <w:t>ou-se</w:t>
      </w:r>
      <w:r>
        <w:t xml:space="preserve"> diferença</w:t>
      </w:r>
      <w:r w:rsidR="00596687">
        <w:t xml:space="preserve"> </w:t>
      </w:r>
      <w:r>
        <w:t xml:space="preserve">com significância estatística </w:t>
      </w:r>
      <w:r w:rsidR="008255EE">
        <w:t>n</w:t>
      </w:r>
      <w:r w:rsidR="00596687">
        <w:t>os níveis séricos de TSH</w:t>
      </w:r>
      <w:r w:rsidR="00B16887">
        <w:t>,</w:t>
      </w:r>
      <w:r w:rsidR="00596687">
        <w:t xml:space="preserve"> entre </w:t>
      </w:r>
      <w:r>
        <w:t xml:space="preserve">os alelos selvagem </w:t>
      </w:r>
      <w:r w:rsidR="00596687">
        <w:t xml:space="preserve">(C/C) </w:t>
      </w:r>
      <w:r w:rsidR="00B16887">
        <w:rPr>
          <w:i/>
        </w:rPr>
        <w:t>versus</w:t>
      </w:r>
      <w:r w:rsidR="00596687">
        <w:t xml:space="preserve"> </w:t>
      </w:r>
      <w:r>
        <w:t>polimórfico</w:t>
      </w:r>
      <w:r w:rsidR="00596687">
        <w:t xml:space="preserve"> (C/T + T/T)</w:t>
      </w:r>
      <w:r w:rsidR="00914EEC">
        <w:t xml:space="preserve"> (</w:t>
      </w:r>
      <w:r w:rsidR="00284C83">
        <w:t>p = 0,03</w:t>
      </w:r>
      <w:r w:rsidR="00914EEC">
        <w:t>)</w:t>
      </w:r>
      <w:r w:rsidR="00A4602D">
        <w:t>.</w:t>
      </w:r>
      <w:r w:rsidR="00957E5D">
        <w:t xml:space="preserve"> </w:t>
      </w:r>
      <w:r w:rsidR="00596687">
        <w:t>Estes d</w:t>
      </w:r>
      <w:r w:rsidR="00957E5D">
        <w:t xml:space="preserve">ados estão </w:t>
      </w:r>
      <w:r w:rsidR="00596687">
        <w:t xml:space="preserve">representados </w:t>
      </w:r>
      <w:r w:rsidR="00957E5D">
        <w:t xml:space="preserve">no </w:t>
      </w:r>
      <w:r w:rsidR="00B16887">
        <w:t>G</w:t>
      </w:r>
      <w:r w:rsidR="00957E5D">
        <w:t>ráfico 1.</w:t>
      </w:r>
    </w:p>
    <w:p w14:paraId="28AACED2" w14:textId="77777777" w:rsidR="00D316C1" w:rsidRDefault="00D316C1" w:rsidP="001A2280">
      <w:pPr>
        <w:spacing w:before="30" w:line="360" w:lineRule="auto"/>
        <w:jc w:val="both"/>
      </w:pPr>
    </w:p>
    <w:p w14:paraId="4B652B94" w14:textId="0938FA4D" w:rsidR="001A2280" w:rsidRPr="00F85264" w:rsidRDefault="00A4602D" w:rsidP="00F85264">
      <w:pPr>
        <w:ind w:left="1134" w:hanging="1134"/>
        <w:jc w:val="both"/>
        <w:rPr>
          <w:sz w:val="22"/>
          <w:szCs w:val="22"/>
        </w:rPr>
      </w:pPr>
      <w:r w:rsidRPr="00F85264">
        <w:rPr>
          <w:b/>
          <w:bCs/>
          <w:sz w:val="22"/>
          <w:szCs w:val="22"/>
        </w:rPr>
        <w:t>Gráfico 1:</w:t>
      </w:r>
      <w:r w:rsidRPr="00F85264">
        <w:rPr>
          <w:sz w:val="22"/>
          <w:szCs w:val="22"/>
        </w:rPr>
        <w:t xml:space="preserve"> </w:t>
      </w:r>
      <w:r w:rsidR="00E828FC" w:rsidRPr="00F85264">
        <w:rPr>
          <w:sz w:val="22"/>
          <w:szCs w:val="22"/>
        </w:rPr>
        <w:t xml:space="preserve">Análise da associação entre a função tireoidiana e genotipagem para o polimorfismo rs12885300 do gene </w:t>
      </w:r>
      <w:r w:rsidR="00E828FC" w:rsidRPr="00A322DB">
        <w:rPr>
          <w:i/>
          <w:sz w:val="22"/>
          <w:szCs w:val="22"/>
        </w:rPr>
        <w:t>DIO2</w:t>
      </w:r>
      <w:r w:rsidR="00E828FC" w:rsidRPr="00F85264">
        <w:rPr>
          <w:sz w:val="22"/>
          <w:szCs w:val="22"/>
        </w:rPr>
        <w:t>. Comparação entre indivíduos portadores de alelos selvagem (C/C) e polimórfico (C/T + T/T).</w:t>
      </w:r>
    </w:p>
    <w:tbl>
      <w:tblPr>
        <w:tblStyle w:val="TabeladeGrade4-nfase1"/>
        <w:tblpPr w:leftFromText="141" w:rightFromText="141" w:vertAnchor="text" w:horzAnchor="page" w:tblpX="8511" w:tblpY="2568"/>
        <w:tblW w:w="0" w:type="auto"/>
        <w:tblLook w:val="04A0" w:firstRow="1" w:lastRow="0" w:firstColumn="1" w:lastColumn="0" w:noHBand="0" w:noVBand="1"/>
      </w:tblPr>
      <w:tblGrid>
        <w:gridCol w:w="2693"/>
      </w:tblGrid>
      <w:tr w:rsidR="002E281D" w:rsidRPr="00F85264" w14:paraId="6BE1AE1F" w14:textId="77777777" w:rsidTr="002E281D">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693" w:type="dxa"/>
            <w:shd w:val="clear" w:color="auto" w:fill="D9E2F3" w:themeFill="accent1" w:themeFillTint="33"/>
          </w:tcPr>
          <w:p w14:paraId="33FD420B" w14:textId="77777777" w:rsidR="002E281D" w:rsidRPr="00F85264" w:rsidRDefault="002E281D" w:rsidP="002E281D">
            <w:pPr>
              <w:spacing w:before="30" w:line="360" w:lineRule="auto"/>
              <w:jc w:val="center"/>
              <w:rPr>
                <w:b w:val="0"/>
                <w:bCs w:val="0"/>
                <w:color w:val="000000" w:themeColor="text1"/>
                <w:sz w:val="22"/>
                <w:szCs w:val="22"/>
              </w:rPr>
            </w:pPr>
            <w:r w:rsidRPr="00F85264">
              <w:rPr>
                <w:b w:val="0"/>
                <w:bCs w:val="0"/>
                <w:color w:val="000000" w:themeColor="text1"/>
                <w:sz w:val="22"/>
                <w:szCs w:val="22"/>
              </w:rPr>
              <w:t>C/C (n=25)           C/T+T/T (n=11)</w:t>
            </w:r>
          </w:p>
          <w:p w14:paraId="15DB6BFA" w14:textId="77777777" w:rsidR="002E281D" w:rsidRPr="00F85264" w:rsidRDefault="002E281D" w:rsidP="002E281D">
            <w:pPr>
              <w:spacing w:before="30" w:line="360" w:lineRule="auto"/>
              <w:jc w:val="center"/>
              <w:rPr>
                <w:b w:val="0"/>
                <w:bCs w:val="0"/>
                <w:color w:val="000000" w:themeColor="text1"/>
                <w:sz w:val="22"/>
                <w:szCs w:val="22"/>
              </w:rPr>
            </w:pPr>
            <w:r w:rsidRPr="00F85264">
              <w:rPr>
                <w:b w:val="0"/>
                <w:bCs w:val="0"/>
                <w:color w:val="000000" w:themeColor="text1"/>
                <w:sz w:val="22"/>
                <w:szCs w:val="22"/>
              </w:rPr>
              <w:t>Alelo selvagem = C</w:t>
            </w:r>
          </w:p>
          <w:p w14:paraId="1DCA1057" w14:textId="77777777" w:rsidR="002E281D" w:rsidRPr="00F85264" w:rsidRDefault="002E281D" w:rsidP="002E281D">
            <w:pPr>
              <w:spacing w:before="30" w:line="360" w:lineRule="auto"/>
              <w:jc w:val="center"/>
              <w:rPr>
                <w:b w:val="0"/>
                <w:bCs w:val="0"/>
                <w:color w:val="000000" w:themeColor="text1"/>
                <w:sz w:val="22"/>
                <w:szCs w:val="22"/>
              </w:rPr>
            </w:pPr>
            <w:r w:rsidRPr="00F85264">
              <w:rPr>
                <w:b w:val="0"/>
                <w:bCs w:val="0"/>
                <w:color w:val="000000" w:themeColor="text1"/>
                <w:sz w:val="22"/>
                <w:szCs w:val="22"/>
              </w:rPr>
              <w:t>Alelo polimórfico = T</w:t>
            </w:r>
          </w:p>
        </w:tc>
      </w:tr>
    </w:tbl>
    <w:p w14:paraId="5E65962D" w14:textId="77777777" w:rsidR="00E828FC" w:rsidRPr="00F85264" w:rsidRDefault="00E828FC" w:rsidP="002E281D">
      <w:pPr>
        <w:spacing w:before="30" w:line="360" w:lineRule="auto"/>
        <w:jc w:val="center"/>
        <w:rPr>
          <w:sz w:val="22"/>
          <w:szCs w:val="22"/>
          <w:u w:val="single"/>
        </w:rPr>
      </w:pPr>
    </w:p>
    <w:p w14:paraId="75654F6C" w14:textId="18B54E42" w:rsidR="00583F39" w:rsidRPr="004A08B0" w:rsidRDefault="00D256DA" w:rsidP="002E281D">
      <w:pPr>
        <w:spacing w:before="30" w:line="360" w:lineRule="auto"/>
        <w:jc w:val="center"/>
        <w:rPr>
          <w:u w:val="single"/>
        </w:rPr>
      </w:pPr>
      <w:r w:rsidRPr="00A53DBB">
        <w:rPr>
          <w:noProof/>
          <w:color w:val="000000"/>
          <w:sz w:val="22"/>
          <w:szCs w:val="22"/>
          <w14:textFill>
            <w14:solidFill>
              <w14:srgbClr w14:val="000000">
                <w14:lumMod w14:val="65000"/>
                <w14:lumOff w14:val="35000"/>
              </w14:srgbClr>
            </w14:solidFill>
          </w14:textFill>
        </w:rPr>
        <w:drawing>
          <wp:inline distT="0" distB="0" distL="0" distR="0" wp14:anchorId="3A5E189C" wp14:editId="01A1C275">
            <wp:extent cx="3042482" cy="2211614"/>
            <wp:effectExtent l="0" t="0" r="571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5263" cy="2279058"/>
                    </a:xfrm>
                    <a:prstGeom prst="rect">
                      <a:avLst/>
                    </a:prstGeom>
                    <a:noFill/>
                    <a:ln>
                      <a:noFill/>
                    </a:ln>
                  </pic:spPr>
                </pic:pic>
              </a:graphicData>
            </a:graphic>
          </wp:inline>
        </w:drawing>
      </w:r>
    </w:p>
    <w:p w14:paraId="3C30D794" w14:textId="77777777" w:rsidR="00B16887" w:rsidRDefault="00B1381F" w:rsidP="00DC7E42">
      <w:pPr>
        <w:spacing w:before="30" w:line="360" w:lineRule="auto"/>
        <w:jc w:val="both"/>
        <w:rPr>
          <w:color w:val="000000" w:themeColor="text1"/>
          <w:sz w:val="22"/>
          <w:szCs w:val="22"/>
        </w:rPr>
      </w:pPr>
      <w:r>
        <w:t xml:space="preserve">               </w:t>
      </w:r>
      <w:r w:rsidRPr="00B1381F">
        <w:rPr>
          <w:color w:val="000000" w:themeColor="text1"/>
          <w:sz w:val="22"/>
          <w:szCs w:val="22"/>
        </w:rPr>
        <w:t xml:space="preserve">Fonte: Dados da pesquisa.        </w:t>
      </w:r>
    </w:p>
    <w:p w14:paraId="7A27C8E8" w14:textId="38CB109F" w:rsidR="00DC7E42" w:rsidRDefault="00B1381F" w:rsidP="00DC7E42">
      <w:pPr>
        <w:spacing w:before="30" w:line="360" w:lineRule="auto"/>
        <w:jc w:val="both"/>
        <w:rPr>
          <w:color w:val="000000" w:themeColor="text1"/>
        </w:rPr>
      </w:pPr>
      <w:r w:rsidRPr="00B1381F">
        <w:rPr>
          <w:color w:val="000000" w:themeColor="text1"/>
          <w:sz w:val="22"/>
          <w:szCs w:val="22"/>
        </w:rPr>
        <w:t xml:space="preserve">      </w:t>
      </w:r>
      <w:r>
        <w:rPr>
          <w:color w:val="000000" w:themeColor="text1"/>
        </w:rPr>
        <w:t xml:space="preserve">      </w:t>
      </w:r>
    </w:p>
    <w:p w14:paraId="56271640" w14:textId="701A4761" w:rsidR="00D822F3" w:rsidRPr="00D4452B" w:rsidRDefault="00125D33" w:rsidP="000B358B">
      <w:pPr>
        <w:pStyle w:val="PargrafodaLista"/>
        <w:numPr>
          <w:ilvl w:val="0"/>
          <w:numId w:val="35"/>
        </w:numPr>
        <w:spacing w:before="30" w:line="360" w:lineRule="auto"/>
        <w:jc w:val="both"/>
        <w:rPr>
          <w:b/>
          <w:bCs/>
        </w:rPr>
      </w:pPr>
      <w:r w:rsidRPr="00D4452B">
        <w:rPr>
          <w:b/>
          <w:bCs/>
        </w:rPr>
        <w:t>rs22</w:t>
      </w:r>
      <w:r w:rsidR="00750A31" w:rsidRPr="00D4452B">
        <w:rPr>
          <w:b/>
          <w:bCs/>
        </w:rPr>
        <w:t>5014</w:t>
      </w:r>
      <w:r w:rsidR="00C834E5" w:rsidRPr="00D4452B">
        <w:rPr>
          <w:b/>
          <w:bCs/>
        </w:rPr>
        <w:t xml:space="preserve"> </w:t>
      </w:r>
      <w:r w:rsidR="002E281D" w:rsidRPr="00D4452B">
        <w:rPr>
          <w:b/>
          <w:bCs/>
        </w:rPr>
        <w:t>(Thr92Ala)</w:t>
      </w:r>
    </w:p>
    <w:p w14:paraId="3B313D10" w14:textId="77777777" w:rsidR="00025210" w:rsidRDefault="00025210" w:rsidP="00025210">
      <w:pPr>
        <w:pStyle w:val="PargrafodaLista"/>
        <w:spacing w:before="30" w:line="360" w:lineRule="auto"/>
        <w:ind w:left="1023"/>
        <w:jc w:val="both"/>
      </w:pPr>
    </w:p>
    <w:p w14:paraId="4D18CBD7" w14:textId="3880CF8C" w:rsidR="00D256DA" w:rsidRDefault="00D822F3" w:rsidP="00FF5349">
      <w:pPr>
        <w:spacing w:before="30" w:line="360" w:lineRule="auto"/>
        <w:jc w:val="both"/>
      </w:pPr>
      <w:r>
        <w:t xml:space="preserve">     Fizeram genotipagem deste polimorfismo 41 participantes do estudo. </w:t>
      </w:r>
      <w:r w:rsidR="00D6797E">
        <w:t>O a</w:t>
      </w:r>
      <w:r w:rsidR="00125D33">
        <w:t xml:space="preserve">lelo selvagem é </w:t>
      </w:r>
      <w:r w:rsidR="00750A31">
        <w:t>T</w:t>
      </w:r>
      <w:r w:rsidR="00125D33">
        <w:t xml:space="preserve"> e </w:t>
      </w:r>
      <w:r w:rsidR="00D6797E">
        <w:t xml:space="preserve">polimórfico, </w:t>
      </w:r>
      <w:r w:rsidR="00750A31">
        <w:t>C</w:t>
      </w:r>
      <w:r w:rsidR="00E828FC">
        <w:t xml:space="preserve">; </w:t>
      </w:r>
      <w:r w:rsidR="004A08B0">
        <w:t>12</w:t>
      </w:r>
      <w:r>
        <w:t xml:space="preserve"> (29,27%) </w:t>
      </w:r>
      <w:r w:rsidR="00A87068">
        <w:t xml:space="preserve">das participantes do estudo </w:t>
      </w:r>
      <w:r w:rsidR="00125D33">
        <w:t>apresenta</w:t>
      </w:r>
      <w:r w:rsidR="008255EE">
        <w:t>va</w:t>
      </w:r>
      <w:r w:rsidR="006C0E0D">
        <w:t>m</w:t>
      </w:r>
      <w:r w:rsidR="008255EE">
        <w:t xml:space="preserve"> </w:t>
      </w:r>
      <w:r w:rsidR="00125D33">
        <w:t xml:space="preserve">genótipo </w:t>
      </w:r>
      <w:r w:rsidR="00750A31">
        <w:t>T/T</w:t>
      </w:r>
      <w:r w:rsidR="004A08B0">
        <w:t xml:space="preserve"> e 29</w:t>
      </w:r>
      <w:r>
        <w:t xml:space="preserve"> (70,73%)</w:t>
      </w:r>
      <w:r w:rsidR="00A87068">
        <w:t xml:space="preserve"> delas</w:t>
      </w:r>
      <w:r w:rsidR="004A08B0">
        <w:t xml:space="preserve"> </w:t>
      </w:r>
      <w:r w:rsidR="00125D33">
        <w:t>apresent</w:t>
      </w:r>
      <w:r w:rsidR="008255EE">
        <w:t>avam</w:t>
      </w:r>
      <w:r w:rsidR="00125D33">
        <w:t xml:space="preserve"> genótipo </w:t>
      </w:r>
      <w:r w:rsidR="00E828FC">
        <w:t>C/C</w:t>
      </w:r>
      <w:r w:rsidR="00125D33">
        <w:t xml:space="preserve"> ou </w:t>
      </w:r>
      <w:r w:rsidR="004A08B0">
        <w:t>C/T</w:t>
      </w:r>
      <w:r>
        <w:t>.</w:t>
      </w:r>
      <w:r w:rsidR="00025210">
        <w:t xml:space="preserve"> </w:t>
      </w:r>
      <w:r>
        <w:t>Associação do SNP com função tireoidiana: a</w:t>
      </w:r>
      <w:r w:rsidR="00125D33">
        <w:t>s m</w:t>
      </w:r>
      <w:r w:rsidR="00A87068">
        <w:t>edianas</w:t>
      </w:r>
      <w:r w:rsidR="00125D33">
        <w:t xml:space="preserve"> do TSH, T</w:t>
      </w:r>
      <w:r w:rsidR="00123738">
        <w:t>3</w:t>
      </w:r>
      <w:r w:rsidR="00125D33">
        <w:t>l e T</w:t>
      </w:r>
      <w:r w:rsidR="00123738">
        <w:t>4</w:t>
      </w:r>
      <w:r w:rsidR="00125D33">
        <w:t>l para o alelo selvagem em homozigose</w:t>
      </w:r>
      <w:r w:rsidR="00A761A8">
        <w:t xml:space="preserve"> (T/T)</w:t>
      </w:r>
      <w:r w:rsidR="00125D33">
        <w:t xml:space="preserve"> foram de </w:t>
      </w:r>
      <w:r w:rsidR="002941AD">
        <w:t>2,19</w:t>
      </w:r>
      <w:r w:rsidR="00D66AB5">
        <w:t xml:space="preserve"> </w:t>
      </w:r>
      <w:r w:rsidR="00125D33">
        <w:t>mU/L</w:t>
      </w:r>
      <w:r w:rsidR="00A87068">
        <w:t xml:space="preserve"> (IIQ=</w:t>
      </w:r>
      <w:r w:rsidR="002941AD">
        <w:t>1,78-3,42), 2,99</w:t>
      </w:r>
      <w:r w:rsidR="00D66AB5">
        <w:t xml:space="preserve"> </w:t>
      </w:r>
      <w:r w:rsidR="00125D33">
        <w:t>pg/dL</w:t>
      </w:r>
      <w:r w:rsidR="002941AD">
        <w:t xml:space="preserve"> (IIQ=2,75-3,24) </w:t>
      </w:r>
      <w:r w:rsidR="00123738">
        <w:t>e 1.</w:t>
      </w:r>
      <w:r w:rsidR="002941AD">
        <w:t>20</w:t>
      </w:r>
      <w:r w:rsidR="00D66AB5">
        <w:t xml:space="preserve"> </w:t>
      </w:r>
      <w:r w:rsidR="00123738">
        <w:t>ng/mL</w:t>
      </w:r>
      <w:r w:rsidR="002941AD">
        <w:t xml:space="preserve"> (IIQ=1,16-1,29)</w:t>
      </w:r>
      <w:r w:rsidR="008255EE">
        <w:t xml:space="preserve">. Enquanto que, </w:t>
      </w:r>
      <w:r w:rsidR="00125D33">
        <w:t>para o alelo polimórfico</w:t>
      </w:r>
      <w:r w:rsidR="00123738">
        <w:t xml:space="preserve"> em homozigose ou heterozigose</w:t>
      </w:r>
      <w:r w:rsidR="00A761A8">
        <w:t xml:space="preserve"> (C/C + C/T)</w:t>
      </w:r>
      <w:r w:rsidR="005F69A0">
        <w:t>,</w:t>
      </w:r>
      <w:r w:rsidR="008255EE">
        <w:t xml:space="preserve"> foram</w:t>
      </w:r>
      <w:r w:rsidR="00125D33">
        <w:t xml:space="preserve"> 2.</w:t>
      </w:r>
      <w:r w:rsidR="006F3FD3">
        <w:t>2</w:t>
      </w:r>
      <w:r w:rsidR="002941AD">
        <w:t>0</w:t>
      </w:r>
      <w:r w:rsidR="00125D33">
        <w:t>mU/L</w:t>
      </w:r>
      <w:r w:rsidR="002941AD">
        <w:t xml:space="preserve"> (IIQ=1,53-2,80)</w:t>
      </w:r>
      <w:r w:rsidR="00125D33">
        <w:t>, 2.</w:t>
      </w:r>
      <w:r w:rsidR="002941AD">
        <w:t>73</w:t>
      </w:r>
      <w:r w:rsidR="00125D33">
        <w:t>pg/dL</w:t>
      </w:r>
      <w:r w:rsidR="002941AD">
        <w:t xml:space="preserve"> (IIQ=2,65-2,92)</w:t>
      </w:r>
      <w:r w:rsidR="00583F39">
        <w:t xml:space="preserve"> e 1.12ng/mL (IIQ=1,06-1,18)</w:t>
      </w:r>
      <w:r w:rsidR="008255EE">
        <w:t xml:space="preserve"> (TSH, T3l e T4l, respectivamente)</w:t>
      </w:r>
      <w:r w:rsidR="00D66AB5">
        <w:t>. Para os níveis de T4l, houve diferença</w:t>
      </w:r>
      <w:r w:rsidR="008255EE">
        <w:t xml:space="preserve"> </w:t>
      </w:r>
      <w:r w:rsidR="00D66AB5">
        <w:t>com significância estatística</w:t>
      </w:r>
      <w:r w:rsidR="0028470B">
        <w:t xml:space="preserve"> entre os dois grupos</w:t>
      </w:r>
      <w:r w:rsidR="00E828FC">
        <w:t xml:space="preserve"> (T/T vs. C/C + C/T) </w:t>
      </w:r>
      <w:r w:rsidR="00D66AB5">
        <w:t>(p=0,02)</w:t>
      </w:r>
      <w:r w:rsidR="00E828FC">
        <w:t>. Não</w:t>
      </w:r>
      <w:r w:rsidR="00D66AB5">
        <w:t xml:space="preserve"> </w:t>
      </w:r>
      <w:r w:rsidR="00B16887">
        <w:t xml:space="preserve">se </w:t>
      </w:r>
      <w:r w:rsidR="00E828FC">
        <w:t>observa</w:t>
      </w:r>
      <w:r w:rsidR="00B16887">
        <w:t>ra</w:t>
      </w:r>
      <w:r w:rsidR="00E828FC">
        <w:t>m diferenças significativas quanto ao</w:t>
      </w:r>
      <w:r w:rsidR="00D66AB5">
        <w:t xml:space="preserve"> TSH e T3l</w:t>
      </w:r>
      <w:r w:rsidR="00B16887">
        <w:t>,</w:t>
      </w:r>
      <w:r w:rsidR="00E828FC">
        <w:t xml:space="preserve"> quando </w:t>
      </w:r>
      <w:proofErr w:type="gramStart"/>
      <w:r w:rsidR="00E828FC">
        <w:t>comparam</w:t>
      </w:r>
      <w:r w:rsidR="00B16887">
        <w:t>-se</w:t>
      </w:r>
      <w:proofErr w:type="gramEnd"/>
      <w:r w:rsidR="00E828FC">
        <w:t xml:space="preserve"> os dois grupos </w:t>
      </w:r>
      <w:r w:rsidR="00D66AB5">
        <w:t>(</w:t>
      </w:r>
      <w:r w:rsidR="002941AD">
        <w:t>p=0,57</w:t>
      </w:r>
      <w:r w:rsidR="00583F39">
        <w:t xml:space="preserve"> e</w:t>
      </w:r>
      <w:r w:rsidR="002941AD">
        <w:t xml:space="preserve"> </w:t>
      </w:r>
      <w:r w:rsidR="0028470B">
        <w:t>p=</w:t>
      </w:r>
      <w:r w:rsidR="002941AD">
        <w:t>0,05</w:t>
      </w:r>
      <w:r w:rsidR="00583F39">
        <w:t xml:space="preserve">, respectivamente). </w:t>
      </w:r>
      <w:r w:rsidR="00E828FC">
        <w:t>Os d</w:t>
      </w:r>
      <w:r w:rsidR="00957E5D">
        <w:t xml:space="preserve">ados estão </w:t>
      </w:r>
      <w:r w:rsidR="00E828FC">
        <w:t>representados</w:t>
      </w:r>
      <w:r w:rsidR="00957E5D">
        <w:t xml:space="preserve"> no </w:t>
      </w:r>
      <w:r w:rsidR="00B16887">
        <w:t>G</w:t>
      </w:r>
      <w:r w:rsidR="00957E5D">
        <w:t>ráfico 2.</w:t>
      </w:r>
    </w:p>
    <w:p w14:paraId="77BFD653" w14:textId="77777777" w:rsidR="00D256DA" w:rsidRDefault="00D256DA" w:rsidP="00FF5349">
      <w:pPr>
        <w:spacing w:before="30" w:line="360" w:lineRule="auto"/>
        <w:jc w:val="both"/>
      </w:pPr>
    </w:p>
    <w:p w14:paraId="7FF9A9BC" w14:textId="2ED2FFB6" w:rsidR="00B41CBA" w:rsidRPr="00F85264" w:rsidRDefault="00A4602D" w:rsidP="00F85264">
      <w:pPr>
        <w:ind w:left="1134" w:hanging="1134"/>
        <w:jc w:val="both"/>
        <w:rPr>
          <w:sz w:val="22"/>
          <w:szCs w:val="22"/>
        </w:rPr>
      </w:pPr>
      <w:r w:rsidRPr="00F85264">
        <w:rPr>
          <w:b/>
          <w:bCs/>
          <w:sz w:val="22"/>
          <w:szCs w:val="22"/>
        </w:rPr>
        <w:lastRenderedPageBreak/>
        <w:t>Gráfico 2:</w:t>
      </w:r>
      <w:r w:rsidRPr="00F85264">
        <w:rPr>
          <w:sz w:val="22"/>
          <w:szCs w:val="22"/>
        </w:rPr>
        <w:t xml:space="preserve"> Análise da associação entre </w:t>
      </w:r>
      <w:r w:rsidR="00E828FC" w:rsidRPr="00F85264">
        <w:rPr>
          <w:sz w:val="22"/>
          <w:szCs w:val="22"/>
        </w:rPr>
        <w:t xml:space="preserve">a função tireoidiana e genotipagem para o polimorfismo rs225014 do gene </w:t>
      </w:r>
      <w:r w:rsidR="00E828FC" w:rsidRPr="00A37AE3">
        <w:rPr>
          <w:i/>
          <w:sz w:val="22"/>
          <w:szCs w:val="22"/>
        </w:rPr>
        <w:t>DIO2</w:t>
      </w:r>
      <w:r w:rsidR="00E828FC" w:rsidRPr="00F85264">
        <w:rPr>
          <w:sz w:val="22"/>
          <w:szCs w:val="22"/>
        </w:rPr>
        <w:t>. Comparação entre indivíduos portadores de alelos selvagem (T/T) e polimórfico (C/C + CT).</w:t>
      </w:r>
    </w:p>
    <w:p w14:paraId="6FA8B95D" w14:textId="77777777" w:rsidR="00D4452B" w:rsidRPr="00D4452B" w:rsidRDefault="00D4452B" w:rsidP="00F85264">
      <w:pPr>
        <w:spacing w:before="30" w:line="360" w:lineRule="auto"/>
        <w:ind w:left="1134" w:hanging="1134"/>
        <w:jc w:val="both"/>
      </w:pPr>
    </w:p>
    <w:tbl>
      <w:tblPr>
        <w:tblStyle w:val="TabeladeGrade4-nfase1"/>
        <w:tblpPr w:leftFromText="141" w:rightFromText="141" w:vertAnchor="text" w:horzAnchor="page" w:tblpX="8456" w:tblpY="2568"/>
        <w:tblW w:w="0" w:type="auto"/>
        <w:tblLook w:val="04A0" w:firstRow="1" w:lastRow="0" w:firstColumn="1" w:lastColumn="0" w:noHBand="0" w:noVBand="1"/>
      </w:tblPr>
      <w:tblGrid>
        <w:gridCol w:w="2547"/>
      </w:tblGrid>
      <w:tr w:rsidR="002E281D" w:rsidRPr="001D4B35" w14:paraId="31BD4860" w14:textId="77777777" w:rsidTr="002E281D">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547" w:type="dxa"/>
            <w:shd w:val="clear" w:color="auto" w:fill="D9E2F3" w:themeFill="accent1" w:themeFillTint="33"/>
          </w:tcPr>
          <w:p w14:paraId="5902643D" w14:textId="458FB2B1" w:rsidR="002E281D" w:rsidRPr="002E281D" w:rsidRDefault="002E281D" w:rsidP="002E281D">
            <w:pPr>
              <w:spacing w:before="30" w:line="360" w:lineRule="auto"/>
              <w:jc w:val="center"/>
              <w:rPr>
                <w:b w:val="0"/>
                <w:bCs w:val="0"/>
                <w:color w:val="000000" w:themeColor="text1"/>
                <w:sz w:val="16"/>
                <w:szCs w:val="16"/>
              </w:rPr>
            </w:pPr>
            <w:r w:rsidRPr="002E281D">
              <w:rPr>
                <w:b w:val="0"/>
                <w:bCs w:val="0"/>
                <w:color w:val="000000" w:themeColor="text1"/>
                <w:sz w:val="16"/>
                <w:szCs w:val="16"/>
              </w:rPr>
              <w:t>T/T (n=</w:t>
            </w:r>
            <w:r w:rsidR="00D4452B">
              <w:rPr>
                <w:b w:val="0"/>
                <w:bCs w:val="0"/>
                <w:color w:val="000000" w:themeColor="text1"/>
                <w:sz w:val="16"/>
                <w:szCs w:val="16"/>
              </w:rPr>
              <w:t>12</w:t>
            </w:r>
            <w:r w:rsidRPr="002E281D">
              <w:rPr>
                <w:b w:val="0"/>
                <w:bCs w:val="0"/>
                <w:color w:val="000000" w:themeColor="text1"/>
                <w:sz w:val="16"/>
                <w:szCs w:val="16"/>
              </w:rPr>
              <w:t>)          C/C+C/T (n=</w:t>
            </w:r>
            <w:r w:rsidR="00D4452B">
              <w:rPr>
                <w:b w:val="0"/>
                <w:bCs w:val="0"/>
                <w:color w:val="000000" w:themeColor="text1"/>
                <w:sz w:val="16"/>
                <w:szCs w:val="16"/>
              </w:rPr>
              <w:t>29</w:t>
            </w:r>
            <w:r w:rsidRPr="002E281D">
              <w:rPr>
                <w:b w:val="0"/>
                <w:bCs w:val="0"/>
                <w:color w:val="000000" w:themeColor="text1"/>
                <w:sz w:val="16"/>
                <w:szCs w:val="16"/>
              </w:rPr>
              <w:t>)</w:t>
            </w:r>
          </w:p>
          <w:p w14:paraId="4BCC707F" w14:textId="77777777" w:rsidR="002E281D" w:rsidRPr="002E281D" w:rsidRDefault="002E281D" w:rsidP="002E281D">
            <w:pPr>
              <w:spacing w:before="30" w:line="360" w:lineRule="auto"/>
              <w:jc w:val="center"/>
              <w:rPr>
                <w:b w:val="0"/>
                <w:bCs w:val="0"/>
                <w:color w:val="000000" w:themeColor="text1"/>
                <w:sz w:val="16"/>
                <w:szCs w:val="16"/>
              </w:rPr>
            </w:pPr>
            <w:r w:rsidRPr="002E281D">
              <w:rPr>
                <w:b w:val="0"/>
                <w:bCs w:val="0"/>
                <w:color w:val="000000" w:themeColor="text1"/>
                <w:sz w:val="16"/>
                <w:szCs w:val="16"/>
              </w:rPr>
              <w:t>Alelo selvagem = T</w:t>
            </w:r>
          </w:p>
          <w:p w14:paraId="7D048708" w14:textId="77777777" w:rsidR="002E281D" w:rsidRPr="001D4B35" w:rsidRDefault="002E281D" w:rsidP="002E281D">
            <w:pPr>
              <w:spacing w:before="30" w:line="360" w:lineRule="auto"/>
              <w:jc w:val="center"/>
              <w:rPr>
                <w:b w:val="0"/>
                <w:bCs w:val="0"/>
                <w:color w:val="000000" w:themeColor="text1"/>
              </w:rPr>
            </w:pPr>
            <w:r w:rsidRPr="002E281D">
              <w:rPr>
                <w:b w:val="0"/>
                <w:bCs w:val="0"/>
                <w:color w:val="000000" w:themeColor="text1"/>
                <w:sz w:val="16"/>
                <w:szCs w:val="16"/>
              </w:rPr>
              <w:t>Alelo polimórfico = C</w:t>
            </w:r>
          </w:p>
        </w:tc>
      </w:tr>
    </w:tbl>
    <w:p w14:paraId="610739C3" w14:textId="2CA309EC" w:rsidR="00B41CBA" w:rsidRDefault="00B41CBA" w:rsidP="00B41CBA">
      <w:pPr>
        <w:spacing w:before="30" w:line="360" w:lineRule="auto"/>
        <w:jc w:val="center"/>
      </w:pPr>
      <w:r>
        <w:rPr>
          <w:noProof/>
          <w:color w:val="000000" w:themeColor="text1"/>
        </w:rPr>
        <w:drawing>
          <wp:inline distT="0" distB="0" distL="0" distR="0" wp14:anchorId="765FE319" wp14:editId="505A38BE">
            <wp:extent cx="2987898" cy="21748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4095" cy="2244891"/>
                    </a:xfrm>
                    <a:prstGeom prst="rect">
                      <a:avLst/>
                    </a:prstGeom>
                  </pic:spPr>
                </pic:pic>
              </a:graphicData>
            </a:graphic>
          </wp:inline>
        </w:drawing>
      </w:r>
    </w:p>
    <w:p w14:paraId="5604956A" w14:textId="40A6F6C4" w:rsidR="001D4B35" w:rsidRPr="00B1381F" w:rsidRDefault="00D256DA" w:rsidP="00A4602D">
      <w:pPr>
        <w:spacing w:before="30" w:line="360" w:lineRule="auto"/>
        <w:rPr>
          <w:color w:val="000000" w:themeColor="text1"/>
          <w:sz w:val="22"/>
          <w:szCs w:val="22"/>
        </w:rPr>
      </w:pPr>
      <w:r>
        <w:rPr>
          <w:color w:val="000000" w:themeColor="text1"/>
        </w:rPr>
        <w:t xml:space="preserve">                     </w:t>
      </w:r>
      <w:r w:rsidR="00B1381F" w:rsidRPr="00B1381F">
        <w:rPr>
          <w:color w:val="000000" w:themeColor="text1"/>
          <w:sz w:val="22"/>
          <w:szCs w:val="22"/>
        </w:rPr>
        <w:t xml:space="preserve">Fonte: Dados da pesquisa.              </w:t>
      </w:r>
      <w:r w:rsidR="00B1381F">
        <w:rPr>
          <w:color w:val="000000" w:themeColor="text1"/>
        </w:rPr>
        <w:t xml:space="preserve">      </w:t>
      </w:r>
    </w:p>
    <w:p w14:paraId="095BA7A8" w14:textId="77777777" w:rsidR="00B1381F" w:rsidRDefault="00C52819" w:rsidP="008255EE">
      <w:pPr>
        <w:spacing w:before="30" w:line="360" w:lineRule="auto"/>
        <w:jc w:val="both"/>
      </w:pPr>
      <w:r>
        <w:t xml:space="preserve">     </w:t>
      </w:r>
    </w:p>
    <w:p w14:paraId="1EA73FA1" w14:textId="0850F783" w:rsidR="00DA241E" w:rsidRDefault="00145F81" w:rsidP="00A322DB">
      <w:pPr>
        <w:spacing w:before="30" w:line="360" w:lineRule="auto"/>
        <w:ind w:firstLine="708"/>
        <w:jc w:val="both"/>
      </w:pPr>
      <w:r>
        <w:t xml:space="preserve">Para este polimorfismo, </w:t>
      </w:r>
      <w:r w:rsidR="00E828FC">
        <w:t>dad</w:t>
      </w:r>
      <w:r w:rsidR="00B16887">
        <w:t>a</w:t>
      </w:r>
      <w:r w:rsidR="00E828FC">
        <w:t xml:space="preserve"> a sua relev</w:t>
      </w:r>
      <w:r w:rsidR="00A44FE2">
        <w:t xml:space="preserve">ância clínica, </w:t>
      </w:r>
      <w:r>
        <w:t>a</w:t>
      </w:r>
      <w:r w:rsidR="00317EA9">
        <w:t>nalisa</w:t>
      </w:r>
      <w:r w:rsidR="00B16887">
        <w:t>ram-se</w:t>
      </w:r>
      <w:r w:rsidR="00317EA9">
        <w:t xml:space="preserve"> também associações </w:t>
      </w:r>
      <w:r>
        <w:t xml:space="preserve">com </w:t>
      </w:r>
      <w:r w:rsidR="00317EA9">
        <w:t xml:space="preserve">alguns parâmetros clínicos: DM, DLP e HAS. Não foram encontradas associações </w:t>
      </w:r>
      <w:r w:rsidR="00A44FE2">
        <w:t>significativas</w:t>
      </w:r>
      <w:r w:rsidR="00B16887">
        <w:t>,</w:t>
      </w:r>
      <w:r w:rsidR="00A44FE2">
        <w:t xml:space="preserve"> quando </w:t>
      </w:r>
      <w:r w:rsidR="00B16887">
        <w:t xml:space="preserve">foram </w:t>
      </w:r>
      <w:r w:rsidR="00A44FE2">
        <w:t>compara</w:t>
      </w:r>
      <w:r w:rsidR="00B16887">
        <w:t>dos</w:t>
      </w:r>
      <w:r w:rsidR="00A44FE2">
        <w:t xml:space="preserve"> os </w:t>
      </w:r>
      <w:proofErr w:type="gramStart"/>
      <w:r w:rsidR="00A44FE2">
        <w:t>grupos selvagem</w:t>
      </w:r>
      <w:proofErr w:type="gramEnd"/>
      <w:r w:rsidR="00A44FE2">
        <w:t xml:space="preserve"> (T/T) e polimórfico (</w:t>
      </w:r>
      <w:r w:rsidR="00F01A93">
        <w:t>C/C</w:t>
      </w:r>
      <w:r w:rsidR="00A44FE2">
        <w:t xml:space="preserve"> + C/T)</w:t>
      </w:r>
      <w:r w:rsidR="00B16887">
        <w:t>,</w:t>
      </w:r>
      <w:r w:rsidR="00A44FE2">
        <w:t xml:space="preserve"> quanto </w:t>
      </w:r>
      <w:r w:rsidR="00B16887">
        <w:t xml:space="preserve">à </w:t>
      </w:r>
      <w:r w:rsidR="00A44FE2">
        <w:t xml:space="preserve">presença de comorbidades, </w:t>
      </w:r>
      <w:r w:rsidR="00317EA9">
        <w:t>conforme demo</w:t>
      </w:r>
      <w:r w:rsidR="00B16887">
        <w:t>n</w:t>
      </w:r>
      <w:r w:rsidR="00317EA9">
        <w:t xml:space="preserve">strado na </w:t>
      </w:r>
      <w:r w:rsidR="00B16887" w:rsidRPr="00215564">
        <w:t>T</w:t>
      </w:r>
      <w:r w:rsidR="00317EA9" w:rsidRPr="00215564">
        <w:t xml:space="preserve">abela </w:t>
      </w:r>
      <w:r w:rsidR="00C512F1">
        <w:t>7</w:t>
      </w:r>
      <w:r w:rsidR="00317EA9" w:rsidRPr="00215564">
        <w:t>.</w:t>
      </w:r>
    </w:p>
    <w:p w14:paraId="0666ACD8" w14:textId="77777777" w:rsidR="00F85264" w:rsidRDefault="00F85264" w:rsidP="00F85264">
      <w:pPr>
        <w:ind w:left="993" w:hanging="993"/>
        <w:jc w:val="both"/>
        <w:rPr>
          <w:b/>
          <w:bCs/>
          <w:sz w:val="22"/>
          <w:szCs w:val="22"/>
        </w:rPr>
      </w:pPr>
    </w:p>
    <w:p w14:paraId="2C0183AE" w14:textId="77777777" w:rsidR="00F85264" w:rsidRDefault="00F85264" w:rsidP="00F85264">
      <w:pPr>
        <w:ind w:left="993" w:hanging="993"/>
        <w:jc w:val="both"/>
        <w:rPr>
          <w:b/>
          <w:bCs/>
          <w:sz w:val="22"/>
          <w:szCs w:val="22"/>
        </w:rPr>
      </w:pPr>
    </w:p>
    <w:p w14:paraId="4AEC730A" w14:textId="37DB00FB" w:rsidR="00317EA9" w:rsidRPr="00F85264" w:rsidRDefault="00317EA9" w:rsidP="00F85264">
      <w:pPr>
        <w:ind w:left="993" w:hanging="993"/>
        <w:jc w:val="both"/>
        <w:rPr>
          <w:sz w:val="22"/>
          <w:szCs w:val="22"/>
        </w:rPr>
      </w:pPr>
      <w:r w:rsidRPr="00215564">
        <w:rPr>
          <w:b/>
          <w:bCs/>
          <w:sz w:val="22"/>
          <w:szCs w:val="22"/>
        </w:rPr>
        <w:t xml:space="preserve">Tabela </w:t>
      </w:r>
      <w:r w:rsidR="00A37AE3">
        <w:rPr>
          <w:b/>
          <w:bCs/>
          <w:sz w:val="22"/>
          <w:szCs w:val="22"/>
        </w:rPr>
        <w:t>7</w:t>
      </w:r>
      <w:r w:rsidRPr="00F85264">
        <w:rPr>
          <w:b/>
          <w:bCs/>
          <w:sz w:val="22"/>
          <w:szCs w:val="22"/>
        </w:rPr>
        <w:t>:</w:t>
      </w:r>
      <w:r w:rsidRPr="00F85264">
        <w:rPr>
          <w:sz w:val="22"/>
          <w:szCs w:val="22"/>
        </w:rPr>
        <w:t xml:space="preserve"> </w:t>
      </w:r>
      <w:r w:rsidR="00D00AF5" w:rsidRPr="00F85264">
        <w:rPr>
          <w:sz w:val="22"/>
          <w:szCs w:val="22"/>
        </w:rPr>
        <w:t>Comparação entre os grupos selvagem (n</w:t>
      </w:r>
      <w:r w:rsidR="00F01A93" w:rsidRPr="00F85264">
        <w:rPr>
          <w:sz w:val="22"/>
          <w:szCs w:val="22"/>
        </w:rPr>
        <w:t xml:space="preserve">=12, T/T) e polimórfico (n=29, C/C + C/T) do polimorfismo rs225014 do gene </w:t>
      </w:r>
      <w:r w:rsidR="00F01A93" w:rsidRPr="00F85264">
        <w:rPr>
          <w:i/>
          <w:iCs/>
          <w:sz w:val="22"/>
          <w:szCs w:val="22"/>
        </w:rPr>
        <w:t>DIO2</w:t>
      </w:r>
      <w:r w:rsidR="00F01A93" w:rsidRPr="00F85264">
        <w:rPr>
          <w:sz w:val="22"/>
          <w:szCs w:val="22"/>
        </w:rPr>
        <w:t xml:space="preserve"> quanto </w:t>
      </w:r>
      <w:r w:rsidR="00B16887">
        <w:rPr>
          <w:sz w:val="22"/>
          <w:szCs w:val="22"/>
        </w:rPr>
        <w:t>à</w:t>
      </w:r>
      <w:r w:rsidR="00B16887" w:rsidRPr="00F85264">
        <w:rPr>
          <w:sz w:val="22"/>
          <w:szCs w:val="22"/>
        </w:rPr>
        <w:t xml:space="preserve"> </w:t>
      </w:r>
      <w:r w:rsidR="00F01A93" w:rsidRPr="00F85264">
        <w:rPr>
          <w:sz w:val="22"/>
          <w:szCs w:val="22"/>
        </w:rPr>
        <w:t>presença de comorbidades clínicas.</w:t>
      </w:r>
    </w:p>
    <w:p w14:paraId="422E05F8" w14:textId="77777777" w:rsidR="00F01A93" w:rsidRPr="00346FE2" w:rsidRDefault="00F01A93" w:rsidP="00317EA9">
      <w:pPr>
        <w:spacing w:before="30" w:line="360" w:lineRule="auto"/>
        <w:rPr>
          <w:sz w:val="20"/>
          <w:szCs w:val="20"/>
        </w:rPr>
      </w:pPr>
    </w:p>
    <w:tbl>
      <w:tblPr>
        <w:tblStyle w:val="SimplesTabela2"/>
        <w:tblW w:w="0" w:type="auto"/>
        <w:jc w:val="center"/>
        <w:tblLook w:val="04A0" w:firstRow="1" w:lastRow="0" w:firstColumn="1" w:lastColumn="0" w:noHBand="0" w:noVBand="1"/>
      </w:tblPr>
      <w:tblGrid>
        <w:gridCol w:w="2214"/>
        <w:gridCol w:w="1907"/>
        <w:gridCol w:w="1580"/>
        <w:gridCol w:w="1113"/>
      </w:tblGrid>
      <w:tr w:rsidR="00317EA9" w:rsidRPr="00346FE2" w14:paraId="43281AED" w14:textId="77777777" w:rsidTr="00F01A93">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214" w:type="dxa"/>
          </w:tcPr>
          <w:p w14:paraId="22DC286A" w14:textId="77777777" w:rsidR="00317EA9" w:rsidRPr="00346FE2" w:rsidRDefault="00317EA9" w:rsidP="00A4602D">
            <w:pPr>
              <w:jc w:val="center"/>
              <w:rPr>
                <w:b w:val="0"/>
                <w:bCs w:val="0"/>
                <w:color w:val="000000" w:themeColor="text1"/>
                <w:sz w:val="20"/>
                <w:szCs w:val="20"/>
              </w:rPr>
            </w:pPr>
            <w:r w:rsidRPr="00346FE2">
              <w:rPr>
                <w:color w:val="000000" w:themeColor="text1"/>
                <w:sz w:val="20"/>
                <w:szCs w:val="20"/>
              </w:rPr>
              <w:t>Variável</w:t>
            </w:r>
          </w:p>
        </w:tc>
        <w:tc>
          <w:tcPr>
            <w:tcW w:w="1907" w:type="dxa"/>
          </w:tcPr>
          <w:p w14:paraId="7307216D" w14:textId="77777777" w:rsidR="00317EA9" w:rsidRPr="00346FE2" w:rsidRDefault="00317EA9" w:rsidP="00A4602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346FE2">
              <w:rPr>
                <w:color w:val="000000" w:themeColor="text1"/>
                <w:sz w:val="20"/>
                <w:szCs w:val="20"/>
              </w:rPr>
              <w:t>T/T</w:t>
            </w:r>
          </w:p>
        </w:tc>
        <w:tc>
          <w:tcPr>
            <w:tcW w:w="1580" w:type="dxa"/>
          </w:tcPr>
          <w:p w14:paraId="739A5844" w14:textId="77777777" w:rsidR="00317EA9" w:rsidRPr="00346FE2" w:rsidRDefault="00317EA9" w:rsidP="00A4602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346FE2">
              <w:rPr>
                <w:color w:val="000000" w:themeColor="text1"/>
                <w:sz w:val="20"/>
                <w:szCs w:val="20"/>
              </w:rPr>
              <w:t>C/C + C/T</w:t>
            </w:r>
          </w:p>
        </w:tc>
        <w:tc>
          <w:tcPr>
            <w:tcW w:w="1113" w:type="dxa"/>
          </w:tcPr>
          <w:p w14:paraId="03392AB5" w14:textId="77777777" w:rsidR="00317EA9" w:rsidRPr="00346FE2" w:rsidRDefault="00317EA9" w:rsidP="00A4602D">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346FE2">
              <w:rPr>
                <w:color w:val="000000" w:themeColor="text1"/>
                <w:sz w:val="20"/>
                <w:szCs w:val="20"/>
              </w:rPr>
              <w:t>p-valor</w:t>
            </w:r>
          </w:p>
        </w:tc>
      </w:tr>
      <w:tr w:rsidR="00317EA9" w:rsidRPr="00346FE2" w14:paraId="5508FBC3" w14:textId="77777777" w:rsidTr="00F01A93">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214" w:type="dxa"/>
          </w:tcPr>
          <w:p w14:paraId="749DC047" w14:textId="77777777" w:rsidR="00317EA9" w:rsidRPr="00346FE2" w:rsidRDefault="00317EA9" w:rsidP="00D4452B">
            <w:pPr>
              <w:rPr>
                <w:b w:val="0"/>
                <w:bCs w:val="0"/>
                <w:color w:val="000000" w:themeColor="text1"/>
                <w:sz w:val="20"/>
                <w:szCs w:val="20"/>
              </w:rPr>
            </w:pPr>
            <w:r w:rsidRPr="00346FE2">
              <w:rPr>
                <w:color w:val="000000" w:themeColor="text1"/>
                <w:sz w:val="20"/>
                <w:szCs w:val="20"/>
              </w:rPr>
              <w:t>n (%)</w:t>
            </w:r>
          </w:p>
        </w:tc>
        <w:tc>
          <w:tcPr>
            <w:tcW w:w="1907" w:type="dxa"/>
          </w:tcPr>
          <w:p w14:paraId="62E64DE4" w14:textId="77777777" w:rsidR="00317EA9" w:rsidRPr="00346FE2" w:rsidRDefault="00317EA9" w:rsidP="00A4602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346FE2">
              <w:rPr>
                <w:color w:val="000000" w:themeColor="text1"/>
                <w:sz w:val="20"/>
                <w:szCs w:val="20"/>
              </w:rPr>
              <w:t>12 (29,27)</w:t>
            </w:r>
          </w:p>
        </w:tc>
        <w:tc>
          <w:tcPr>
            <w:tcW w:w="1580" w:type="dxa"/>
          </w:tcPr>
          <w:p w14:paraId="38470576" w14:textId="77777777" w:rsidR="00317EA9" w:rsidRPr="00346FE2" w:rsidRDefault="00317EA9" w:rsidP="00A4602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346FE2">
              <w:rPr>
                <w:color w:val="000000" w:themeColor="text1"/>
                <w:sz w:val="20"/>
                <w:szCs w:val="20"/>
              </w:rPr>
              <w:t>29 (70,73)</w:t>
            </w:r>
          </w:p>
        </w:tc>
        <w:tc>
          <w:tcPr>
            <w:tcW w:w="1113" w:type="dxa"/>
          </w:tcPr>
          <w:p w14:paraId="17A94D59" w14:textId="725BD252" w:rsidR="00317EA9" w:rsidRPr="00346FE2" w:rsidRDefault="00317EA9" w:rsidP="00A4602D">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317EA9" w:rsidRPr="00346FE2" w14:paraId="16E90170" w14:textId="77777777" w:rsidTr="00F01A93">
        <w:trPr>
          <w:trHeight w:val="317"/>
          <w:jc w:val="center"/>
        </w:trPr>
        <w:tc>
          <w:tcPr>
            <w:cnfStyle w:val="001000000000" w:firstRow="0" w:lastRow="0" w:firstColumn="1" w:lastColumn="0" w:oddVBand="0" w:evenVBand="0" w:oddHBand="0" w:evenHBand="0" w:firstRowFirstColumn="0" w:firstRowLastColumn="0" w:lastRowFirstColumn="0" w:lastRowLastColumn="0"/>
            <w:tcW w:w="2214" w:type="dxa"/>
          </w:tcPr>
          <w:p w14:paraId="54AF5D07" w14:textId="77777777" w:rsidR="00317EA9" w:rsidRPr="00346FE2" w:rsidRDefault="00317EA9" w:rsidP="00D4452B">
            <w:pPr>
              <w:rPr>
                <w:b w:val="0"/>
                <w:bCs w:val="0"/>
                <w:color w:val="000000" w:themeColor="text1"/>
                <w:sz w:val="20"/>
                <w:szCs w:val="20"/>
              </w:rPr>
            </w:pPr>
            <w:r w:rsidRPr="00346FE2">
              <w:rPr>
                <w:color w:val="000000" w:themeColor="text1"/>
                <w:sz w:val="20"/>
                <w:szCs w:val="20"/>
              </w:rPr>
              <w:t>HAS (%)</w:t>
            </w:r>
          </w:p>
        </w:tc>
        <w:tc>
          <w:tcPr>
            <w:tcW w:w="1907" w:type="dxa"/>
          </w:tcPr>
          <w:p w14:paraId="6690B2AD" w14:textId="77777777" w:rsidR="00317EA9" w:rsidRPr="00346FE2" w:rsidRDefault="00317EA9" w:rsidP="00A4602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346FE2">
              <w:rPr>
                <w:color w:val="000000" w:themeColor="text1"/>
                <w:sz w:val="20"/>
                <w:szCs w:val="20"/>
              </w:rPr>
              <w:t>7 (63,64)</w:t>
            </w:r>
          </w:p>
        </w:tc>
        <w:tc>
          <w:tcPr>
            <w:tcW w:w="1580" w:type="dxa"/>
          </w:tcPr>
          <w:p w14:paraId="58238E95" w14:textId="77777777" w:rsidR="00317EA9" w:rsidRPr="00346FE2" w:rsidRDefault="00317EA9" w:rsidP="00A4602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346FE2">
              <w:rPr>
                <w:color w:val="000000" w:themeColor="text1"/>
                <w:sz w:val="20"/>
                <w:szCs w:val="20"/>
              </w:rPr>
              <w:t>16 (61,54)</w:t>
            </w:r>
          </w:p>
        </w:tc>
        <w:tc>
          <w:tcPr>
            <w:tcW w:w="1113" w:type="dxa"/>
          </w:tcPr>
          <w:p w14:paraId="6721CE02" w14:textId="76F3E29E" w:rsidR="00317EA9" w:rsidRPr="00346FE2" w:rsidRDefault="00317EA9" w:rsidP="00A4602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346FE2">
              <w:rPr>
                <w:color w:val="000000" w:themeColor="text1"/>
                <w:sz w:val="20"/>
                <w:szCs w:val="20"/>
              </w:rPr>
              <w:t>1,00</w:t>
            </w:r>
            <w:r w:rsidR="00191AA5" w:rsidRPr="00346FE2">
              <w:rPr>
                <w:color w:val="000000" w:themeColor="text1"/>
                <w:sz w:val="20"/>
                <w:szCs w:val="20"/>
                <w:vertAlign w:val="superscript"/>
              </w:rPr>
              <w:t>1</w:t>
            </w:r>
          </w:p>
        </w:tc>
      </w:tr>
      <w:tr w:rsidR="00317EA9" w:rsidRPr="00346FE2" w14:paraId="0A0D402A" w14:textId="77777777" w:rsidTr="00F01A93">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214" w:type="dxa"/>
          </w:tcPr>
          <w:p w14:paraId="03E8EFF2" w14:textId="77777777" w:rsidR="00317EA9" w:rsidRPr="00346FE2" w:rsidRDefault="00317EA9" w:rsidP="00D4452B">
            <w:pPr>
              <w:rPr>
                <w:b w:val="0"/>
                <w:bCs w:val="0"/>
                <w:color w:val="000000" w:themeColor="text1"/>
                <w:sz w:val="20"/>
                <w:szCs w:val="20"/>
              </w:rPr>
            </w:pPr>
            <w:r w:rsidRPr="00346FE2">
              <w:rPr>
                <w:color w:val="000000" w:themeColor="text1"/>
                <w:sz w:val="20"/>
                <w:szCs w:val="20"/>
              </w:rPr>
              <w:t>Diabetes (%)</w:t>
            </w:r>
          </w:p>
        </w:tc>
        <w:tc>
          <w:tcPr>
            <w:tcW w:w="1907" w:type="dxa"/>
          </w:tcPr>
          <w:p w14:paraId="1A49CA9E" w14:textId="77777777" w:rsidR="00317EA9" w:rsidRPr="00346FE2" w:rsidRDefault="00317EA9" w:rsidP="00A4602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346FE2">
              <w:rPr>
                <w:color w:val="000000" w:themeColor="text1"/>
                <w:sz w:val="20"/>
                <w:szCs w:val="20"/>
              </w:rPr>
              <w:t>3 (27,27)</w:t>
            </w:r>
          </w:p>
        </w:tc>
        <w:tc>
          <w:tcPr>
            <w:tcW w:w="1580" w:type="dxa"/>
          </w:tcPr>
          <w:p w14:paraId="1BEECF9D" w14:textId="77777777" w:rsidR="00317EA9" w:rsidRPr="00346FE2" w:rsidRDefault="00317EA9" w:rsidP="00A4602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346FE2">
              <w:rPr>
                <w:color w:val="000000" w:themeColor="text1"/>
                <w:sz w:val="20"/>
                <w:szCs w:val="20"/>
              </w:rPr>
              <w:t>5 (19,23)</w:t>
            </w:r>
          </w:p>
        </w:tc>
        <w:tc>
          <w:tcPr>
            <w:tcW w:w="1113" w:type="dxa"/>
          </w:tcPr>
          <w:p w14:paraId="339F8710" w14:textId="11B8C854" w:rsidR="00317EA9" w:rsidRPr="00346FE2" w:rsidRDefault="00317EA9" w:rsidP="00A4602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346FE2">
              <w:rPr>
                <w:color w:val="000000" w:themeColor="text1"/>
                <w:sz w:val="20"/>
                <w:szCs w:val="20"/>
              </w:rPr>
              <w:t>0,67</w:t>
            </w:r>
            <w:r w:rsidR="00191AA5" w:rsidRPr="00346FE2">
              <w:rPr>
                <w:color w:val="000000" w:themeColor="text1"/>
                <w:sz w:val="20"/>
                <w:szCs w:val="20"/>
                <w:vertAlign w:val="superscript"/>
              </w:rPr>
              <w:t>1</w:t>
            </w:r>
          </w:p>
        </w:tc>
      </w:tr>
      <w:tr w:rsidR="00317EA9" w:rsidRPr="00346FE2" w14:paraId="7B121EC8" w14:textId="77777777" w:rsidTr="00F01A93">
        <w:trPr>
          <w:trHeight w:val="317"/>
          <w:jc w:val="center"/>
        </w:trPr>
        <w:tc>
          <w:tcPr>
            <w:cnfStyle w:val="001000000000" w:firstRow="0" w:lastRow="0" w:firstColumn="1" w:lastColumn="0" w:oddVBand="0" w:evenVBand="0" w:oddHBand="0" w:evenHBand="0" w:firstRowFirstColumn="0" w:firstRowLastColumn="0" w:lastRowFirstColumn="0" w:lastRowLastColumn="0"/>
            <w:tcW w:w="2214" w:type="dxa"/>
          </w:tcPr>
          <w:p w14:paraId="39634C72" w14:textId="77777777" w:rsidR="00317EA9" w:rsidRPr="00346FE2" w:rsidRDefault="00317EA9" w:rsidP="00D4452B">
            <w:pPr>
              <w:rPr>
                <w:b w:val="0"/>
                <w:bCs w:val="0"/>
                <w:color w:val="000000" w:themeColor="text1"/>
                <w:sz w:val="20"/>
                <w:szCs w:val="20"/>
              </w:rPr>
            </w:pPr>
            <w:r w:rsidRPr="00346FE2">
              <w:rPr>
                <w:color w:val="000000" w:themeColor="text1"/>
                <w:sz w:val="20"/>
                <w:szCs w:val="20"/>
              </w:rPr>
              <w:t>Dislipidemia (%)</w:t>
            </w:r>
          </w:p>
        </w:tc>
        <w:tc>
          <w:tcPr>
            <w:tcW w:w="1907" w:type="dxa"/>
          </w:tcPr>
          <w:p w14:paraId="31788C4E" w14:textId="77777777" w:rsidR="00317EA9" w:rsidRPr="00346FE2" w:rsidRDefault="00317EA9" w:rsidP="00A4602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346FE2">
              <w:rPr>
                <w:color w:val="000000" w:themeColor="text1"/>
                <w:sz w:val="20"/>
                <w:szCs w:val="20"/>
              </w:rPr>
              <w:t>3 (27,27)</w:t>
            </w:r>
          </w:p>
        </w:tc>
        <w:tc>
          <w:tcPr>
            <w:tcW w:w="1580" w:type="dxa"/>
          </w:tcPr>
          <w:p w14:paraId="78AB4C79" w14:textId="77777777" w:rsidR="00317EA9" w:rsidRPr="00346FE2" w:rsidRDefault="00317EA9" w:rsidP="00A4602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346FE2">
              <w:rPr>
                <w:color w:val="000000" w:themeColor="text1"/>
                <w:sz w:val="20"/>
                <w:szCs w:val="20"/>
              </w:rPr>
              <w:t>8 (30,77)</w:t>
            </w:r>
          </w:p>
        </w:tc>
        <w:tc>
          <w:tcPr>
            <w:tcW w:w="1113" w:type="dxa"/>
          </w:tcPr>
          <w:p w14:paraId="5EA1AA60" w14:textId="78EA059F" w:rsidR="00317EA9" w:rsidRPr="00346FE2" w:rsidRDefault="00317EA9" w:rsidP="00A4602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346FE2">
              <w:rPr>
                <w:color w:val="000000" w:themeColor="text1"/>
                <w:sz w:val="20"/>
                <w:szCs w:val="20"/>
              </w:rPr>
              <w:t>1,00</w:t>
            </w:r>
            <w:r w:rsidR="00191AA5" w:rsidRPr="00346FE2">
              <w:rPr>
                <w:color w:val="000000" w:themeColor="text1"/>
                <w:sz w:val="20"/>
                <w:szCs w:val="20"/>
                <w:vertAlign w:val="superscript"/>
              </w:rPr>
              <w:t>1</w:t>
            </w:r>
          </w:p>
        </w:tc>
      </w:tr>
    </w:tbl>
    <w:p w14:paraId="37FFCF53" w14:textId="0A4EF1EE" w:rsidR="00F01A93" w:rsidRPr="00A322DB" w:rsidRDefault="00A22143" w:rsidP="00A322DB">
      <w:pPr>
        <w:rPr>
          <w:color w:val="000000" w:themeColor="text1"/>
          <w:sz w:val="22"/>
          <w:szCs w:val="22"/>
        </w:rPr>
      </w:pPr>
      <w:r w:rsidRPr="00A322DB">
        <w:rPr>
          <w:color w:val="000000" w:themeColor="text1"/>
          <w:sz w:val="22"/>
          <w:szCs w:val="22"/>
        </w:rPr>
        <w:t xml:space="preserve">                       Fonte: Dados da pesquisa.</w:t>
      </w:r>
    </w:p>
    <w:p w14:paraId="45C418BC" w14:textId="2FBE7CEF" w:rsidR="00F012A2" w:rsidRPr="00A322DB" w:rsidRDefault="00A22143" w:rsidP="00B1381F">
      <w:pPr>
        <w:rPr>
          <w:color w:val="000000" w:themeColor="text1"/>
          <w:sz w:val="22"/>
          <w:szCs w:val="22"/>
          <w:vertAlign w:val="superscript"/>
        </w:rPr>
      </w:pPr>
      <w:r w:rsidRPr="00A322DB">
        <w:rPr>
          <w:color w:val="000000" w:themeColor="text1"/>
          <w:sz w:val="22"/>
          <w:szCs w:val="22"/>
        </w:rPr>
        <w:t xml:space="preserve">                       Legenda: </w:t>
      </w:r>
      <w:r w:rsidR="00F012A2" w:rsidRPr="00A322DB">
        <w:rPr>
          <w:color w:val="000000" w:themeColor="text1"/>
          <w:sz w:val="22"/>
          <w:szCs w:val="22"/>
        </w:rPr>
        <w:t>Med = mediana; IIQ= Intervalo Interquartílico</w:t>
      </w:r>
      <w:r w:rsidR="00B1381F">
        <w:rPr>
          <w:color w:val="000000" w:themeColor="text1"/>
          <w:sz w:val="22"/>
          <w:szCs w:val="22"/>
        </w:rPr>
        <w:t xml:space="preserve"> </w:t>
      </w:r>
      <w:r w:rsidR="00F012A2" w:rsidRPr="00A322DB">
        <w:rPr>
          <w:color w:val="000000" w:themeColor="text1"/>
          <w:sz w:val="22"/>
          <w:szCs w:val="22"/>
        </w:rPr>
        <w:t>Teste Exato de Fisher</w:t>
      </w:r>
      <w:r w:rsidR="009342A3" w:rsidRPr="00A322DB">
        <w:rPr>
          <w:color w:val="000000" w:themeColor="text1"/>
          <w:sz w:val="22"/>
          <w:szCs w:val="22"/>
          <w:vertAlign w:val="superscript"/>
        </w:rPr>
        <w:t>1</w:t>
      </w:r>
    </w:p>
    <w:p w14:paraId="70856147" w14:textId="148AA591" w:rsidR="002617A6" w:rsidRDefault="002617A6" w:rsidP="00B16887"/>
    <w:p w14:paraId="558C81C2" w14:textId="77777777" w:rsidR="00A322DB" w:rsidRDefault="00A322DB" w:rsidP="00B16887"/>
    <w:p w14:paraId="2B6896D0" w14:textId="4134ADF9" w:rsidR="00F01A93" w:rsidRDefault="00123738" w:rsidP="000B358B">
      <w:pPr>
        <w:pStyle w:val="PargrafodaLista"/>
        <w:numPr>
          <w:ilvl w:val="0"/>
          <w:numId w:val="35"/>
        </w:numPr>
        <w:spacing w:before="30" w:line="360" w:lineRule="auto"/>
        <w:jc w:val="both"/>
        <w:rPr>
          <w:b/>
          <w:bCs/>
        </w:rPr>
      </w:pPr>
      <w:r w:rsidRPr="00D4452B">
        <w:rPr>
          <w:b/>
          <w:bCs/>
        </w:rPr>
        <w:t>rs</w:t>
      </w:r>
      <w:r w:rsidR="00CB0AB4" w:rsidRPr="00D4452B">
        <w:rPr>
          <w:b/>
          <w:bCs/>
        </w:rPr>
        <w:t>978055</w:t>
      </w:r>
    </w:p>
    <w:p w14:paraId="5125804E" w14:textId="77777777" w:rsidR="00F85264" w:rsidRPr="00D4452B" w:rsidRDefault="00F85264" w:rsidP="00F85264">
      <w:pPr>
        <w:pStyle w:val="PargrafodaLista"/>
        <w:spacing w:before="30" w:line="360" w:lineRule="auto"/>
        <w:ind w:left="1023"/>
        <w:jc w:val="both"/>
        <w:rPr>
          <w:b/>
          <w:bCs/>
        </w:rPr>
      </w:pPr>
    </w:p>
    <w:p w14:paraId="6573EFDE" w14:textId="08430D30" w:rsidR="00123738" w:rsidRPr="00B46F97" w:rsidRDefault="00F01A93" w:rsidP="00F01A93">
      <w:pPr>
        <w:spacing w:before="30" w:line="360" w:lineRule="auto"/>
        <w:jc w:val="both"/>
      </w:pPr>
      <w:r>
        <w:t xml:space="preserve">     </w:t>
      </w:r>
      <w:r w:rsidRPr="00B46F97">
        <w:t>Fizeram genotipagem deste polimorfismo</w:t>
      </w:r>
      <w:r w:rsidR="00A761A8" w:rsidRPr="00B46F97">
        <w:t xml:space="preserve"> </w:t>
      </w:r>
      <w:r w:rsidRPr="00B46F97">
        <w:t xml:space="preserve">57 participantes do estudo. O </w:t>
      </w:r>
      <w:r w:rsidR="00123738" w:rsidRPr="00B46F97">
        <w:t xml:space="preserve">alelo selvagem é </w:t>
      </w:r>
      <w:r w:rsidR="00CB0AB4" w:rsidRPr="00B46F97">
        <w:t>T</w:t>
      </w:r>
      <w:r w:rsidR="00123738" w:rsidRPr="00B46F97">
        <w:t xml:space="preserve"> e o</w:t>
      </w:r>
      <w:r w:rsidR="00A761A8" w:rsidRPr="00B46F97">
        <w:t xml:space="preserve"> polimórfico, </w:t>
      </w:r>
      <w:r w:rsidR="00CB0AB4" w:rsidRPr="00B46F97">
        <w:t>A</w:t>
      </w:r>
      <w:r w:rsidR="00F1092E" w:rsidRPr="00B46F97">
        <w:t xml:space="preserve">; </w:t>
      </w:r>
      <w:r w:rsidR="00CB0AB4" w:rsidRPr="00B46F97">
        <w:t>21</w:t>
      </w:r>
      <w:r w:rsidR="00123738" w:rsidRPr="00B46F97">
        <w:t xml:space="preserve"> </w:t>
      </w:r>
      <w:r w:rsidRPr="00B46F97">
        <w:t xml:space="preserve">(36,84%) participantes </w:t>
      </w:r>
      <w:r w:rsidR="00123738" w:rsidRPr="00B46F97">
        <w:t xml:space="preserve">apresentavam o genótipo </w:t>
      </w:r>
      <w:r w:rsidR="00CB0AB4" w:rsidRPr="00B46F97">
        <w:t>T/T</w:t>
      </w:r>
      <w:r w:rsidR="00123738" w:rsidRPr="00B46F97">
        <w:t xml:space="preserve"> </w:t>
      </w:r>
      <w:r w:rsidR="00CB0AB4" w:rsidRPr="00B46F97">
        <w:t xml:space="preserve">e </w:t>
      </w:r>
      <w:r w:rsidR="00123738" w:rsidRPr="00B46F97">
        <w:t>36</w:t>
      </w:r>
      <w:r w:rsidRPr="00B46F97">
        <w:t xml:space="preserve"> (63,16%), </w:t>
      </w:r>
      <w:r w:rsidR="00123738" w:rsidRPr="00B46F97">
        <w:t xml:space="preserve">apresentavam o genótipo </w:t>
      </w:r>
      <w:r w:rsidR="00CB0AB4" w:rsidRPr="00B46F97">
        <w:t>A/A</w:t>
      </w:r>
      <w:r w:rsidR="00123738" w:rsidRPr="00B46F97">
        <w:t xml:space="preserve"> ou </w:t>
      </w:r>
      <w:r w:rsidR="00CB0AB4" w:rsidRPr="00B46F97">
        <w:t>A/T</w:t>
      </w:r>
      <w:r w:rsidRPr="00B46F97">
        <w:t>.</w:t>
      </w:r>
    </w:p>
    <w:p w14:paraId="1C00CD5D" w14:textId="05B68660" w:rsidR="002617A6" w:rsidRDefault="00A761A8" w:rsidP="00123738">
      <w:pPr>
        <w:spacing w:before="30" w:line="360" w:lineRule="auto"/>
        <w:jc w:val="both"/>
      </w:pPr>
      <w:r w:rsidRPr="00B46F97">
        <w:lastRenderedPageBreak/>
        <w:t xml:space="preserve">     Associação do SNP com função tireoidiana: as </w:t>
      </w:r>
      <w:r w:rsidR="00123738" w:rsidRPr="00B46F97">
        <w:t>m</w:t>
      </w:r>
      <w:r w:rsidR="00A759F0" w:rsidRPr="00B46F97">
        <w:t>edianas</w:t>
      </w:r>
      <w:r w:rsidR="00123738" w:rsidRPr="00B46F97">
        <w:t xml:space="preserve"> do TSH, T3l e T4l para o alelo selvagem em homozigose</w:t>
      </w:r>
      <w:r w:rsidRPr="00B46F97">
        <w:t xml:space="preserve"> (T/T)</w:t>
      </w:r>
      <w:r w:rsidR="00123738" w:rsidRPr="00B46F97">
        <w:t xml:space="preserve"> foram</w:t>
      </w:r>
      <w:r w:rsidR="00FF3069" w:rsidRPr="00B46F97">
        <w:t xml:space="preserve"> </w:t>
      </w:r>
      <w:proofErr w:type="gramStart"/>
      <w:r w:rsidR="00A759F0" w:rsidRPr="00B46F97">
        <w:t>2,34</w:t>
      </w:r>
      <w:r w:rsidR="004A08B0" w:rsidRPr="00B46F97">
        <w:t xml:space="preserve"> </w:t>
      </w:r>
      <w:r w:rsidR="00123738" w:rsidRPr="00B46F97">
        <w:t>mU/L</w:t>
      </w:r>
      <w:proofErr w:type="gramEnd"/>
      <w:r w:rsidRPr="00B46F97">
        <w:t xml:space="preserve"> </w:t>
      </w:r>
      <w:r w:rsidR="00A759F0" w:rsidRPr="00B46F97">
        <w:t>(IIQ=1,25-3,05)</w:t>
      </w:r>
      <w:r w:rsidR="00123738" w:rsidRPr="00B46F97">
        <w:t xml:space="preserve">, </w:t>
      </w:r>
      <w:r w:rsidR="004A08B0" w:rsidRPr="00B46F97">
        <w:t>2,</w:t>
      </w:r>
      <w:r w:rsidR="00A759F0" w:rsidRPr="00B46F97">
        <w:t>92</w:t>
      </w:r>
      <w:r w:rsidR="004A08B0" w:rsidRPr="00B46F97">
        <w:t xml:space="preserve"> </w:t>
      </w:r>
      <w:r w:rsidR="00123738" w:rsidRPr="00B46F97">
        <w:t>pg/dL</w:t>
      </w:r>
      <w:r w:rsidR="00A759F0" w:rsidRPr="00B46F97">
        <w:t xml:space="preserve"> (IIQ=2,66-3,01) </w:t>
      </w:r>
      <w:r w:rsidR="00123738" w:rsidRPr="00B46F97">
        <w:t>e 1</w:t>
      </w:r>
      <w:r w:rsidR="004A08B0" w:rsidRPr="00B46F97">
        <w:t>,</w:t>
      </w:r>
      <w:r w:rsidR="00A759F0" w:rsidRPr="00B46F97">
        <w:t>12</w:t>
      </w:r>
      <w:r w:rsidR="00123738" w:rsidRPr="00B46F97">
        <w:t>g/mL</w:t>
      </w:r>
      <w:r w:rsidR="00A759F0" w:rsidRPr="00B46F97">
        <w:t xml:space="preserve"> (IIQ=1,06-1,2)</w:t>
      </w:r>
      <w:r w:rsidRPr="00B46F97">
        <w:t xml:space="preserve">. Enquanto que, </w:t>
      </w:r>
      <w:r w:rsidR="00123738" w:rsidRPr="00B46F97">
        <w:t>para o alelo polimórfico em homozigose ou heterozigose</w:t>
      </w:r>
      <w:r w:rsidRPr="00B46F97">
        <w:t xml:space="preserve"> (A/A + A/T)</w:t>
      </w:r>
      <w:r w:rsidR="00123738" w:rsidRPr="00B46F97">
        <w:t>,</w:t>
      </w:r>
      <w:r w:rsidRPr="00B46F97">
        <w:t xml:space="preserve"> foram</w:t>
      </w:r>
      <w:r w:rsidR="00FF3069" w:rsidRPr="00B46F97">
        <w:t xml:space="preserve"> </w:t>
      </w:r>
      <w:proofErr w:type="gramStart"/>
      <w:r w:rsidR="00123738" w:rsidRPr="00B46F97">
        <w:t>2</w:t>
      </w:r>
      <w:r w:rsidR="00CB0AB4" w:rsidRPr="00B46F97">
        <w:t>,</w:t>
      </w:r>
      <w:r w:rsidR="00A759F0" w:rsidRPr="00B46F97">
        <w:t>0</w:t>
      </w:r>
      <w:r w:rsidR="00145F81" w:rsidRPr="00B46F97">
        <w:t>8</w:t>
      </w:r>
      <w:r w:rsidR="009342A3" w:rsidRPr="00B46F97">
        <w:t xml:space="preserve"> </w:t>
      </w:r>
      <w:r w:rsidR="00123738" w:rsidRPr="00B46F97">
        <w:t>mU/L</w:t>
      </w:r>
      <w:proofErr w:type="gramEnd"/>
      <w:r w:rsidR="00A759F0" w:rsidRPr="00B46F97">
        <w:t xml:space="preserve"> (IIQ=1,59-2,88)</w:t>
      </w:r>
      <w:r w:rsidR="00123738" w:rsidRPr="00B46F97">
        <w:t>, 2</w:t>
      </w:r>
      <w:r w:rsidR="00A759F0" w:rsidRPr="00B46F97">
        <w:t xml:space="preserve">,74 </w:t>
      </w:r>
      <w:r w:rsidR="00123738" w:rsidRPr="00B46F97">
        <w:t xml:space="preserve">pg/dL </w:t>
      </w:r>
      <w:r w:rsidR="00A759F0" w:rsidRPr="00B46F97">
        <w:t>(2,64-2,92)</w:t>
      </w:r>
      <w:r w:rsidR="00F9415B" w:rsidRPr="00B46F97">
        <w:t xml:space="preserve"> </w:t>
      </w:r>
      <w:r w:rsidR="00123738" w:rsidRPr="00B46F97">
        <w:t xml:space="preserve">e </w:t>
      </w:r>
      <w:r w:rsidR="00CB0AB4" w:rsidRPr="00B46F97">
        <w:t>1,</w:t>
      </w:r>
      <w:r w:rsidR="004A08B0" w:rsidRPr="00B46F97">
        <w:t>1</w:t>
      </w:r>
      <w:r w:rsidR="00A759F0" w:rsidRPr="00B46F97">
        <w:t>4</w:t>
      </w:r>
      <w:r w:rsidR="00A759F0">
        <w:t xml:space="preserve"> </w:t>
      </w:r>
      <w:r w:rsidR="00123738">
        <w:t>ng/mL</w:t>
      </w:r>
      <w:r w:rsidR="00A759F0">
        <w:t xml:space="preserve"> (1,06-1,19)</w:t>
      </w:r>
      <w:r>
        <w:t xml:space="preserve"> (TSH, T3l e T4l, respectivamente). N</w:t>
      </w:r>
      <w:r w:rsidR="002617A6">
        <w:t>ão houve diferença</w:t>
      </w:r>
      <w:r>
        <w:t xml:space="preserve"> estatística significativa entre os dois grupos (T/T vs. A/A + A/T) </w:t>
      </w:r>
      <w:r w:rsidR="002617A6">
        <w:t>(p=0,80; p=0,11; p=0,86</w:t>
      </w:r>
      <w:r>
        <w:t>, respectivamente</w:t>
      </w:r>
      <w:r w:rsidR="002617A6">
        <w:t>)</w:t>
      </w:r>
      <w:r w:rsidR="00123738">
        <w:t>.</w:t>
      </w:r>
      <w:r w:rsidR="00957E5D">
        <w:t xml:space="preserve"> </w:t>
      </w:r>
      <w:r>
        <w:t>Estes d</w:t>
      </w:r>
      <w:r w:rsidR="00957E5D">
        <w:t xml:space="preserve">ados </w:t>
      </w:r>
      <w:r>
        <w:t xml:space="preserve">estão representados no </w:t>
      </w:r>
      <w:r w:rsidR="007F35A6">
        <w:t>G</w:t>
      </w:r>
      <w:r w:rsidR="00957E5D">
        <w:t>ráfico 3.</w:t>
      </w:r>
    </w:p>
    <w:p w14:paraId="2140CDE1" w14:textId="77777777" w:rsidR="00145F81" w:rsidRDefault="00145F81" w:rsidP="00123738">
      <w:pPr>
        <w:spacing w:before="30" w:line="360" w:lineRule="auto"/>
        <w:jc w:val="both"/>
      </w:pPr>
    </w:p>
    <w:p w14:paraId="1F920BE2" w14:textId="11F64CE4" w:rsidR="0074475A" w:rsidRPr="00F85264" w:rsidRDefault="00957E5D" w:rsidP="00F85264">
      <w:pPr>
        <w:ind w:left="1134" w:hanging="1134"/>
        <w:jc w:val="both"/>
        <w:rPr>
          <w:sz w:val="22"/>
          <w:szCs w:val="22"/>
        </w:rPr>
      </w:pPr>
      <w:r w:rsidRPr="00F85264">
        <w:rPr>
          <w:b/>
          <w:bCs/>
          <w:sz w:val="22"/>
          <w:szCs w:val="22"/>
        </w:rPr>
        <w:t>Gráfico 3:</w:t>
      </w:r>
      <w:r w:rsidRPr="00F85264">
        <w:rPr>
          <w:sz w:val="22"/>
          <w:szCs w:val="22"/>
        </w:rPr>
        <w:t xml:space="preserve"> </w:t>
      </w:r>
      <w:r w:rsidR="0074475A" w:rsidRPr="00F85264">
        <w:rPr>
          <w:sz w:val="22"/>
          <w:szCs w:val="22"/>
        </w:rPr>
        <w:t xml:space="preserve">Análise da associação entre a função tireoidiana e genotipagem para o polimorfismo rs978055 do gene </w:t>
      </w:r>
      <w:r w:rsidR="0074475A" w:rsidRPr="00F85264">
        <w:rPr>
          <w:i/>
          <w:iCs/>
          <w:sz w:val="22"/>
          <w:szCs w:val="22"/>
        </w:rPr>
        <w:t>DIO2.</w:t>
      </w:r>
      <w:r w:rsidR="0074475A" w:rsidRPr="00F85264">
        <w:rPr>
          <w:sz w:val="22"/>
          <w:szCs w:val="22"/>
        </w:rPr>
        <w:t xml:space="preserve"> Comparação entre indivíduos portadores de alelos selvagem (T/T) e polimórfico (A/A + A/T).</w:t>
      </w:r>
    </w:p>
    <w:p w14:paraId="3168C2A8" w14:textId="5AA77729" w:rsidR="00C52819" w:rsidRDefault="00E104BE" w:rsidP="00CB7DDC">
      <w:pPr>
        <w:spacing w:before="30" w:line="360" w:lineRule="auto"/>
        <w:jc w:val="both"/>
      </w:pPr>
      <w:r w:rsidRPr="004B4E1D">
        <w:rPr>
          <w:noProof/>
          <w:color w:val="000000"/>
          <w:sz w:val="22"/>
          <w:szCs w:val="22"/>
          <w14:textFill>
            <w14:solidFill>
              <w14:srgbClr w14:val="000000">
                <w14:lumMod w14:val="65000"/>
                <w14:lumOff w14:val="35000"/>
              </w14:srgbClr>
            </w14:solidFill>
          </w14:textFill>
        </w:rPr>
        <w:drawing>
          <wp:anchor distT="0" distB="0" distL="114300" distR="114300" simplePos="0" relativeHeight="251666432" behindDoc="1" locked="0" layoutInCell="1" allowOverlap="1" wp14:anchorId="4F46BEEF" wp14:editId="5C31B1EF">
            <wp:simplePos x="0" y="0"/>
            <wp:positionH relativeFrom="column">
              <wp:posOffset>947420</wp:posOffset>
            </wp:positionH>
            <wp:positionV relativeFrom="paragraph">
              <wp:posOffset>174625</wp:posOffset>
            </wp:positionV>
            <wp:extent cx="2918460" cy="1849120"/>
            <wp:effectExtent l="0" t="0" r="2540" b="5080"/>
            <wp:wrapTight wrapText="bothSides">
              <wp:wrapPolygon edited="0">
                <wp:start x="0" y="0"/>
                <wp:lineTo x="0" y="21511"/>
                <wp:lineTo x="21525" y="21511"/>
                <wp:lineTo x="21525" y="0"/>
                <wp:lineTo x="0" y="0"/>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8376"/>
                    <a:stretch/>
                  </pic:blipFill>
                  <pic:spPr bwMode="auto">
                    <a:xfrm>
                      <a:off x="0" y="0"/>
                      <a:ext cx="2918460" cy="1849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BF9D6" w14:textId="0CAF5C67" w:rsidR="00C52819" w:rsidRDefault="00C52819" w:rsidP="00C52819">
      <w:pPr>
        <w:spacing w:before="30" w:line="360" w:lineRule="auto"/>
        <w:jc w:val="center"/>
      </w:pPr>
    </w:p>
    <w:p w14:paraId="3639DC7E" w14:textId="64CC9FBE" w:rsidR="00C52819" w:rsidRDefault="00C52819" w:rsidP="00CB7DDC">
      <w:pPr>
        <w:spacing w:before="30" w:line="360" w:lineRule="auto"/>
        <w:jc w:val="both"/>
      </w:pPr>
    </w:p>
    <w:p w14:paraId="56E91210" w14:textId="1A4D8C82" w:rsidR="001C7BFD" w:rsidRDefault="001C7BFD" w:rsidP="00CB7DDC">
      <w:pPr>
        <w:spacing w:before="30" w:line="360" w:lineRule="auto"/>
        <w:jc w:val="both"/>
      </w:pPr>
    </w:p>
    <w:p w14:paraId="2C142860" w14:textId="1C5DB9DA" w:rsidR="00957E5D" w:rsidRDefault="00957E5D" w:rsidP="00CB7DDC">
      <w:pPr>
        <w:spacing w:before="30" w:line="360" w:lineRule="auto"/>
        <w:jc w:val="both"/>
      </w:pPr>
    </w:p>
    <w:tbl>
      <w:tblPr>
        <w:tblStyle w:val="TabeladeGrade4-nfase1"/>
        <w:tblpPr w:leftFromText="141" w:rightFromText="141" w:vertAnchor="text" w:horzAnchor="page" w:tblpX="8219" w:tblpYSpec="top"/>
        <w:tblW w:w="0" w:type="auto"/>
        <w:tblLook w:val="04A0" w:firstRow="1" w:lastRow="0" w:firstColumn="1" w:lastColumn="0" w:noHBand="0" w:noVBand="1"/>
      </w:tblPr>
      <w:tblGrid>
        <w:gridCol w:w="2547"/>
      </w:tblGrid>
      <w:tr w:rsidR="00145F81" w:rsidRPr="001D4B35" w14:paraId="3D0FF8AB" w14:textId="77777777" w:rsidTr="00145F8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547" w:type="dxa"/>
            <w:shd w:val="clear" w:color="auto" w:fill="D9E2F3" w:themeFill="accent1" w:themeFillTint="33"/>
          </w:tcPr>
          <w:p w14:paraId="71ADA91C" w14:textId="77777777" w:rsidR="00145F81" w:rsidRPr="00145F81" w:rsidRDefault="00145F81" w:rsidP="00145F81">
            <w:pPr>
              <w:spacing w:before="30" w:line="360" w:lineRule="auto"/>
              <w:jc w:val="center"/>
              <w:rPr>
                <w:b w:val="0"/>
                <w:bCs w:val="0"/>
                <w:color w:val="000000" w:themeColor="text1"/>
                <w:sz w:val="16"/>
                <w:szCs w:val="16"/>
              </w:rPr>
            </w:pPr>
            <w:r w:rsidRPr="00145F81">
              <w:rPr>
                <w:b w:val="0"/>
                <w:bCs w:val="0"/>
                <w:color w:val="000000" w:themeColor="text1"/>
                <w:sz w:val="16"/>
                <w:szCs w:val="16"/>
              </w:rPr>
              <w:t>T/T (n=21)          A/A+A/T (n=36)</w:t>
            </w:r>
          </w:p>
          <w:p w14:paraId="2E3D7AE7" w14:textId="77777777" w:rsidR="00145F81" w:rsidRPr="00145F81" w:rsidRDefault="00145F81" w:rsidP="00145F81">
            <w:pPr>
              <w:spacing w:before="30" w:line="360" w:lineRule="auto"/>
              <w:jc w:val="center"/>
              <w:rPr>
                <w:b w:val="0"/>
                <w:bCs w:val="0"/>
                <w:color w:val="000000" w:themeColor="text1"/>
                <w:sz w:val="16"/>
                <w:szCs w:val="16"/>
              </w:rPr>
            </w:pPr>
            <w:r w:rsidRPr="00145F81">
              <w:rPr>
                <w:b w:val="0"/>
                <w:bCs w:val="0"/>
                <w:color w:val="000000" w:themeColor="text1"/>
                <w:sz w:val="16"/>
                <w:szCs w:val="16"/>
              </w:rPr>
              <w:t>Alelo selvagem = T</w:t>
            </w:r>
          </w:p>
          <w:p w14:paraId="07A0C0C5" w14:textId="77777777" w:rsidR="00145F81" w:rsidRPr="001D4B35" w:rsidRDefault="00145F81" w:rsidP="00145F81">
            <w:pPr>
              <w:spacing w:before="30" w:line="360" w:lineRule="auto"/>
              <w:jc w:val="center"/>
              <w:rPr>
                <w:b w:val="0"/>
                <w:bCs w:val="0"/>
                <w:color w:val="000000" w:themeColor="text1"/>
              </w:rPr>
            </w:pPr>
            <w:r w:rsidRPr="00145F81">
              <w:rPr>
                <w:b w:val="0"/>
                <w:bCs w:val="0"/>
                <w:color w:val="000000" w:themeColor="text1"/>
                <w:sz w:val="16"/>
                <w:szCs w:val="16"/>
              </w:rPr>
              <w:t>Alelo polimórfico = A</w:t>
            </w:r>
          </w:p>
        </w:tc>
      </w:tr>
    </w:tbl>
    <w:p w14:paraId="52AFA4E7" w14:textId="3447D023" w:rsidR="00957E5D" w:rsidRDefault="00957E5D" w:rsidP="00CB7DDC">
      <w:pPr>
        <w:spacing w:before="30" w:line="360" w:lineRule="auto"/>
        <w:jc w:val="both"/>
      </w:pPr>
    </w:p>
    <w:p w14:paraId="7E4C9DC5" w14:textId="5C4D8C98" w:rsidR="00957E5D" w:rsidRDefault="00957E5D" w:rsidP="00CB7DDC">
      <w:pPr>
        <w:spacing w:before="30" w:line="360" w:lineRule="auto"/>
        <w:jc w:val="both"/>
      </w:pPr>
    </w:p>
    <w:p w14:paraId="40E836B8" w14:textId="77777777" w:rsidR="00E104BE" w:rsidRDefault="00E104BE" w:rsidP="00F85264">
      <w:pPr>
        <w:jc w:val="both"/>
      </w:pPr>
    </w:p>
    <w:p w14:paraId="5B1F2C56" w14:textId="2F03C17F" w:rsidR="00A22143" w:rsidRDefault="00A322DB" w:rsidP="0044590E">
      <w:pPr>
        <w:spacing w:before="30" w:line="360" w:lineRule="auto"/>
        <w:rPr>
          <w:color w:val="000000" w:themeColor="text1"/>
          <w:sz w:val="22"/>
          <w:szCs w:val="22"/>
        </w:rPr>
      </w:pPr>
      <w:r>
        <w:rPr>
          <w:color w:val="000000" w:themeColor="text1"/>
          <w:sz w:val="22"/>
          <w:szCs w:val="22"/>
        </w:rPr>
        <w:t xml:space="preserve">                          </w:t>
      </w:r>
      <w:r w:rsidR="00A22143" w:rsidRPr="00231880">
        <w:rPr>
          <w:color w:val="000000" w:themeColor="text1"/>
          <w:sz w:val="22"/>
          <w:szCs w:val="22"/>
        </w:rPr>
        <w:t>Fonte: Dados da pesquisa.</w:t>
      </w:r>
    </w:p>
    <w:p w14:paraId="3E22F024" w14:textId="77777777" w:rsidR="00441C54" w:rsidRPr="00231880" w:rsidRDefault="00441C54" w:rsidP="0044590E">
      <w:pPr>
        <w:spacing w:before="30" w:line="360" w:lineRule="auto"/>
        <w:rPr>
          <w:b/>
          <w:bCs/>
          <w:sz w:val="22"/>
          <w:szCs w:val="22"/>
          <w:u w:val="single"/>
        </w:rPr>
      </w:pPr>
    </w:p>
    <w:p w14:paraId="2E546A82" w14:textId="610F9627" w:rsidR="0044590E" w:rsidRPr="007F35A6" w:rsidRDefault="0044590E" w:rsidP="007F35A6">
      <w:pPr>
        <w:pStyle w:val="PargrafodaLista"/>
        <w:numPr>
          <w:ilvl w:val="0"/>
          <w:numId w:val="35"/>
        </w:numPr>
        <w:spacing w:before="30" w:line="360" w:lineRule="auto"/>
        <w:rPr>
          <w:b/>
          <w:bCs/>
          <w:i/>
          <w:iCs/>
          <w:u w:val="single"/>
        </w:rPr>
      </w:pPr>
      <w:r w:rsidRPr="007F35A6">
        <w:rPr>
          <w:b/>
          <w:bCs/>
          <w:u w:val="single"/>
        </w:rPr>
        <w:t xml:space="preserve">Gene </w:t>
      </w:r>
      <w:r w:rsidRPr="007F35A6">
        <w:rPr>
          <w:b/>
          <w:bCs/>
          <w:i/>
          <w:iCs/>
          <w:u w:val="single"/>
        </w:rPr>
        <w:t>DIO1</w:t>
      </w:r>
    </w:p>
    <w:p w14:paraId="2E0032EE" w14:textId="77777777" w:rsidR="000B358B" w:rsidRPr="0074475A" w:rsidRDefault="000B358B" w:rsidP="0044590E">
      <w:pPr>
        <w:spacing w:before="30" w:line="360" w:lineRule="auto"/>
        <w:rPr>
          <w:u w:val="single"/>
        </w:rPr>
      </w:pPr>
    </w:p>
    <w:p w14:paraId="7786BE1D" w14:textId="50612024" w:rsidR="0044590E" w:rsidRDefault="0044590E" w:rsidP="0044590E">
      <w:pPr>
        <w:spacing w:before="30" w:line="360" w:lineRule="auto"/>
        <w:jc w:val="both"/>
      </w:pPr>
      <w:r>
        <w:t xml:space="preserve">     Para o gene </w:t>
      </w:r>
      <w:r w:rsidRPr="007F35A6">
        <w:rPr>
          <w:i/>
        </w:rPr>
        <w:t>DIO1</w:t>
      </w:r>
      <w:r>
        <w:t xml:space="preserve">, foi selecionado o </w:t>
      </w:r>
      <w:r w:rsidR="004B09ED">
        <w:t>polimorfismo</w:t>
      </w:r>
      <w:r>
        <w:t xml:space="preserve"> </w:t>
      </w:r>
      <w:r w:rsidRPr="00D4452B">
        <w:rPr>
          <w:b/>
          <w:bCs/>
        </w:rPr>
        <w:t>rs2235544</w:t>
      </w:r>
      <w:r>
        <w:t xml:space="preserve">. </w:t>
      </w:r>
      <w:r w:rsidR="0074475A">
        <w:t xml:space="preserve">Fizeram genotipagem deste polimorfismo </w:t>
      </w:r>
      <w:r w:rsidR="00FF3069">
        <w:t>63</w:t>
      </w:r>
      <w:r w:rsidR="0074475A">
        <w:t xml:space="preserve"> participantes do estudo. </w:t>
      </w:r>
      <w:r>
        <w:t>O alelo selvagem é C e o</w:t>
      </w:r>
      <w:r w:rsidR="0074475A">
        <w:t xml:space="preserve"> polimórfico</w:t>
      </w:r>
      <w:r>
        <w:t>, A</w:t>
      </w:r>
      <w:r w:rsidR="00F1092E">
        <w:t xml:space="preserve">; </w:t>
      </w:r>
      <w:r>
        <w:t>26</w:t>
      </w:r>
      <w:r w:rsidR="0074475A">
        <w:t xml:space="preserve"> (41,27%)</w:t>
      </w:r>
      <w:r w:rsidR="00FF3069">
        <w:t xml:space="preserve"> </w:t>
      </w:r>
      <w:r w:rsidR="004B09ED">
        <w:t>participantes</w:t>
      </w:r>
      <w:r>
        <w:t xml:space="preserve"> apresenta</w:t>
      </w:r>
      <w:r w:rsidR="008255EE">
        <w:t>va</w:t>
      </w:r>
      <w:r>
        <w:t>m genótipo C/C</w:t>
      </w:r>
      <w:r w:rsidR="00FF3069">
        <w:t xml:space="preserve"> e</w:t>
      </w:r>
      <w:r>
        <w:t xml:space="preserve"> 37</w:t>
      </w:r>
      <w:r w:rsidR="0074475A">
        <w:t xml:space="preserve"> (58,73%)</w:t>
      </w:r>
      <w:r w:rsidR="007F35A6">
        <w:t>,</w:t>
      </w:r>
      <w:r w:rsidR="008255EE">
        <w:t xml:space="preserve"> </w:t>
      </w:r>
      <w:r>
        <w:t>genótipo A/C ou A/A</w:t>
      </w:r>
      <w:r w:rsidR="0074475A">
        <w:t>.</w:t>
      </w:r>
    </w:p>
    <w:p w14:paraId="73742E0B" w14:textId="11BDDACA" w:rsidR="00CC042A" w:rsidRDefault="0044590E" w:rsidP="00CC042A">
      <w:pPr>
        <w:spacing w:before="30" w:line="360" w:lineRule="auto"/>
        <w:jc w:val="both"/>
      </w:pPr>
      <w:r>
        <w:t xml:space="preserve">     </w:t>
      </w:r>
      <w:r w:rsidR="0074475A">
        <w:t>Associação do SNP com função tireoidiana: as medianas</w:t>
      </w:r>
      <w:r>
        <w:t xml:space="preserve"> do TSH, T3l e T4l para o alelo selvagem em homozigose foram</w:t>
      </w:r>
      <w:r w:rsidR="00FF3069">
        <w:t xml:space="preserve"> </w:t>
      </w:r>
      <w:r>
        <w:t>2.29mU/L</w:t>
      </w:r>
      <w:r w:rsidR="004B09ED">
        <w:t xml:space="preserve"> (IIQ=1,73-2,80)</w:t>
      </w:r>
      <w:r>
        <w:t>, 2.85pg/dL</w:t>
      </w:r>
      <w:r w:rsidR="004B09ED">
        <w:t xml:space="preserve"> (2,69-3,00)</w:t>
      </w:r>
      <w:r>
        <w:t xml:space="preserve"> e 1.16ng/mL</w:t>
      </w:r>
      <w:r w:rsidR="004B09ED">
        <w:t xml:space="preserve"> (1,08-1,26)</w:t>
      </w:r>
      <w:r w:rsidR="00FF3069">
        <w:t>. Enquanto que, para o alelo polimórfico em homozigose ou heterozigose (A/C + A/A)</w:t>
      </w:r>
      <w:r w:rsidR="005F69A0">
        <w:t>,</w:t>
      </w:r>
      <w:r w:rsidR="00FF3069">
        <w:t xml:space="preserve"> foram </w:t>
      </w:r>
      <w:r>
        <w:t>2.04mU/L</w:t>
      </w:r>
      <w:r w:rsidR="00760A4D">
        <w:t xml:space="preserve"> (1,28-3,00)</w:t>
      </w:r>
      <w:r>
        <w:t>, 2.72pg/dL</w:t>
      </w:r>
      <w:r w:rsidR="00760A4D">
        <w:t xml:space="preserve"> (2,52-2,93)</w:t>
      </w:r>
      <w:r>
        <w:t>, 1.12pg/dL</w:t>
      </w:r>
      <w:r w:rsidR="00760A4D">
        <w:t xml:space="preserve"> (1,03-1,18)</w:t>
      </w:r>
      <w:r w:rsidR="00FF3069">
        <w:t xml:space="preserve"> (TSH, T3l e T4l, respectivamente)</w:t>
      </w:r>
      <w:r w:rsidR="00760A4D">
        <w:t>. Não ho</w:t>
      </w:r>
      <w:r w:rsidR="00FF3069">
        <w:t>uve</w:t>
      </w:r>
      <w:r w:rsidR="00760A4D">
        <w:t xml:space="preserve"> diferença</w:t>
      </w:r>
      <w:r w:rsidR="00FF3069">
        <w:t xml:space="preserve"> significativa </w:t>
      </w:r>
      <w:r w:rsidR="00E104BE">
        <w:t xml:space="preserve">entre os </w:t>
      </w:r>
      <w:r w:rsidR="00FF3069">
        <w:t xml:space="preserve">dois </w:t>
      </w:r>
      <w:r w:rsidR="00E104BE">
        <w:t>grupos</w:t>
      </w:r>
      <w:r w:rsidR="00760A4D">
        <w:t xml:space="preserve"> </w:t>
      </w:r>
      <w:r w:rsidR="00FF3069">
        <w:t xml:space="preserve">(C/C vs. A/A + A/C) </w:t>
      </w:r>
      <w:r w:rsidR="00E104BE">
        <w:t>(</w:t>
      </w:r>
      <w:r w:rsidR="00760A4D">
        <w:t>p</w:t>
      </w:r>
      <w:r w:rsidR="00E104BE">
        <w:t>=</w:t>
      </w:r>
      <w:r w:rsidR="00760A4D">
        <w:t>0,8</w:t>
      </w:r>
      <w:r w:rsidR="00E104BE">
        <w:t>1; p=</w:t>
      </w:r>
      <w:r w:rsidR="00760A4D">
        <w:t>0,09</w:t>
      </w:r>
      <w:r w:rsidR="00E104BE">
        <w:t>; p=</w:t>
      </w:r>
      <w:r w:rsidR="00760A4D">
        <w:t>0,13</w:t>
      </w:r>
      <w:r w:rsidR="00FF3069">
        <w:t>; para TSH, T3l e T4l respectivamente</w:t>
      </w:r>
      <w:r w:rsidR="00E104BE">
        <w:t xml:space="preserve">). </w:t>
      </w:r>
      <w:r w:rsidR="00FF3069">
        <w:t>Estes d</w:t>
      </w:r>
      <w:r w:rsidR="00CC042A">
        <w:t xml:space="preserve">ados </w:t>
      </w:r>
      <w:r w:rsidR="00FF3069">
        <w:t>estão representados</w:t>
      </w:r>
      <w:r w:rsidR="007F35A6">
        <w:t xml:space="preserve"> no G</w:t>
      </w:r>
      <w:r w:rsidR="00CC042A">
        <w:t>ráfico 4.</w:t>
      </w:r>
    </w:p>
    <w:p w14:paraId="5B1E2275" w14:textId="77777777" w:rsidR="00E104BE" w:rsidRDefault="00E104BE" w:rsidP="00CC042A">
      <w:pPr>
        <w:spacing w:before="30" w:line="360" w:lineRule="auto"/>
        <w:jc w:val="both"/>
      </w:pPr>
    </w:p>
    <w:p w14:paraId="11A46DD9" w14:textId="24C6DA36" w:rsidR="009462D3" w:rsidRPr="00F85264" w:rsidRDefault="00CC042A" w:rsidP="00F85264">
      <w:pPr>
        <w:ind w:left="1134" w:hanging="1134"/>
        <w:jc w:val="both"/>
        <w:rPr>
          <w:sz w:val="22"/>
          <w:szCs w:val="22"/>
        </w:rPr>
      </w:pPr>
      <w:r w:rsidRPr="00F85264">
        <w:rPr>
          <w:b/>
          <w:bCs/>
          <w:sz w:val="22"/>
          <w:szCs w:val="22"/>
        </w:rPr>
        <w:lastRenderedPageBreak/>
        <w:t>Gráfico 4:</w:t>
      </w:r>
      <w:r w:rsidRPr="00F85264">
        <w:rPr>
          <w:sz w:val="22"/>
          <w:szCs w:val="22"/>
        </w:rPr>
        <w:t xml:space="preserve"> </w:t>
      </w:r>
      <w:r w:rsidR="009462D3" w:rsidRPr="00F85264">
        <w:rPr>
          <w:sz w:val="22"/>
          <w:szCs w:val="22"/>
        </w:rPr>
        <w:t xml:space="preserve">Análise da associação entre a função tireoidiana e genotipagem para o polimorfismo rs2235544 do gene </w:t>
      </w:r>
      <w:r w:rsidR="009462D3" w:rsidRPr="00F85264">
        <w:rPr>
          <w:i/>
          <w:iCs/>
          <w:sz w:val="22"/>
          <w:szCs w:val="22"/>
        </w:rPr>
        <w:t>DIO1.</w:t>
      </w:r>
      <w:r w:rsidR="009462D3" w:rsidRPr="00F85264">
        <w:rPr>
          <w:sz w:val="22"/>
          <w:szCs w:val="22"/>
        </w:rPr>
        <w:t xml:space="preserve"> Comparação entre indivíduos portadores de alelos selvagem (C/C) e polimórfico (A/A + A/C).</w:t>
      </w:r>
    </w:p>
    <w:p w14:paraId="4B175BAD" w14:textId="7BAE21F4" w:rsidR="00CC042A" w:rsidRPr="00145F81" w:rsidRDefault="00CC042A" w:rsidP="00CC042A">
      <w:pPr>
        <w:spacing w:before="30" w:line="360" w:lineRule="auto"/>
        <w:jc w:val="both"/>
      </w:pPr>
    </w:p>
    <w:tbl>
      <w:tblPr>
        <w:tblStyle w:val="TabeladeGrade4-nfase1"/>
        <w:tblpPr w:leftFromText="141" w:rightFromText="141" w:vertAnchor="text" w:horzAnchor="margin" w:tblpXSpec="right" w:tblpY="2188"/>
        <w:tblW w:w="0" w:type="auto"/>
        <w:tblLook w:val="04A0" w:firstRow="1" w:lastRow="0" w:firstColumn="1" w:lastColumn="0" w:noHBand="0" w:noVBand="1"/>
      </w:tblPr>
      <w:tblGrid>
        <w:gridCol w:w="2547"/>
      </w:tblGrid>
      <w:tr w:rsidR="00145F81" w:rsidRPr="001D4B35" w14:paraId="1C8D4595" w14:textId="77777777" w:rsidTr="00145F8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547" w:type="dxa"/>
            <w:shd w:val="clear" w:color="auto" w:fill="D9E2F3" w:themeFill="accent1" w:themeFillTint="33"/>
          </w:tcPr>
          <w:p w14:paraId="25631F3E" w14:textId="77777777" w:rsidR="00145F81" w:rsidRPr="00145F81" w:rsidRDefault="00145F81" w:rsidP="00145F81">
            <w:pPr>
              <w:spacing w:before="30" w:line="360" w:lineRule="auto"/>
              <w:jc w:val="center"/>
              <w:rPr>
                <w:b w:val="0"/>
                <w:bCs w:val="0"/>
                <w:color w:val="000000" w:themeColor="text1"/>
                <w:sz w:val="16"/>
                <w:szCs w:val="16"/>
              </w:rPr>
            </w:pPr>
            <w:r w:rsidRPr="00145F81">
              <w:rPr>
                <w:b w:val="0"/>
                <w:bCs w:val="0"/>
                <w:color w:val="000000" w:themeColor="text1"/>
                <w:sz w:val="16"/>
                <w:szCs w:val="16"/>
              </w:rPr>
              <w:t>C/C (n=26)          A/A+A/C (n=37)</w:t>
            </w:r>
          </w:p>
          <w:p w14:paraId="66B24292" w14:textId="77777777" w:rsidR="00145F81" w:rsidRPr="00145F81" w:rsidRDefault="00145F81" w:rsidP="00145F81">
            <w:pPr>
              <w:spacing w:before="30" w:line="360" w:lineRule="auto"/>
              <w:jc w:val="center"/>
              <w:rPr>
                <w:b w:val="0"/>
                <w:bCs w:val="0"/>
                <w:color w:val="000000" w:themeColor="text1"/>
                <w:sz w:val="16"/>
                <w:szCs w:val="16"/>
              </w:rPr>
            </w:pPr>
            <w:r w:rsidRPr="00145F81">
              <w:rPr>
                <w:b w:val="0"/>
                <w:bCs w:val="0"/>
                <w:color w:val="000000" w:themeColor="text1"/>
                <w:sz w:val="16"/>
                <w:szCs w:val="16"/>
              </w:rPr>
              <w:t>Alelo selvagem = C</w:t>
            </w:r>
          </w:p>
          <w:p w14:paraId="5FB0CBF4" w14:textId="77777777" w:rsidR="00145F81" w:rsidRPr="001D4B35" w:rsidRDefault="00145F81" w:rsidP="00145F81">
            <w:pPr>
              <w:spacing w:before="30" w:line="360" w:lineRule="auto"/>
              <w:jc w:val="center"/>
              <w:rPr>
                <w:b w:val="0"/>
                <w:bCs w:val="0"/>
                <w:color w:val="000000" w:themeColor="text1"/>
              </w:rPr>
            </w:pPr>
            <w:r w:rsidRPr="00145F81">
              <w:rPr>
                <w:b w:val="0"/>
                <w:bCs w:val="0"/>
                <w:color w:val="000000" w:themeColor="text1"/>
                <w:sz w:val="16"/>
                <w:szCs w:val="16"/>
              </w:rPr>
              <w:t>Alelo polimórfico = A</w:t>
            </w:r>
          </w:p>
        </w:tc>
      </w:tr>
    </w:tbl>
    <w:p w14:paraId="21919533" w14:textId="74232DE5" w:rsidR="00E104BE" w:rsidRDefault="00CC042A" w:rsidP="00E104BE">
      <w:pPr>
        <w:spacing w:before="30" w:line="360" w:lineRule="auto"/>
        <w:jc w:val="center"/>
      </w:pPr>
      <w:r>
        <w:rPr>
          <w:noProof/>
        </w:rPr>
        <w:drawing>
          <wp:inline distT="0" distB="0" distL="0" distR="0" wp14:anchorId="1B0F1824" wp14:editId="34D08EEC">
            <wp:extent cx="2725540" cy="1980054"/>
            <wp:effectExtent l="0" t="0" r="508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9486" cy="2026510"/>
                    </a:xfrm>
                    <a:prstGeom prst="rect">
                      <a:avLst/>
                    </a:prstGeom>
                  </pic:spPr>
                </pic:pic>
              </a:graphicData>
            </a:graphic>
          </wp:inline>
        </w:drawing>
      </w:r>
    </w:p>
    <w:p w14:paraId="446FBA15" w14:textId="77777777" w:rsidR="00231880" w:rsidRPr="00231880" w:rsidRDefault="00F85264" w:rsidP="00231880">
      <w:pPr>
        <w:spacing w:before="30" w:line="360" w:lineRule="auto"/>
        <w:rPr>
          <w:b/>
          <w:bCs/>
          <w:sz w:val="22"/>
          <w:szCs w:val="22"/>
          <w:u w:val="single"/>
        </w:rPr>
      </w:pPr>
      <w:r>
        <w:t xml:space="preserve">                   </w:t>
      </w:r>
      <w:r>
        <w:rPr>
          <w:sz w:val="22"/>
          <w:szCs w:val="22"/>
        </w:rPr>
        <w:t xml:space="preserve">Fonte: </w:t>
      </w:r>
      <w:r w:rsidR="00231880" w:rsidRPr="00231880">
        <w:rPr>
          <w:color w:val="000000" w:themeColor="text1"/>
          <w:sz w:val="22"/>
          <w:szCs w:val="22"/>
        </w:rPr>
        <w:t>Dados da pesquisa.</w:t>
      </w:r>
    </w:p>
    <w:p w14:paraId="779657CA" w14:textId="48437336" w:rsidR="00E104BE" w:rsidRDefault="00E104BE" w:rsidP="00CB7DDC">
      <w:pPr>
        <w:spacing w:before="30" w:line="360" w:lineRule="auto"/>
        <w:jc w:val="both"/>
        <w:rPr>
          <w:sz w:val="22"/>
          <w:szCs w:val="22"/>
        </w:rPr>
      </w:pPr>
    </w:p>
    <w:p w14:paraId="5561C6B9" w14:textId="068C9FE3" w:rsidR="00886A03" w:rsidRPr="00A322DB" w:rsidRDefault="00445F50" w:rsidP="00A322DB">
      <w:pPr>
        <w:pStyle w:val="PargrafodaLista"/>
        <w:numPr>
          <w:ilvl w:val="0"/>
          <w:numId w:val="35"/>
        </w:numPr>
        <w:spacing w:before="30" w:line="360" w:lineRule="auto"/>
        <w:rPr>
          <w:b/>
          <w:bCs/>
          <w:i/>
          <w:iCs/>
          <w:u w:val="single"/>
        </w:rPr>
      </w:pPr>
      <w:r w:rsidRPr="00A322DB">
        <w:rPr>
          <w:b/>
          <w:bCs/>
          <w:u w:val="single"/>
        </w:rPr>
        <w:t>Gene</w:t>
      </w:r>
      <w:r w:rsidRPr="00A322DB">
        <w:rPr>
          <w:b/>
          <w:bCs/>
          <w:i/>
          <w:iCs/>
          <w:u w:val="single"/>
        </w:rPr>
        <w:t xml:space="preserve"> </w:t>
      </w:r>
      <w:r w:rsidR="007614E7" w:rsidRPr="00A322DB">
        <w:rPr>
          <w:b/>
          <w:bCs/>
          <w:i/>
          <w:iCs/>
          <w:u w:val="single"/>
        </w:rPr>
        <w:t>GLIS3</w:t>
      </w:r>
    </w:p>
    <w:p w14:paraId="5BDE7159" w14:textId="7FAF51C6" w:rsidR="005F69A0" w:rsidRDefault="005F69A0" w:rsidP="007614E7">
      <w:pPr>
        <w:spacing w:before="30" w:line="360" w:lineRule="auto"/>
        <w:rPr>
          <w:i/>
          <w:iCs/>
          <w:u w:val="single"/>
        </w:rPr>
      </w:pPr>
    </w:p>
    <w:p w14:paraId="070CEB11" w14:textId="7DCC990B" w:rsidR="007614E7" w:rsidRDefault="005F69A0" w:rsidP="00445F50">
      <w:pPr>
        <w:spacing w:before="30" w:line="360" w:lineRule="auto"/>
        <w:jc w:val="both"/>
      </w:pPr>
      <w:r>
        <w:t xml:space="preserve">     Para o gene </w:t>
      </w:r>
      <w:r w:rsidRPr="005F69A0">
        <w:rPr>
          <w:i/>
          <w:iCs/>
        </w:rPr>
        <w:t>GLIS3</w:t>
      </w:r>
      <w:r>
        <w:t xml:space="preserve">, </w:t>
      </w:r>
      <w:r w:rsidR="007F35A6">
        <w:t>selecionou-se</w:t>
      </w:r>
      <w:r>
        <w:t xml:space="preserve"> o polimorfismo </w:t>
      </w:r>
      <w:r w:rsidRPr="00D4452B">
        <w:rPr>
          <w:b/>
          <w:bCs/>
        </w:rPr>
        <w:t>rs1571583</w:t>
      </w:r>
      <w:r>
        <w:t xml:space="preserve">. Fizeram genotipagem deste polimorfismo 63 participantes do estudo. O alelo selvagem é A e o polimórfico, G; </w:t>
      </w:r>
      <w:r w:rsidR="00485966">
        <w:t>5</w:t>
      </w:r>
      <w:r w:rsidR="00760A4D">
        <w:t xml:space="preserve"> </w:t>
      </w:r>
      <w:r>
        <w:t>(7,81%)</w:t>
      </w:r>
      <w:r w:rsidR="00760A4D">
        <w:t xml:space="preserve"> participantes do estudo</w:t>
      </w:r>
      <w:r w:rsidR="007614E7">
        <w:t xml:space="preserve"> apresenta</w:t>
      </w:r>
      <w:r w:rsidR="00760A4D">
        <w:t xml:space="preserve">m </w:t>
      </w:r>
      <w:r w:rsidR="007614E7">
        <w:t xml:space="preserve">o genótipo G/G </w:t>
      </w:r>
      <w:r w:rsidR="00485966">
        <w:t>e</w:t>
      </w:r>
      <w:r w:rsidR="007614E7">
        <w:t xml:space="preserve"> </w:t>
      </w:r>
      <w:r w:rsidR="00485966">
        <w:t>59</w:t>
      </w:r>
      <w:r>
        <w:t xml:space="preserve"> (92,19%), </w:t>
      </w:r>
      <w:r w:rsidR="007614E7">
        <w:t>apresentavam o genótipo</w:t>
      </w:r>
      <w:r w:rsidR="00485966">
        <w:t xml:space="preserve"> A/G </w:t>
      </w:r>
      <w:r>
        <w:t>ou</w:t>
      </w:r>
      <w:r w:rsidR="00485966">
        <w:t xml:space="preserve"> G/G</w:t>
      </w:r>
      <w:r>
        <w:t>.</w:t>
      </w:r>
    </w:p>
    <w:p w14:paraId="0D77F63F" w14:textId="2D18374E" w:rsidR="00957E5D" w:rsidRDefault="00485966" w:rsidP="00957E5D">
      <w:pPr>
        <w:spacing w:before="30" w:line="360" w:lineRule="auto"/>
        <w:jc w:val="both"/>
      </w:pPr>
      <w:r>
        <w:t xml:space="preserve">     </w:t>
      </w:r>
      <w:r w:rsidR="005F69A0">
        <w:t>Associação do SNP com função tireoidiana: as medianas</w:t>
      </w:r>
      <w:r>
        <w:t xml:space="preserve"> do TSH, T3l e T4l para o alelo selvagem em homozigose</w:t>
      </w:r>
      <w:r w:rsidR="005F69A0">
        <w:t xml:space="preserve"> (G/G)</w:t>
      </w:r>
      <w:r>
        <w:t xml:space="preserve"> foram de 1,28mU/L</w:t>
      </w:r>
      <w:r w:rsidR="00760A4D">
        <w:t xml:space="preserve"> (IIQ=1,16-2,13)</w:t>
      </w:r>
      <w:r>
        <w:t>, 2,64pg/dL</w:t>
      </w:r>
      <w:r w:rsidR="00760A4D">
        <w:t xml:space="preserve"> (2,59-</w:t>
      </w:r>
      <w:r w:rsidR="007E5116">
        <w:t>2,90)</w:t>
      </w:r>
      <w:r>
        <w:t xml:space="preserve"> e 1,15ng/mL</w:t>
      </w:r>
      <w:r w:rsidR="007E5116">
        <w:t xml:space="preserve"> (1,14-1,17)</w:t>
      </w:r>
      <w:r w:rsidR="005F69A0">
        <w:t>. Enquanto que,</w:t>
      </w:r>
      <w:r>
        <w:t xml:space="preserve"> para o alelo polimórfico em homozigose ou heterozigose</w:t>
      </w:r>
      <w:r w:rsidR="005F69A0">
        <w:t xml:space="preserve"> (A/G + G/G)</w:t>
      </w:r>
      <w:r>
        <w:t>,</w:t>
      </w:r>
      <w:r w:rsidR="005F69A0">
        <w:t xml:space="preserve"> foram</w:t>
      </w:r>
      <w:r>
        <w:t xml:space="preserve"> 2,24mU/L</w:t>
      </w:r>
      <w:r w:rsidR="007E5116">
        <w:t xml:space="preserve"> (1,6-2,98)</w:t>
      </w:r>
      <w:r>
        <w:t>, 2.79pg/dL</w:t>
      </w:r>
      <w:r w:rsidR="007E5116">
        <w:t xml:space="preserve"> (2,64-3,00)</w:t>
      </w:r>
      <w:r>
        <w:t xml:space="preserve"> e 1.12</w:t>
      </w:r>
      <w:r w:rsidRPr="00125D33">
        <w:t xml:space="preserve"> </w:t>
      </w:r>
      <w:r>
        <w:t>ng/mL</w:t>
      </w:r>
      <w:r w:rsidR="007E5116">
        <w:t xml:space="preserve"> (1,03-1,21)</w:t>
      </w:r>
      <w:r w:rsidR="005F69A0">
        <w:t xml:space="preserve"> (TSH, T3l e T4l, respectivamente)</w:t>
      </w:r>
      <w:r w:rsidR="007E5116">
        <w:t>. O resultado não demonstrou diferença</w:t>
      </w:r>
      <w:r w:rsidR="005F69A0">
        <w:t xml:space="preserve"> significativa </w:t>
      </w:r>
      <w:r w:rsidR="00CD4E89">
        <w:t>(</w:t>
      </w:r>
      <w:r w:rsidR="007E5116">
        <w:t>p</w:t>
      </w:r>
      <w:r w:rsidR="00CD4E89">
        <w:t>=</w:t>
      </w:r>
      <w:r w:rsidR="007E5116">
        <w:t>0,22</w:t>
      </w:r>
      <w:r w:rsidR="00CD4E89">
        <w:t>; p=</w:t>
      </w:r>
      <w:r w:rsidR="007E5116">
        <w:t>0,35</w:t>
      </w:r>
      <w:r w:rsidR="00CD4E89">
        <w:t>; p=</w:t>
      </w:r>
      <w:r w:rsidR="007E5116">
        <w:t>0,90</w:t>
      </w:r>
      <w:r w:rsidR="005F69A0">
        <w:t xml:space="preserve"> para TSH, T3l e T4l respectivamente</w:t>
      </w:r>
      <w:r w:rsidR="00CD4E89">
        <w:t xml:space="preserve">). </w:t>
      </w:r>
      <w:r w:rsidR="005F69A0">
        <w:t>Estes d</w:t>
      </w:r>
      <w:r w:rsidR="00957E5D">
        <w:t>ados</w:t>
      </w:r>
      <w:r w:rsidR="00CD4E89">
        <w:t xml:space="preserve"> </w:t>
      </w:r>
      <w:r w:rsidR="005F69A0">
        <w:t xml:space="preserve">estão representados </w:t>
      </w:r>
      <w:r w:rsidR="00957E5D">
        <w:t xml:space="preserve">no </w:t>
      </w:r>
      <w:r w:rsidR="007F35A6">
        <w:t>G</w:t>
      </w:r>
      <w:r w:rsidR="00957E5D">
        <w:t xml:space="preserve">ráfico </w:t>
      </w:r>
      <w:r w:rsidR="00CC042A">
        <w:t>5</w:t>
      </w:r>
      <w:r w:rsidR="00957E5D">
        <w:t>.</w:t>
      </w:r>
    </w:p>
    <w:p w14:paraId="3F20B950" w14:textId="5D636819" w:rsidR="00025210" w:rsidRDefault="00025210" w:rsidP="00957E5D">
      <w:pPr>
        <w:spacing w:before="30" w:line="360" w:lineRule="auto"/>
        <w:jc w:val="both"/>
      </w:pPr>
    </w:p>
    <w:p w14:paraId="499D6AD0" w14:textId="37177E56" w:rsidR="00441C54" w:rsidRDefault="00441C54" w:rsidP="00957E5D">
      <w:pPr>
        <w:spacing w:before="30" w:line="360" w:lineRule="auto"/>
        <w:jc w:val="both"/>
      </w:pPr>
    </w:p>
    <w:p w14:paraId="1B567BBE" w14:textId="5FD5DAF9" w:rsidR="00441C54" w:rsidRDefault="00441C54" w:rsidP="00957E5D">
      <w:pPr>
        <w:spacing w:before="30" w:line="360" w:lineRule="auto"/>
        <w:jc w:val="both"/>
      </w:pPr>
    </w:p>
    <w:p w14:paraId="2A3E7014" w14:textId="385E7F24" w:rsidR="00441C54" w:rsidRDefault="00441C54" w:rsidP="00957E5D">
      <w:pPr>
        <w:spacing w:before="30" w:line="360" w:lineRule="auto"/>
        <w:jc w:val="both"/>
      </w:pPr>
    </w:p>
    <w:p w14:paraId="1C4053AF" w14:textId="77777777" w:rsidR="00441C54" w:rsidRDefault="00441C54" w:rsidP="00957E5D">
      <w:pPr>
        <w:spacing w:before="30" w:line="360" w:lineRule="auto"/>
        <w:jc w:val="both"/>
      </w:pPr>
    </w:p>
    <w:p w14:paraId="67C17752" w14:textId="77777777" w:rsidR="00A37AE3" w:rsidRDefault="00A37AE3" w:rsidP="00957E5D">
      <w:pPr>
        <w:spacing w:before="30" w:line="360" w:lineRule="auto"/>
        <w:jc w:val="both"/>
      </w:pPr>
    </w:p>
    <w:p w14:paraId="4C8EFF5F" w14:textId="27BAE159" w:rsidR="005F69A0" w:rsidRPr="00F85264" w:rsidRDefault="00957E5D" w:rsidP="00F85264">
      <w:pPr>
        <w:ind w:left="1134" w:hanging="1134"/>
        <w:jc w:val="both"/>
        <w:rPr>
          <w:sz w:val="22"/>
          <w:szCs w:val="22"/>
        </w:rPr>
      </w:pPr>
      <w:r w:rsidRPr="00F85264">
        <w:rPr>
          <w:b/>
          <w:bCs/>
          <w:sz w:val="22"/>
          <w:szCs w:val="22"/>
        </w:rPr>
        <w:lastRenderedPageBreak/>
        <w:t xml:space="preserve">Gráfico </w:t>
      </w:r>
      <w:r w:rsidR="00CC042A" w:rsidRPr="00F85264">
        <w:rPr>
          <w:b/>
          <w:bCs/>
          <w:sz w:val="22"/>
          <w:szCs w:val="22"/>
        </w:rPr>
        <w:t>5</w:t>
      </w:r>
      <w:r w:rsidRPr="00F85264">
        <w:rPr>
          <w:b/>
          <w:bCs/>
          <w:sz w:val="22"/>
          <w:szCs w:val="22"/>
        </w:rPr>
        <w:t>:</w:t>
      </w:r>
      <w:r w:rsidRPr="00F85264">
        <w:rPr>
          <w:sz w:val="22"/>
          <w:szCs w:val="22"/>
        </w:rPr>
        <w:t xml:space="preserve"> </w:t>
      </w:r>
      <w:r w:rsidR="005F69A0" w:rsidRPr="00F85264">
        <w:rPr>
          <w:sz w:val="22"/>
          <w:szCs w:val="22"/>
        </w:rPr>
        <w:t>Análise da associação entre a função tireoidiana e genotipagem para o polimorfismo rs1571583</w:t>
      </w:r>
      <w:r w:rsidR="009462D3" w:rsidRPr="00F85264">
        <w:rPr>
          <w:sz w:val="22"/>
          <w:szCs w:val="22"/>
        </w:rPr>
        <w:t xml:space="preserve"> </w:t>
      </w:r>
      <w:r w:rsidR="005F69A0" w:rsidRPr="00F85264">
        <w:rPr>
          <w:sz w:val="22"/>
          <w:szCs w:val="22"/>
        </w:rPr>
        <w:t xml:space="preserve">do gene </w:t>
      </w:r>
      <w:r w:rsidR="009462D3" w:rsidRPr="00F85264">
        <w:rPr>
          <w:i/>
          <w:iCs/>
          <w:sz w:val="22"/>
          <w:szCs w:val="22"/>
        </w:rPr>
        <w:t>GLIS3</w:t>
      </w:r>
      <w:r w:rsidR="005F69A0" w:rsidRPr="00F85264">
        <w:rPr>
          <w:i/>
          <w:iCs/>
          <w:sz w:val="22"/>
          <w:szCs w:val="22"/>
        </w:rPr>
        <w:t>.</w:t>
      </w:r>
      <w:r w:rsidR="005F69A0" w:rsidRPr="00F85264">
        <w:rPr>
          <w:sz w:val="22"/>
          <w:szCs w:val="22"/>
        </w:rPr>
        <w:t xml:space="preserve"> Comparação entre indivíduos portadores de alelos selvagem (</w:t>
      </w:r>
      <w:r w:rsidR="004170F8" w:rsidRPr="00F85264">
        <w:rPr>
          <w:sz w:val="22"/>
          <w:szCs w:val="22"/>
        </w:rPr>
        <w:t>A/A</w:t>
      </w:r>
      <w:r w:rsidR="005F69A0" w:rsidRPr="00F85264">
        <w:rPr>
          <w:sz w:val="22"/>
          <w:szCs w:val="22"/>
        </w:rPr>
        <w:t>) e polimórfico (</w:t>
      </w:r>
      <w:r w:rsidR="004170F8" w:rsidRPr="00F85264">
        <w:rPr>
          <w:sz w:val="22"/>
          <w:szCs w:val="22"/>
        </w:rPr>
        <w:t>G/G</w:t>
      </w:r>
      <w:r w:rsidR="005F69A0" w:rsidRPr="00F85264">
        <w:rPr>
          <w:sz w:val="22"/>
          <w:szCs w:val="22"/>
        </w:rPr>
        <w:t xml:space="preserve"> + </w:t>
      </w:r>
      <w:r w:rsidR="004170F8" w:rsidRPr="00F85264">
        <w:rPr>
          <w:sz w:val="22"/>
          <w:szCs w:val="22"/>
        </w:rPr>
        <w:t>A</w:t>
      </w:r>
      <w:r w:rsidR="009462D3" w:rsidRPr="00F85264">
        <w:rPr>
          <w:sz w:val="22"/>
          <w:szCs w:val="22"/>
        </w:rPr>
        <w:t>/G</w:t>
      </w:r>
      <w:r w:rsidR="005F69A0" w:rsidRPr="00F85264">
        <w:rPr>
          <w:sz w:val="22"/>
          <w:szCs w:val="22"/>
        </w:rPr>
        <w:t>).</w:t>
      </w:r>
    </w:p>
    <w:p w14:paraId="2D790034" w14:textId="16098A3F" w:rsidR="008B3BC5" w:rsidRDefault="008B3BC5" w:rsidP="00445F50">
      <w:pPr>
        <w:spacing w:before="30" w:line="360" w:lineRule="auto"/>
        <w:jc w:val="both"/>
      </w:pPr>
    </w:p>
    <w:tbl>
      <w:tblPr>
        <w:tblStyle w:val="TabeladeGrade4-nfase1"/>
        <w:tblpPr w:leftFromText="141" w:rightFromText="141" w:vertAnchor="text" w:horzAnchor="margin" w:tblpXSpec="right" w:tblpY="2013"/>
        <w:tblW w:w="0" w:type="auto"/>
        <w:tblLook w:val="04A0" w:firstRow="1" w:lastRow="0" w:firstColumn="1" w:lastColumn="0" w:noHBand="0" w:noVBand="1"/>
      </w:tblPr>
      <w:tblGrid>
        <w:gridCol w:w="2547"/>
      </w:tblGrid>
      <w:tr w:rsidR="00145F81" w:rsidRPr="001D4B35" w14:paraId="3D296369" w14:textId="77777777" w:rsidTr="00145F8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547" w:type="dxa"/>
            <w:shd w:val="clear" w:color="auto" w:fill="D9E2F3" w:themeFill="accent1" w:themeFillTint="33"/>
          </w:tcPr>
          <w:p w14:paraId="46390973" w14:textId="41653BAA" w:rsidR="00145F81" w:rsidRPr="00145F81" w:rsidRDefault="00145F81" w:rsidP="00145F81">
            <w:pPr>
              <w:spacing w:before="30" w:line="360" w:lineRule="auto"/>
              <w:jc w:val="center"/>
              <w:rPr>
                <w:b w:val="0"/>
                <w:bCs w:val="0"/>
                <w:color w:val="000000" w:themeColor="text1"/>
                <w:sz w:val="16"/>
                <w:szCs w:val="16"/>
              </w:rPr>
            </w:pPr>
            <w:r w:rsidRPr="00145F81">
              <w:rPr>
                <w:b w:val="0"/>
                <w:bCs w:val="0"/>
                <w:color w:val="000000" w:themeColor="text1"/>
                <w:sz w:val="16"/>
                <w:szCs w:val="16"/>
              </w:rPr>
              <w:t xml:space="preserve">A/A (n=5)          </w:t>
            </w:r>
            <w:r w:rsidR="004170F8">
              <w:rPr>
                <w:b w:val="0"/>
                <w:bCs w:val="0"/>
                <w:color w:val="000000" w:themeColor="text1"/>
                <w:sz w:val="16"/>
                <w:szCs w:val="16"/>
              </w:rPr>
              <w:t>G/G + A/G</w:t>
            </w:r>
            <w:r w:rsidRPr="00145F81">
              <w:rPr>
                <w:b w:val="0"/>
                <w:bCs w:val="0"/>
                <w:color w:val="000000" w:themeColor="text1"/>
                <w:sz w:val="16"/>
                <w:szCs w:val="16"/>
              </w:rPr>
              <w:t xml:space="preserve"> (n=59)</w:t>
            </w:r>
          </w:p>
          <w:p w14:paraId="152C578C" w14:textId="77777777" w:rsidR="00145F81" w:rsidRPr="00145F81" w:rsidRDefault="00145F81" w:rsidP="00145F81">
            <w:pPr>
              <w:spacing w:before="30" w:line="360" w:lineRule="auto"/>
              <w:jc w:val="center"/>
              <w:rPr>
                <w:b w:val="0"/>
                <w:bCs w:val="0"/>
                <w:color w:val="000000" w:themeColor="text1"/>
                <w:sz w:val="16"/>
                <w:szCs w:val="16"/>
              </w:rPr>
            </w:pPr>
            <w:r w:rsidRPr="00145F81">
              <w:rPr>
                <w:b w:val="0"/>
                <w:bCs w:val="0"/>
                <w:color w:val="000000" w:themeColor="text1"/>
                <w:sz w:val="16"/>
                <w:szCs w:val="16"/>
              </w:rPr>
              <w:t>Alelo selvagem = A</w:t>
            </w:r>
          </w:p>
          <w:p w14:paraId="6127565F" w14:textId="77777777" w:rsidR="00145F81" w:rsidRPr="001D4B35" w:rsidRDefault="00145F81" w:rsidP="00145F81">
            <w:pPr>
              <w:spacing w:before="30" w:line="360" w:lineRule="auto"/>
              <w:jc w:val="center"/>
              <w:rPr>
                <w:b w:val="0"/>
                <w:bCs w:val="0"/>
                <w:color w:val="000000" w:themeColor="text1"/>
              </w:rPr>
            </w:pPr>
            <w:r w:rsidRPr="00145F81">
              <w:rPr>
                <w:b w:val="0"/>
                <w:bCs w:val="0"/>
                <w:color w:val="000000" w:themeColor="text1"/>
                <w:sz w:val="16"/>
                <w:szCs w:val="16"/>
              </w:rPr>
              <w:t>Alelo polimórfico = G</w:t>
            </w:r>
          </w:p>
        </w:tc>
      </w:tr>
    </w:tbl>
    <w:p w14:paraId="07094953" w14:textId="2C0E3F4A" w:rsidR="008B3BC5" w:rsidRDefault="00957E5D" w:rsidP="00957E5D">
      <w:pPr>
        <w:spacing w:before="30" w:line="360" w:lineRule="auto"/>
        <w:jc w:val="center"/>
      </w:pPr>
      <w:r w:rsidRPr="007759FB">
        <w:rPr>
          <w:noProof/>
          <w:color w:val="000000"/>
          <w:sz w:val="22"/>
          <w:szCs w:val="22"/>
          <w14:textFill>
            <w14:solidFill>
              <w14:srgbClr w14:val="000000">
                <w14:lumMod w14:val="65000"/>
                <w14:lumOff w14:val="35000"/>
              </w14:srgbClr>
            </w14:solidFill>
          </w14:textFill>
        </w:rPr>
        <w:drawing>
          <wp:inline distT="0" distB="0" distL="0" distR="0" wp14:anchorId="399EB779" wp14:editId="4CB9913C">
            <wp:extent cx="2866954" cy="1858663"/>
            <wp:effectExtent l="0" t="0" r="381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8348"/>
                    <a:stretch/>
                  </pic:blipFill>
                  <pic:spPr bwMode="auto">
                    <a:xfrm>
                      <a:off x="0" y="0"/>
                      <a:ext cx="2965989" cy="1922868"/>
                    </a:xfrm>
                    <a:prstGeom prst="rect">
                      <a:avLst/>
                    </a:prstGeom>
                    <a:noFill/>
                    <a:ln>
                      <a:noFill/>
                    </a:ln>
                    <a:extLst>
                      <a:ext uri="{53640926-AAD7-44D8-BBD7-CCE9431645EC}">
                        <a14:shadowObscured xmlns:a14="http://schemas.microsoft.com/office/drawing/2010/main"/>
                      </a:ext>
                    </a:extLst>
                  </pic:spPr>
                </pic:pic>
              </a:graphicData>
            </a:graphic>
          </wp:inline>
        </w:drawing>
      </w:r>
    </w:p>
    <w:p w14:paraId="4FDEA2BA" w14:textId="77777777" w:rsidR="00231880" w:rsidRPr="00231880" w:rsidRDefault="00F85264" w:rsidP="00231880">
      <w:pPr>
        <w:spacing w:before="30" w:line="360" w:lineRule="auto"/>
        <w:rPr>
          <w:b/>
          <w:bCs/>
          <w:sz w:val="22"/>
          <w:szCs w:val="22"/>
          <w:u w:val="single"/>
        </w:rPr>
      </w:pPr>
      <w:r>
        <w:t xml:space="preserve">                 </w:t>
      </w:r>
      <w:r>
        <w:rPr>
          <w:sz w:val="22"/>
          <w:szCs w:val="22"/>
        </w:rPr>
        <w:t>Fonte:</w:t>
      </w:r>
      <w:r w:rsidR="00231880">
        <w:rPr>
          <w:sz w:val="22"/>
          <w:szCs w:val="22"/>
        </w:rPr>
        <w:t xml:space="preserve"> </w:t>
      </w:r>
      <w:r w:rsidR="00231880" w:rsidRPr="00231880">
        <w:rPr>
          <w:color w:val="000000" w:themeColor="text1"/>
          <w:sz w:val="22"/>
          <w:szCs w:val="22"/>
        </w:rPr>
        <w:t>Dados da pesquisa.</w:t>
      </w:r>
    </w:p>
    <w:p w14:paraId="673D346D" w14:textId="0D429F1C" w:rsidR="009462D3" w:rsidRDefault="009462D3" w:rsidP="007614E7">
      <w:pPr>
        <w:spacing w:before="30" w:line="360" w:lineRule="auto"/>
        <w:rPr>
          <w:sz w:val="22"/>
          <w:szCs w:val="22"/>
        </w:rPr>
      </w:pPr>
    </w:p>
    <w:p w14:paraId="65520C79" w14:textId="77777777" w:rsidR="00A322DB" w:rsidRPr="00F85264" w:rsidRDefault="00A322DB" w:rsidP="007614E7">
      <w:pPr>
        <w:spacing w:before="30" w:line="360" w:lineRule="auto"/>
        <w:rPr>
          <w:sz w:val="22"/>
          <w:szCs w:val="22"/>
        </w:rPr>
      </w:pPr>
    </w:p>
    <w:p w14:paraId="6EB0A9BA" w14:textId="0BF5F38D" w:rsidR="00445F50" w:rsidRPr="00A322DB" w:rsidRDefault="00445F50" w:rsidP="00A322DB">
      <w:pPr>
        <w:pStyle w:val="PargrafodaLista"/>
        <w:numPr>
          <w:ilvl w:val="0"/>
          <w:numId w:val="35"/>
        </w:numPr>
        <w:spacing w:before="30" w:line="360" w:lineRule="auto"/>
        <w:rPr>
          <w:b/>
          <w:bCs/>
          <w:i/>
          <w:iCs/>
          <w:u w:val="single"/>
        </w:rPr>
      </w:pPr>
      <w:r w:rsidRPr="00A322DB">
        <w:rPr>
          <w:b/>
          <w:bCs/>
          <w:u w:val="single"/>
        </w:rPr>
        <w:t>Gene</w:t>
      </w:r>
      <w:r w:rsidRPr="00A322DB">
        <w:rPr>
          <w:b/>
          <w:bCs/>
          <w:i/>
          <w:iCs/>
          <w:u w:val="single"/>
        </w:rPr>
        <w:t xml:space="preserve"> </w:t>
      </w:r>
      <w:r w:rsidR="007614E7" w:rsidRPr="00A322DB">
        <w:rPr>
          <w:b/>
          <w:bCs/>
          <w:i/>
          <w:iCs/>
          <w:u w:val="single"/>
        </w:rPr>
        <w:t>SLC17A4</w:t>
      </w:r>
    </w:p>
    <w:p w14:paraId="758D1DB8" w14:textId="77777777" w:rsidR="000B358B" w:rsidRPr="009462D3" w:rsidRDefault="000B358B" w:rsidP="007614E7">
      <w:pPr>
        <w:spacing w:before="30" w:line="360" w:lineRule="auto"/>
        <w:rPr>
          <w:u w:val="single"/>
        </w:rPr>
      </w:pPr>
    </w:p>
    <w:p w14:paraId="1B2BCF5A" w14:textId="0723ED86" w:rsidR="007614E7" w:rsidRDefault="00445F50" w:rsidP="00445F50">
      <w:pPr>
        <w:spacing w:before="30" w:line="360" w:lineRule="auto"/>
        <w:jc w:val="both"/>
      </w:pPr>
      <w:r>
        <w:t xml:space="preserve">     </w:t>
      </w:r>
      <w:r w:rsidR="007614E7">
        <w:t xml:space="preserve">Para o gene </w:t>
      </w:r>
      <w:r w:rsidR="00CD4E89" w:rsidRPr="00CD4E89">
        <w:rPr>
          <w:i/>
          <w:iCs/>
        </w:rPr>
        <w:t>SLC17A4</w:t>
      </w:r>
      <w:r w:rsidR="00145F81">
        <w:rPr>
          <w:i/>
          <w:iCs/>
        </w:rPr>
        <w:t>,</w:t>
      </w:r>
      <w:r w:rsidR="007614E7">
        <w:t xml:space="preserve"> foi selecionado o </w:t>
      </w:r>
      <w:r w:rsidR="007E5116">
        <w:t xml:space="preserve">polimorfismo </w:t>
      </w:r>
      <w:r w:rsidR="007614E7" w:rsidRPr="004170F8">
        <w:rPr>
          <w:b/>
          <w:bCs/>
        </w:rPr>
        <w:t>rs</w:t>
      </w:r>
      <w:r w:rsidR="00347F25" w:rsidRPr="004170F8">
        <w:rPr>
          <w:b/>
          <w:bCs/>
        </w:rPr>
        <w:t>9356988</w:t>
      </w:r>
      <w:r w:rsidR="007614E7">
        <w:t xml:space="preserve">. </w:t>
      </w:r>
      <w:r w:rsidR="009462D3">
        <w:t xml:space="preserve">Fizeram genotipagem deste polimorfismo 64 participantes do estudo. </w:t>
      </w:r>
      <w:r w:rsidR="007614E7">
        <w:t>O alelo selvagem é G e o</w:t>
      </w:r>
      <w:r w:rsidR="009462D3">
        <w:t xml:space="preserve"> polimórfico, </w:t>
      </w:r>
      <w:r w:rsidR="007614E7">
        <w:t>A</w:t>
      </w:r>
      <w:r w:rsidR="00F1092E">
        <w:t xml:space="preserve">; </w:t>
      </w:r>
      <w:r w:rsidR="007614E7">
        <w:t>3</w:t>
      </w:r>
      <w:r w:rsidR="00347F25">
        <w:t>1</w:t>
      </w:r>
      <w:r w:rsidR="009462D3">
        <w:t xml:space="preserve"> (48,44%)</w:t>
      </w:r>
      <w:r w:rsidR="007614E7">
        <w:t xml:space="preserve"> apresentavam genótipo G/G</w:t>
      </w:r>
      <w:r w:rsidR="009462D3">
        <w:t xml:space="preserve"> e</w:t>
      </w:r>
      <w:r w:rsidR="007614E7">
        <w:t xml:space="preserve"> </w:t>
      </w:r>
      <w:r w:rsidR="00347F25">
        <w:t>33</w:t>
      </w:r>
      <w:r w:rsidR="009462D3">
        <w:t xml:space="preserve"> (51,56%) </w:t>
      </w:r>
      <w:r w:rsidR="007614E7">
        <w:t>apresentavam</w:t>
      </w:r>
      <w:r w:rsidR="009462D3">
        <w:t xml:space="preserve"> </w:t>
      </w:r>
      <w:r w:rsidR="007614E7">
        <w:t>genótipo A/A</w:t>
      </w:r>
      <w:r w:rsidR="00347F25">
        <w:t xml:space="preserve"> </w:t>
      </w:r>
      <w:r w:rsidR="00CD4E89">
        <w:t>ou</w:t>
      </w:r>
      <w:r w:rsidR="00347F25">
        <w:t xml:space="preserve"> A/G</w:t>
      </w:r>
      <w:r w:rsidR="009462D3">
        <w:t>.</w:t>
      </w:r>
    </w:p>
    <w:p w14:paraId="33766B18" w14:textId="6AD71E9D" w:rsidR="00D90D76" w:rsidRDefault="00347F25" w:rsidP="00957E5D">
      <w:pPr>
        <w:spacing w:before="30" w:line="360" w:lineRule="auto"/>
        <w:jc w:val="both"/>
      </w:pPr>
      <w:r>
        <w:t xml:space="preserve">     </w:t>
      </w:r>
      <w:r w:rsidR="009462D3">
        <w:t xml:space="preserve">Associação do SNP com função tireoidiana: as medianas </w:t>
      </w:r>
      <w:r>
        <w:t>do TSH, T3l e T4l para o alelo selvagem em homozigose</w:t>
      </w:r>
      <w:r w:rsidR="009462D3">
        <w:t xml:space="preserve"> (G/G)</w:t>
      </w:r>
      <w:r>
        <w:t xml:space="preserve"> foram</w:t>
      </w:r>
      <w:r w:rsidR="009462D3">
        <w:t xml:space="preserve"> </w:t>
      </w:r>
      <w:r>
        <w:t>1,89mU/L</w:t>
      </w:r>
      <w:r w:rsidR="00690212">
        <w:t xml:space="preserve"> (IIQ=0,98-1,23)</w:t>
      </w:r>
      <w:r>
        <w:t>, 2,75pg/dL</w:t>
      </w:r>
      <w:r w:rsidR="00690212">
        <w:t xml:space="preserve"> (2,59-2,93)</w:t>
      </w:r>
      <w:r>
        <w:t xml:space="preserve"> e 1,11ng/mL</w:t>
      </w:r>
      <w:r w:rsidR="00690212">
        <w:t xml:space="preserve"> (0,98-1,23)</w:t>
      </w:r>
      <w:r w:rsidR="009462D3">
        <w:t>. Enquanto que,</w:t>
      </w:r>
      <w:r>
        <w:t xml:space="preserve"> para o alelo polimórfico em homozigose ou heterozigose</w:t>
      </w:r>
      <w:r w:rsidR="009462D3">
        <w:t xml:space="preserve"> (A/A + A/G)</w:t>
      </w:r>
      <w:r>
        <w:t>,</w:t>
      </w:r>
      <w:r w:rsidR="009462D3">
        <w:t xml:space="preserve"> foram </w:t>
      </w:r>
      <w:r>
        <w:t>2,34mU/L</w:t>
      </w:r>
      <w:r w:rsidR="00690212">
        <w:t xml:space="preserve"> (1,95-3,05)</w:t>
      </w:r>
      <w:r>
        <w:t>, 2.83pg/dL</w:t>
      </w:r>
      <w:r w:rsidR="00690212">
        <w:t xml:space="preserve"> (2,64-3,00)</w:t>
      </w:r>
      <w:r>
        <w:t xml:space="preserve"> e 1.14</w:t>
      </w:r>
      <w:r w:rsidRPr="00125D33">
        <w:t xml:space="preserve"> </w:t>
      </w:r>
      <w:r>
        <w:t>ng/mL</w:t>
      </w:r>
      <w:r w:rsidR="00690212">
        <w:t xml:space="preserve"> (1,10-1,18)</w:t>
      </w:r>
      <w:r w:rsidR="008A50ED" w:rsidRPr="008A50ED">
        <w:t xml:space="preserve"> </w:t>
      </w:r>
      <w:r w:rsidR="008A50ED">
        <w:t>(TSH, T3l e T4l, respectivamente)</w:t>
      </w:r>
      <w:r w:rsidR="00690212">
        <w:t>. O resultado não demonstrou diferença</w:t>
      </w:r>
      <w:r w:rsidR="009462D3">
        <w:t xml:space="preserve"> significativa</w:t>
      </w:r>
      <w:r w:rsidR="00690212">
        <w:t xml:space="preserve"> </w:t>
      </w:r>
      <w:r w:rsidR="00D90D76">
        <w:t>entre os grupos (</w:t>
      </w:r>
      <w:r w:rsidR="00690212">
        <w:t>p</w:t>
      </w:r>
      <w:r w:rsidR="00D90D76">
        <w:t>=</w:t>
      </w:r>
      <w:r w:rsidR="00690212">
        <w:t>0,05</w:t>
      </w:r>
      <w:r w:rsidR="00D90D76">
        <w:t>; p=</w:t>
      </w:r>
      <w:r w:rsidR="00690212">
        <w:t>0,49</w:t>
      </w:r>
      <w:r w:rsidR="00D90D76">
        <w:t>; p=</w:t>
      </w:r>
      <w:r w:rsidR="00690212">
        <w:t>0,49</w:t>
      </w:r>
      <w:r w:rsidR="009462D3">
        <w:t xml:space="preserve"> para TSH, T3l e T4l</w:t>
      </w:r>
      <w:r w:rsidR="00D90D76">
        <w:t xml:space="preserve">). </w:t>
      </w:r>
      <w:r w:rsidR="009462D3">
        <w:t>Estes dados estão representados</w:t>
      </w:r>
      <w:r w:rsidR="00957E5D">
        <w:t xml:space="preserve"> no </w:t>
      </w:r>
      <w:r w:rsidR="00231880">
        <w:t>G</w:t>
      </w:r>
      <w:r w:rsidR="00957E5D">
        <w:t xml:space="preserve">ráfico </w:t>
      </w:r>
      <w:r w:rsidR="00CC042A">
        <w:t>6.</w:t>
      </w:r>
    </w:p>
    <w:p w14:paraId="59BE5629" w14:textId="75FC36BC" w:rsidR="00441C54" w:rsidRDefault="00441C54" w:rsidP="00957E5D">
      <w:pPr>
        <w:spacing w:before="30" w:line="360" w:lineRule="auto"/>
        <w:jc w:val="both"/>
      </w:pPr>
    </w:p>
    <w:p w14:paraId="67CCD450" w14:textId="37F9F161" w:rsidR="00441C54" w:rsidRDefault="00441C54" w:rsidP="00957E5D">
      <w:pPr>
        <w:spacing w:before="30" w:line="360" w:lineRule="auto"/>
        <w:jc w:val="both"/>
      </w:pPr>
    </w:p>
    <w:p w14:paraId="0AADFACC" w14:textId="4F7B0E71" w:rsidR="00441C54" w:rsidRDefault="00441C54" w:rsidP="00957E5D">
      <w:pPr>
        <w:spacing w:before="30" w:line="360" w:lineRule="auto"/>
        <w:jc w:val="both"/>
      </w:pPr>
    </w:p>
    <w:p w14:paraId="3EE5F6F1" w14:textId="173F58FD" w:rsidR="00441C54" w:rsidRDefault="00441C54" w:rsidP="00957E5D">
      <w:pPr>
        <w:spacing w:before="30" w:line="360" w:lineRule="auto"/>
        <w:jc w:val="both"/>
      </w:pPr>
    </w:p>
    <w:p w14:paraId="7445A8CA" w14:textId="2F694725" w:rsidR="00441C54" w:rsidRDefault="00441C54" w:rsidP="00957E5D">
      <w:pPr>
        <w:spacing w:before="30" w:line="360" w:lineRule="auto"/>
        <w:jc w:val="both"/>
      </w:pPr>
    </w:p>
    <w:p w14:paraId="74DB105C" w14:textId="77777777" w:rsidR="00441C54" w:rsidRDefault="00441C54" w:rsidP="00957E5D">
      <w:pPr>
        <w:spacing w:before="30" w:line="360" w:lineRule="auto"/>
        <w:jc w:val="both"/>
      </w:pPr>
    </w:p>
    <w:p w14:paraId="0CF8C7EE" w14:textId="4744C75C" w:rsidR="008A50ED" w:rsidRPr="00F85264" w:rsidRDefault="00957E5D" w:rsidP="00F85264">
      <w:pPr>
        <w:ind w:left="1134" w:hanging="1134"/>
        <w:jc w:val="both"/>
        <w:rPr>
          <w:sz w:val="22"/>
          <w:szCs w:val="22"/>
        </w:rPr>
      </w:pPr>
      <w:r w:rsidRPr="00F85264">
        <w:rPr>
          <w:b/>
          <w:bCs/>
          <w:sz w:val="22"/>
          <w:szCs w:val="22"/>
        </w:rPr>
        <w:lastRenderedPageBreak/>
        <w:t xml:space="preserve">Gráfico </w:t>
      </w:r>
      <w:r w:rsidR="00CC042A" w:rsidRPr="00F85264">
        <w:rPr>
          <w:b/>
          <w:bCs/>
          <w:sz w:val="22"/>
          <w:szCs w:val="22"/>
        </w:rPr>
        <w:t>6</w:t>
      </w:r>
      <w:r w:rsidRPr="00F85264">
        <w:rPr>
          <w:b/>
          <w:bCs/>
          <w:sz w:val="22"/>
          <w:szCs w:val="22"/>
        </w:rPr>
        <w:t>:</w:t>
      </w:r>
      <w:r w:rsidRPr="00F85264">
        <w:rPr>
          <w:sz w:val="22"/>
          <w:szCs w:val="22"/>
        </w:rPr>
        <w:t xml:space="preserve"> </w:t>
      </w:r>
      <w:r w:rsidR="009462D3" w:rsidRPr="00F85264">
        <w:rPr>
          <w:sz w:val="22"/>
          <w:szCs w:val="22"/>
        </w:rPr>
        <w:t xml:space="preserve">Análise da associação entre a função tireoidiana e genotipagem para o polimorfismo rs9356988 do gene </w:t>
      </w:r>
      <w:r w:rsidR="009462D3" w:rsidRPr="00F85264">
        <w:rPr>
          <w:i/>
          <w:iCs/>
          <w:sz w:val="22"/>
          <w:szCs w:val="22"/>
        </w:rPr>
        <w:t>SLC17A4.</w:t>
      </w:r>
      <w:r w:rsidR="009462D3" w:rsidRPr="00F85264">
        <w:rPr>
          <w:sz w:val="22"/>
          <w:szCs w:val="22"/>
        </w:rPr>
        <w:t xml:space="preserve"> Comparação entre indivíduos portadores de alelos selvagem (G/G) e polimórfico (A/</w:t>
      </w:r>
      <w:r w:rsidR="00C670A7" w:rsidRPr="00F85264">
        <w:rPr>
          <w:sz w:val="22"/>
          <w:szCs w:val="22"/>
        </w:rPr>
        <w:t>A</w:t>
      </w:r>
      <w:r w:rsidR="009462D3" w:rsidRPr="00F85264">
        <w:rPr>
          <w:sz w:val="22"/>
          <w:szCs w:val="22"/>
        </w:rPr>
        <w:t xml:space="preserve"> + </w:t>
      </w:r>
      <w:r w:rsidR="00C670A7" w:rsidRPr="00F85264">
        <w:rPr>
          <w:sz w:val="22"/>
          <w:szCs w:val="22"/>
        </w:rPr>
        <w:t>A/G</w:t>
      </w:r>
      <w:r w:rsidR="009462D3" w:rsidRPr="00F85264">
        <w:rPr>
          <w:sz w:val="22"/>
          <w:szCs w:val="22"/>
        </w:rPr>
        <w:t>).</w:t>
      </w:r>
    </w:p>
    <w:p w14:paraId="37667FBD" w14:textId="77777777" w:rsidR="008A50ED" w:rsidRPr="00145F81" w:rsidRDefault="008A50ED" w:rsidP="00347F25">
      <w:pPr>
        <w:spacing w:before="30" w:line="360" w:lineRule="auto"/>
        <w:jc w:val="both"/>
      </w:pPr>
    </w:p>
    <w:tbl>
      <w:tblPr>
        <w:tblStyle w:val="TabeladeGrade4-nfase1"/>
        <w:tblpPr w:leftFromText="141" w:rightFromText="141" w:vertAnchor="text" w:horzAnchor="page" w:tblpX="8197" w:tblpY="2193"/>
        <w:tblW w:w="0" w:type="auto"/>
        <w:tblLook w:val="04A0" w:firstRow="1" w:lastRow="0" w:firstColumn="1" w:lastColumn="0" w:noHBand="0" w:noVBand="1"/>
      </w:tblPr>
      <w:tblGrid>
        <w:gridCol w:w="2547"/>
      </w:tblGrid>
      <w:tr w:rsidR="00145F81" w:rsidRPr="001D4B35" w14:paraId="1C9869DC" w14:textId="77777777" w:rsidTr="00145F8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547" w:type="dxa"/>
            <w:shd w:val="clear" w:color="auto" w:fill="D9E2F3" w:themeFill="accent1" w:themeFillTint="33"/>
          </w:tcPr>
          <w:p w14:paraId="5C7F948C" w14:textId="77777777" w:rsidR="00145F81" w:rsidRPr="00145F81" w:rsidRDefault="00145F81" w:rsidP="00145F81">
            <w:pPr>
              <w:spacing w:before="30" w:line="360" w:lineRule="auto"/>
              <w:jc w:val="center"/>
              <w:rPr>
                <w:b w:val="0"/>
                <w:bCs w:val="0"/>
                <w:color w:val="000000" w:themeColor="text1"/>
                <w:sz w:val="16"/>
                <w:szCs w:val="16"/>
              </w:rPr>
            </w:pPr>
            <w:r w:rsidRPr="00145F81">
              <w:rPr>
                <w:b w:val="0"/>
                <w:bCs w:val="0"/>
                <w:color w:val="000000" w:themeColor="text1"/>
                <w:sz w:val="16"/>
                <w:szCs w:val="16"/>
              </w:rPr>
              <w:t>G/G (n=31)          A/A+A/G (n=33)</w:t>
            </w:r>
          </w:p>
          <w:p w14:paraId="25729D32" w14:textId="77777777" w:rsidR="00145F81" w:rsidRPr="00145F81" w:rsidRDefault="00145F81" w:rsidP="00145F81">
            <w:pPr>
              <w:spacing w:before="30" w:line="360" w:lineRule="auto"/>
              <w:jc w:val="center"/>
              <w:rPr>
                <w:b w:val="0"/>
                <w:bCs w:val="0"/>
                <w:color w:val="000000" w:themeColor="text1"/>
                <w:sz w:val="16"/>
                <w:szCs w:val="16"/>
              </w:rPr>
            </w:pPr>
            <w:r w:rsidRPr="00145F81">
              <w:rPr>
                <w:b w:val="0"/>
                <w:bCs w:val="0"/>
                <w:color w:val="000000" w:themeColor="text1"/>
                <w:sz w:val="16"/>
                <w:szCs w:val="16"/>
              </w:rPr>
              <w:t>Alelo selvagem = G</w:t>
            </w:r>
          </w:p>
          <w:p w14:paraId="390554F1" w14:textId="77777777" w:rsidR="00145F81" w:rsidRPr="001D4B35" w:rsidRDefault="00145F81" w:rsidP="00145F81">
            <w:pPr>
              <w:spacing w:before="30" w:line="360" w:lineRule="auto"/>
              <w:jc w:val="center"/>
              <w:rPr>
                <w:b w:val="0"/>
                <w:bCs w:val="0"/>
                <w:color w:val="000000" w:themeColor="text1"/>
              </w:rPr>
            </w:pPr>
            <w:r w:rsidRPr="00145F81">
              <w:rPr>
                <w:b w:val="0"/>
                <w:bCs w:val="0"/>
                <w:color w:val="000000" w:themeColor="text1"/>
                <w:sz w:val="16"/>
                <w:szCs w:val="16"/>
              </w:rPr>
              <w:t>Alelo polimórfico = A</w:t>
            </w:r>
          </w:p>
        </w:tc>
      </w:tr>
    </w:tbl>
    <w:p w14:paraId="5FA9AF37" w14:textId="77777777" w:rsidR="00E23CA7" w:rsidRDefault="00C52819" w:rsidP="00E23CA7">
      <w:pPr>
        <w:spacing w:before="30" w:line="360" w:lineRule="auto"/>
        <w:jc w:val="center"/>
      </w:pPr>
      <w:r w:rsidRPr="006D5E8C">
        <w:rPr>
          <w:noProof/>
          <w:color w:val="000000"/>
          <w:sz w:val="22"/>
          <w:szCs w:val="22"/>
          <w14:textFill>
            <w14:solidFill>
              <w14:srgbClr w14:val="000000">
                <w14:lumMod w14:val="65000"/>
                <w14:lumOff w14:val="35000"/>
              </w14:srgbClr>
            </w14:solidFill>
          </w14:textFill>
        </w:rPr>
        <w:drawing>
          <wp:inline distT="0" distB="0" distL="0" distR="0" wp14:anchorId="24BDBFC4" wp14:editId="6DEA0CCE">
            <wp:extent cx="3104688" cy="198693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8729"/>
                    <a:stretch/>
                  </pic:blipFill>
                  <pic:spPr bwMode="auto">
                    <a:xfrm>
                      <a:off x="0" y="0"/>
                      <a:ext cx="3192566" cy="2043170"/>
                    </a:xfrm>
                    <a:prstGeom prst="rect">
                      <a:avLst/>
                    </a:prstGeom>
                    <a:noFill/>
                    <a:ln>
                      <a:noFill/>
                    </a:ln>
                    <a:extLst>
                      <a:ext uri="{53640926-AAD7-44D8-BBD7-CCE9431645EC}">
                        <a14:shadowObscured xmlns:a14="http://schemas.microsoft.com/office/drawing/2010/main"/>
                      </a:ext>
                    </a:extLst>
                  </pic:spPr>
                </pic:pic>
              </a:graphicData>
            </a:graphic>
          </wp:inline>
        </w:drawing>
      </w:r>
    </w:p>
    <w:p w14:paraId="2B15A432" w14:textId="77777777" w:rsidR="00231880" w:rsidRPr="00231880" w:rsidRDefault="00F85264" w:rsidP="00231880">
      <w:pPr>
        <w:spacing w:before="30" w:line="360" w:lineRule="auto"/>
        <w:rPr>
          <w:b/>
          <w:bCs/>
          <w:sz w:val="22"/>
          <w:szCs w:val="22"/>
          <w:u w:val="single"/>
        </w:rPr>
      </w:pPr>
      <w:r w:rsidRPr="00A322DB">
        <w:rPr>
          <w:sz w:val="22"/>
          <w:szCs w:val="22"/>
        </w:rPr>
        <w:t xml:space="preserve">               Fonte: </w:t>
      </w:r>
      <w:r w:rsidR="00231880" w:rsidRPr="00231880">
        <w:rPr>
          <w:color w:val="000000" w:themeColor="text1"/>
          <w:sz w:val="22"/>
          <w:szCs w:val="22"/>
        </w:rPr>
        <w:t>Dados da pesquisa.</w:t>
      </w:r>
    </w:p>
    <w:p w14:paraId="1591416F" w14:textId="35314857" w:rsidR="00025210" w:rsidRDefault="00025210" w:rsidP="00E23CA7">
      <w:pPr>
        <w:spacing w:before="30" w:line="360" w:lineRule="auto"/>
        <w:rPr>
          <w:sz w:val="22"/>
          <w:szCs w:val="22"/>
          <w:u w:val="single"/>
        </w:rPr>
      </w:pPr>
    </w:p>
    <w:p w14:paraId="69C97774" w14:textId="77777777" w:rsidR="00A322DB" w:rsidRPr="00F85264" w:rsidRDefault="00A322DB" w:rsidP="00E23CA7">
      <w:pPr>
        <w:spacing w:before="30" w:line="360" w:lineRule="auto"/>
        <w:rPr>
          <w:sz w:val="22"/>
          <w:szCs w:val="22"/>
          <w:u w:val="single"/>
        </w:rPr>
      </w:pPr>
    </w:p>
    <w:p w14:paraId="4AC783CD" w14:textId="0087FE45" w:rsidR="00445F50" w:rsidRPr="00A322DB" w:rsidRDefault="00445F50" w:rsidP="00A322DB">
      <w:pPr>
        <w:pStyle w:val="PargrafodaLista"/>
        <w:numPr>
          <w:ilvl w:val="0"/>
          <w:numId w:val="35"/>
        </w:numPr>
        <w:spacing w:before="30" w:line="360" w:lineRule="auto"/>
        <w:rPr>
          <w:b/>
          <w:bCs/>
          <w:i/>
          <w:iCs/>
          <w:u w:val="single"/>
        </w:rPr>
      </w:pPr>
      <w:r w:rsidRPr="00A322DB">
        <w:rPr>
          <w:b/>
          <w:bCs/>
          <w:u w:val="single"/>
        </w:rPr>
        <w:t>Gene</w:t>
      </w:r>
      <w:r w:rsidRPr="00A322DB">
        <w:rPr>
          <w:b/>
          <w:bCs/>
          <w:i/>
          <w:iCs/>
          <w:u w:val="single"/>
        </w:rPr>
        <w:t xml:space="preserve"> </w:t>
      </w:r>
      <w:r w:rsidR="007614E7" w:rsidRPr="00A322DB">
        <w:rPr>
          <w:b/>
          <w:bCs/>
          <w:i/>
          <w:iCs/>
          <w:u w:val="single"/>
        </w:rPr>
        <w:t>PTCSC2</w:t>
      </w:r>
    </w:p>
    <w:p w14:paraId="1A0C9E8B" w14:textId="77777777" w:rsidR="000B358B" w:rsidRPr="00E23CA7" w:rsidRDefault="000B358B" w:rsidP="00E23CA7">
      <w:pPr>
        <w:spacing w:before="30" w:line="360" w:lineRule="auto"/>
        <w:rPr>
          <w:u w:val="single"/>
        </w:rPr>
      </w:pPr>
    </w:p>
    <w:p w14:paraId="63FECBE7" w14:textId="6FA982F9" w:rsidR="007614E7" w:rsidRDefault="00445F50" w:rsidP="00445F50">
      <w:pPr>
        <w:spacing w:before="30" w:line="360" w:lineRule="auto"/>
        <w:jc w:val="both"/>
      </w:pPr>
      <w:r>
        <w:t xml:space="preserve">     </w:t>
      </w:r>
      <w:r w:rsidR="007614E7">
        <w:t xml:space="preserve">Para o gene </w:t>
      </w:r>
      <w:r w:rsidR="007614E7" w:rsidRPr="00D90D76">
        <w:rPr>
          <w:i/>
          <w:iCs/>
        </w:rPr>
        <w:t>PTCSC2</w:t>
      </w:r>
      <w:r w:rsidR="00145F81">
        <w:rPr>
          <w:i/>
          <w:iCs/>
        </w:rPr>
        <w:t>,</w:t>
      </w:r>
      <w:r w:rsidR="007614E7" w:rsidRPr="00D90D76">
        <w:rPr>
          <w:i/>
          <w:iCs/>
        </w:rPr>
        <w:t xml:space="preserve"> </w:t>
      </w:r>
      <w:r w:rsidR="007614E7">
        <w:t xml:space="preserve">foi selecionado o </w:t>
      </w:r>
      <w:r w:rsidR="00690212">
        <w:t>polimorfismo</w:t>
      </w:r>
      <w:r w:rsidR="007614E7">
        <w:t xml:space="preserve"> </w:t>
      </w:r>
      <w:r w:rsidR="007614E7" w:rsidRPr="00C670A7">
        <w:rPr>
          <w:b/>
          <w:bCs/>
        </w:rPr>
        <w:t>rs</w:t>
      </w:r>
      <w:r w:rsidR="00347F25" w:rsidRPr="00C670A7">
        <w:rPr>
          <w:b/>
          <w:bCs/>
        </w:rPr>
        <w:t>70</w:t>
      </w:r>
      <w:r w:rsidR="00882A97" w:rsidRPr="00C670A7">
        <w:rPr>
          <w:b/>
          <w:bCs/>
        </w:rPr>
        <w:t>45138</w:t>
      </w:r>
      <w:r w:rsidR="007614E7">
        <w:t xml:space="preserve">. </w:t>
      </w:r>
      <w:r w:rsidR="008A50ED">
        <w:t xml:space="preserve">Fizeram genotipagem deste polimorfismo 64 participantes do estudo. </w:t>
      </w:r>
      <w:r w:rsidR="007614E7">
        <w:t xml:space="preserve">O alelo selvagem é </w:t>
      </w:r>
      <w:r w:rsidR="00882A97">
        <w:t>C</w:t>
      </w:r>
      <w:r w:rsidR="007614E7">
        <w:t xml:space="preserve"> e o </w:t>
      </w:r>
      <w:r w:rsidR="008A50ED">
        <w:t xml:space="preserve">polimórfico, </w:t>
      </w:r>
      <w:r w:rsidR="00882A97">
        <w:t>T</w:t>
      </w:r>
      <w:r w:rsidR="00F1092E">
        <w:t xml:space="preserve">; </w:t>
      </w:r>
      <w:r w:rsidR="00882A97">
        <w:t>9</w:t>
      </w:r>
      <w:r w:rsidR="008A50ED">
        <w:t xml:space="preserve"> (14%) </w:t>
      </w:r>
      <w:r w:rsidR="007614E7">
        <w:t xml:space="preserve">apresentavam o genótipo </w:t>
      </w:r>
      <w:r w:rsidR="00882A97">
        <w:t>C/C</w:t>
      </w:r>
      <w:r w:rsidR="008A50ED">
        <w:t xml:space="preserve"> e </w:t>
      </w:r>
      <w:r w:rsidR="00882A97">
        <w:t>55</w:t>
      </w:r>
      <w:r w:rsidR="008A50ED">
        <w:t xml:space="preserve"> (86%) </w:t>
      </w:r>
      <w:r w:rsidR="007614E7">
        <w:t xml:space="preserve">apresentavam genótipo </w:t>
      </w:r>
      <w:r w:rsidR="00882A97">
        <w:t>C/T ou TT</w:t>
      </w:r>
      <w:r w:rsidR="008A50ED">
        <w:t>.</w:t>
      </w:r>
    </w:p>
    <w:p w14:paraId="34761B39" w14:textId="17B55AF2" w:rsidR="00957E5D" w:rsidRDefault="00882A97" w:rsidP="00957E5D">
      <w:pPr>
        <w:spacing w:before="30" w:line="360" w:lineRule="auto"/>
        <w:jc w:val="both"/>
      </w:pPr>
      <w:r>
        <w:t xml:space="preserve">     </w:t>
      </w:r>
      <w:r w:rsidR="008A50ED">
        <w:t>Associação do SNP</w:t>
      </w:r>
      <w:r w:rsidR="00231880">
        <w:t>,</w:t>
      </w:r>
      <w:r w:rsidR="008A50ED">
        <w:t xml:space="preserve"> com função tireoidiana: as medianas </w:t>
      </w:r>
      <w:r>
        <w:t>do TSH, T3l e T4l para o alelo selvagem em homozigose</w:t>
      </w:r>
      <w:r w:rsidR="008A50ED">
        <w:t xml:space="preserve"> (C/C)</w:t>
      </w:r>
      <w:r>
        <w:t xml:space="preserve"> foram de 2,0</w:t>
      </w:r>
      <w:r w:rsidR="00690212">
        <w:t>4</w:t>
      </w:r>
      <w:r>
        <w:t>mU/L</w:t>
      </w:r>
      <w:r w:rsidR="00690212">
        <w:t xml:space="preserve"> (IIQ=</w:t>
      </w:r>
      <w:r w:rsidR="00865B6A">
        <w:t>1,63-2,53)</w:t>
      </w:r>
      <w:r>
        <w:t>, 2,8pg/dL</w:t>
      </w:r>
      <w:r w:rsidR="00865B6A">
        <w:t xml:space="preserve"> (IIQ=2,71-3,02)</w:t>
      </w:r>
      <w:r>
        <w:t xml:space="preserve"> e 1,0</w:t>
      </w:r>
      <w:r w:rsidR="00690212">
        <w:t>7</w:t>
      </w:r>
      <w:r>
        <w:t>ng/mL</w:t>
      </w:r>
      <w:r w:rsidR="00865B6A">
        <w:t xml:space="preserve"> (IIQ=0,98-1,15)</w:t>
      </w:r>
      <w:r w:rsidR="008A50ED">
        <w:t>. Enquanto que,</w:t>
      </w:r>
      <w:r>
        <w:t xml:space="preserve"> para o alelo polimórfico em homozigose ou heterozigose</w:t>
      </w:r>
      <w:r w:rsidR="008A50ED">
        <w:t xml:space="preserve"> (T/T + C/T) foram</w:t>
      </w:r>
      <w:r>
        <w:t xml:space="preserve"> 2,2mU/L</w:t>
      </w:r>
      <w:r w:rsidR="00865B6A">
        <w:t xml:space="preserve"> (IIQ=1,55-2,98)</w:t>
      </w:r>
      <w:r>
        <w:t>, 2.76pg/dL</w:t>
      </w:r>
      <w:r w:rsidR="00865B6A">
        <w:t xml:space="preserve"> (2,59-2,97)</w:t>
      </w:r>
      <w:r>
        <w:t xml:space="preserve"> e 1.13</w:t>
      </w:r>
      <w:r w:rsidRPr="00125D33">
        <w:t xml:space="preserve"> </w:t>
      </w:r>
      <w:r>
        <w:t>ng/mL</w:t>
      </w:r>
      <w:r w:rsidR="00865B6A">
        <w:t xml:space="preserve"> (IIQ=1,05-1,20)</w:t>
      </w:r>
      <w:r w:rsidR="008A50ED">
        <w:t xml:space="preserve"> (TSH, T3l e T4l)</w:t>
      </w:r>
      <w:r w:rsidR="00865B6A">
        <w:t>. O resultado não demonstrou diferença</w:t>
      </w:r>
      <w:r w:rsidR="00E23CA7">
        <w:t xml:space="preserve"> significativa </w:t>
      </w:r>
      <w:r w:rsidR="00D90D76">
        <w:t>entre os 2 grupos</w:t>
      </w:r>
      <w:r w:rsidR="00865B6A">
        <w:t xml:space="preserve"> </w:t>
      </w:r>
      <w:r w:rsidR="00D90D76">
        <w:t>(</w:t>
      </w:r>
      <w:r w:rsidR="00865B6A">
        <w:t>p</w:t>
      </w:r>
      <w:r w:rsidR="00D90D76">
        <w:t>=</w:t>
      </w:r>
      <w:r w:rsidR="00865B6A">
        <w:t>0,67</w:t>
      </w:r>
      <w:r w:rsidR="00D90D76">
        <w:t>; p=</w:t>
      </w:r>
      <w:r w:rsidR="00865B6A">
        <w:t>0,4</w:t>
      </w:r>
      <w:r w:rsidR="00D90D76">
        <w:t>8; p=</w:t>
      </w:r>
      <w:r w:rsidR="00865B6A">
        <w:t>0,22</w:t>
      </w:r>
      <w:r w:rsidR="00E23CA7">
        <w:t xml:space="preserve"> para TSH, T3l e T4l, respectivamente)</w:t>
      </w:r>
      <w:r w:rsidR="00D90D76">
        <w:t xml:space="preserve">. </w:t>
      </w:r>
      <w:r w:rsidR="008A50ED">
        <w:t>Estes d</w:t>
      </w:r>
      <w:r w:rsidR="00957E5D">
        <w:t xml:space="preserve">ados </w:t>
      </w:r>
      <w:r w:rsidR="008A50ED">
        <w:t xml:space="preserve">estão representados no </w:t>
      </w:r>
      <w:r w:rsidR="00231880">
        <w:t>G</w:t>
      </w:r>
      <w:r w:rsidR="00957E5D">
        <w:t xml:space="preserve">ráfico </w:t>
      </w:r>
      <w:r w:rsidR="00CC042A">
        <w:t>7</w:t>
      </w:r>
      <w:r w:rsidR="00957E5D">
        <w:t>.</w:t>
      </w:r>
    </w:p>
    <w:p w14:paraId="286E6ED5" w14:textId="2EDBD21B" w:rsidR="00D90D76" w:rsidRDefault="00D90D76" w:rsidP="00957E5D">
      <w:pPr>
        <w:spacing w:before="30" w:line="360" w:lineRule="auto"/>
        <w:jc w:val="both"/>
      </w:pPr>
    </w:p>
    <w:p w14:paraId="74FF2F3A" w14:textId="77777777" w:rsidR="00F85264" w:rsidRDefault="00F85264" w:rsidP="00F85264">
      <w:pPr>
        <w:ind w:left="1134" w:hanging="1134"/>
        <w:jc w:val="both"/>
        <w:rPr>
          <w:b/>
          <w:bCs/>
          <w:sz w:val="22"/>
          <w:szCs w:val="22"/>
        </w:rPr>
      </w:pPr>
    </w:p>
    <w:p w14:paraId="7CC3C385" w14:textId="77777777" w:rsidR="00F85264" w:rsidRDefault="00F85264" w:rsidP="00F85264">
      <w:pPr>
        <w:ind w:left="1134" w:hanging="1134"/>
        <w:jc w:val="both"/>
        <w:rPr>
          <w:b/>
          <w:bCs/>
          <w:sz w:val="22"/>
          <w:szCs w:val="22"/>
        </w:rPr>
      </w:pPr>
    </w:p>
    <w:p w14:paraId="7D30C477" w14:textId="77777777" w:rsidR="00F85264" w:rsidRDefault="00F85264" w:rsidP="00F85264">
      <w:pPr>
        <w:ind w:left="1134" w:hanging="1134"/>
        <w:jc w:val="both"/>
        <w:rPr>
          <w:b/>
          <w:bCs/>
          <w:sz w:val="22"/>
          <w:szCs w:val="22"/>
        </w:rPr>
      </w:pPr>
    </w:p>
    <w:p w14:paraId="52EE12DF" w14:textId="77777777" w:rsidR="00F85264" w:rsidRDefault="00F85264" w:rsidP="00F85264">
      <w:pPr>
        <w:ind w:left="1134" w:hanging="1134"/>
        <w:jc w:val="both"/>
        <w:rPr>
          <w:b/>
          <w:bCs/>
          <w:sz w:val="22"/>
          <w:szCs w:val="22"/>
        </w:rPr>
      </w:pPr>
    </w:p>
    <w:p w14:paraId="1256E8C7" w14:textId="77777777" w:rsidR="00F85264" w:rsidRDefault="00F85264" w:rsidP="00F85264">
      <w:pPr>
        <w:ind w:left="1134" w:hanging="1134"/>
        <w:jc w:val="both"/>
        <w:rPr>
          <w:b/>
          <w:bCs/>
          <w:sz w:val="22"/>
          <w:szCs w:val="22"/>
        </w:rPr>
      </w:pPr>
    </w:p>
    <w:p w14:paraId="2B2CE61F" w14:textId="77777777" w:rsidR="00F85264" w:rsidRDefault="00F85264" w:rsidP="00F85264">
      <w:pPr>
        <w:ind w:left="1134" w:hanging="1134"/>
        <w:jc w:val="both"/>
        <w:rPr>
          <w:b/>
          <w:bCs/>
          <w:sz w:val="22"/>
          <w:szCs w:val="22"/>
        </w:rPr>
      </w:pPr>
    </w:p>
    <w:p w14:paraId="74850634" w14:textId="77777777" w:rsidR="00F85264" w:rsidRDefault="00F85264" w:rsidP="00F85264">
      <w:pPr>
        <w:ind w:left="1134" w:hanging="1134"/>
        <w:jc w:val="both"/>
        <w:rPr>
          <w:b/>
          <w:bCs/>
          <w:sz w:val="22"/>
          <w:szCs w:val="22"/>
        </w:rPr>
      </w:pPr>
    </w:p>
    <w:p w14:paraId="2E4BFC04" w14:textId="77777777" w:rsidR="00F85264" w:rsidRDefault="00F85264" w:rsidP="00F85264">
      <w:pPr>
        <w:ind w:left="1134" w:hanging="1134"/>
        <w:jc w:val="both"/>
        <w:rPr>
          <w:b/>
          <w:bCs/>
          <w:sz w:val="22"/>
          <w:szCs w:val="22"/>
        </w:rPr>
      </w:pPr>
    </w:p>
    <w:p w14:paraId="340FFA7F" w14:textId="77777777" w:rsidR="00F85264" w:rsidRDefault="00F85264" w:rsidP="00F85264">
      <w:pPr>
        <w:ind w:left="1134" w:hanging="1134"/>
        <w:jc w:val="both"/>
        <w:rPr>
          <w:b/>
          <w:bCs/>
          <w:sz w:val="22"/>
          <w:szCs w:val="22"/>
        </w:rPr>
      </w:pPr>
    </w:p>
    <w:p w14:paraId="6409BA31" w14:textId="77777777" w:rsidR="00F85264" w:rsidRDefault="00F85264" w:rsidP="00F85264">
      <w:pPr>
        <w:ind w:left="1134" w:hanging="1134"/>
        <w:jc w:val="both"/>
        <w:rPr>
          <w:b/>
          <w:bCs/>
          <w:sz w:val="22"/>
          <w:szCs w:val="22"/>
        </w:rPr>
      </w:pPr>
    </w:p>
    <w:p w14:paraId="52E6C252" w14:textId="712AF370" w:rsidR="00E23CA7" w:rsidRPr="00F85264" w:rsidRDefault="00957E5D" w:rsidP="00F85264">
      <w:pPr>
        <w:ind w:left="1134" w:hanging="1134"/>
        <w:jc w:val="both"/>
        <w:rPr>
          <w:sz w:val="22"/>
          <w:szCs w:val="22"/>
        </w:rPr>
      </w:pPr>
      <w:r w:rsidRPr="00F85264">
        <w:rPr>
          <w:b/>
          <w:bCs/>
          <w:sz w:val="22"/>
          <w:szCs w:val="22"/>
        </w:rPr>
        <w:lastRenderedPageBreak/>
        <w:t xml:space="preserve">Gráfico </w:t>
      </w:r>
      <w:r w:rsidR="00CC042A" w:rsidRPr="00F85264">
        <w:rPr>
          <w:b/>
          <w:bCs/>
          <w:sz w:val="22"/>
          <w:szCs w:val="22"/>
        </w:rPr>
        <w:t>7</w:t>
      </w:r>
      <w:r w:rsidRPr="00F85264">
        <w:rPr>
          <w:b/>
          <w:bCs/>
          <w:sz w:val="22"/>
          <w:szCs w:val="22"/>
        </w:rPr>
        <w:t>:</w:t>
      </w:r>
      <w:r w:rsidRPr="00F85264">
        <w:rPr>
          <w:sz w:val="22"/>
          <w:szCs w:val="22"/>
        </w:rPr>
        <w:t xml:space="preserve"> </w:t>
      </w:r>
      <w:r w:rsidR="00E23CA7" w:rsidRPr="00F85264">
        <w:rPr>
          <w:sz w:val="22"/>
          <w:szCs w:val="22"/>
        </w:rPr>
        <w:t>Análise da associação entre a função tireoidiana e genotipagem para o polimorfismo rs7045138 do gene</w:t>
      </w:r>
      <w:r w:rsidR="00E23CA7" w:rsidRPr="00F85264">
        <w:rPr>
          <w:i/>
          <w:iCs/>
          <w:sz w:val="22"/>
          <w:szCs w:val="22"/>
        </w:rPr>
        <w:t xml:space="preserve"> PTCSC2.</w:t>
      </w:r>
      <w:r w:rsidR="00E23CA7" w:rsidRPr="00F85264">
        <w:rPr>
          <w:sz w:val="22"/>
          <w:szCs w:val="22"/>
        </w:rPr>
        <w:t xml:space="preserve"> Comparação entre indivíduos portadores de alelos selvagem (C/C) e polimórfico (T/T + C/T)</w:t>
      </w:r>
    </w:p>
    <w:p w14:paraId="4D84B1B8" w14:textId="1432B659" w:rsidR="00C52819" w:rsidRPr="00F85264" w:rsidRDefault="00C52819" w:rsidP="00F85264">
      <w:pPr>
        <w:ind w:left="1134" w:hanging="1134"/>
        <w:jc w:val="both"/>
        <w:rPr>
          <w:sz w:val="22"/>
          <w:szCs w:val="22"/>
        </w:rPr>
      </w:pPr>
    </w:p>
    <w:tbl>
      <w:tblPr>
        <w:tblStyle w:val="TabeladeGrade4-nfase1"/>
        <w:tblpPr w:leftFromText="141" w:rightFromText="141" w:vertAnchor="text" w:horzAnchor="page" w:tblpX="7277" w:tblpY="2144"/>
        <w:tblW w:w="0" w:type="auto"/>
        <w:tblLook w:val="04A0" w:firstRow="1" w:lastRow="0" w:firstColumn="1" w:lastColumn="0" w:noHBand="0" w:noVBand="1"/>
      </w:tblPr>
      <w:tblGrid>
        <w:gridCol w:w="2405"/>
      </w:tblGrid>
      <w:tr w:rsidR="0077297A" w:rsidRPr="001D4B35" w14:paraId="24CE8A0F" w14:textId="77777777" w:rsidTr="0077297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405" w:type="dxa"/>
            <w:shd w:val="clear" w:color="auto" w:fill="D9E2F3" w:themeFill="accent1" w:themeFillTint="33"/>
          </w:tcPr>
          <w:p w14:paraId="3CD7CBA5" w14:textId="77777777" w:rsidR="0077297A" w:rsidRPr="00145F81" w:rsidRDefault="0077297A" w:rsidP="0077297A">
            <w:pPr>
              <w:spacing w:before="30" w:line="360" w:lineRule="auto"/>
              <w:jc w:val="center"/>
              <w:rPr>
                <w:b w:val="0"/>
                <w:bCs w:val="0"/>
                <w:color w:val="000000" w:themeColor="text1"/>
                <w:sz w:val="16"/>
                <w:szCs w:val="16"/>
              </w:rPr>
            </w:pPr>
            <w:r w:rsidRPr="00145F81">
              <w:rPr>
                <w:b w:val="0"/>
                <w:bCs w:val="0"/>
                <w:color w:val="000000" w:themeColor="text1"/>
                <w:sz w:val="16"/>
                <w:szCs w:val="16"/>
              </w:rPr>
              <w:t>C/C (n=9)          C/T+T/T (n=55)</w:t>
            </w:r>
          </w:p>
          <w:p w14:paraId="3DAC4658" w14:textId="77777777" w:rsidR="0077297A" w:rsidRPr="00145F81" w:rsidRDefault="0077297A" w:rsidP="0077297A">
            <w:pPr>
              <w:spacing w:before="30" w:line="360" w:lineRule="auto"/>
              <w:jc w:val="center"/>
              <w:rPr>
                <w:b w:val="0"/>
                <w:bCs w:val="0"/>
                <w:color w:val="000000" w:themeColor="text1"/>
                <w:sz w:val="16"/>
                <w:szCs w:val="16"/>
              </w:rPr>
            </w:pPr>
            <w:r w:rsidRPr="00145F81">
              <w:rPr>
                <w:b w:val="0"/>
                <w:bCs w:val="0"/>
                <w:color w:val="000000" w:themeColor="text1"/>
                <w:sz w:val="16"/>
                <w:szCs w:val="16"/>
              </w:rPr>
              <w:t>Alelo selvagem = C</w:t>
            </w:r>
          </w:p>
          <w:p w14:paraId="151369CD" w14:textId="77777777" w:rsidR="0077297A" w:rsidRPr="001D4B35" w:rsidRDefault="0077297A" w:rsidP="0077297A">
            <w:pPr>
              <w:spacing w:before="30" w:line="360" w:lineRule="auto"/>
              <w:jc w:val="center"/>
              <w:rPr>
                <w:b w:val="0"/>
                <w:bCs w:val="0"/>
                <w:color w:val="000000" w:themeColor="text1"/>
              </w:rPr>
            </w:pPr>
            <w:r w:rsidRPr="00145F81">
              <w:rPr>
                <w:b w:val="0"/>
                <w:bCs w:val="0"/>
                <w:color w:val="000000" w:themeColor="text1"/>
                <w:sz w:val="16"/>
                <w:szCs w:val="16"/>
              </w:rPr>
              <w:t>Alelo polimórfico = T</w:t>
            </w:r>
          </w:p>
        </w:tc>
      </w:tr>
    </w:tbl>
    <w:p w14:paraId="4D286433" w14:textId="229317D9" w:rsidR="00E4753A" w:rsidRDefault="0077297A" w:rsidP="00D90D76">
      <w:pPr>
        <w:spacing w:before="30" w:line="360" w:lineRule="auto"/>
        <w:jc w:val="center"/>
      </w:pPr>
      <w:r w:rsidRPr="008C067D">
        <w:rPr>
          <w:noProof/>
          <w:color w:val="000000"/>
          <w:sz w:val="22"/>
          <w:szCs w:val="22"/>
          <w14:textFill>
            <w14:solidFill>
              <w14:srgbClr w14:val="000000">
                <w14:lumMod w14:val="65000"/>
                <w14:lumOff w14:val="35000"/>
              </w14:srgbClr>
            </w14:solidFill>
          </w14:textFill>
        </w:rPr>
        <w:t xml:space="preserve"> </w:t>
      </w:r>
      <w:r w:rsidR="00C52819" w:rsidRPr="008C067D">
        <w:rPr>
          <w:noProof/>
          <w:color w:val="000000"/>
          <w:sz w:val="22"/>
          <w:szCs w:val="22"/>
          <w14:textFill>
            <w14:solidFill>
              <w14:srgbClr w14:val="000000">
                <w14:lumMod w14:val="65000"/>
                <w14:lumOff w14:val="35000"/>
              </w14:srgbClr>
            </w14:solidFill>
          </w14:textFill>
        </w:rPr>
        <w:drawing>
          <wp:inline distT="0" distB="0" distL="0" distR="0" wp14:anchorId="496B375B" wp14:editId="482B460E">
            <wp:extent cx="2894454" cy="1926856"/>
            <wp:effectExtent l="0" t="0" r="1270" b="3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t="8412"/>
                    <a:stretch/>
                  </pic:blipFill>
                  <pic:spPr bwMode="auto">
                    <a:xfrm>
                      <a:off x="0" y="0"/>
                      <a:ext cx="2990553" cy="1990830"/>
                    </a:xfrm>
                    <a:prstGeom prst="rect">
                      <a:avLst/>
                    </a:prstGeom>
                    <a:noFill/>
                    <a:ln>
                      <a:noFill/>
                    </a:ln>
                    <a:extLst>
                      <a:ext uri="{53640926-AAD7-44D8-BBD7-CCE9431645EC}">
                        <a14:shadowObscured xmlns:a14="http://schemas.microsoft.com/office/drawing/2010/main"/>
                      </a:ext>
                    </a:extLst>
                  </pic:spPr>
                </pic:pic>
              </a:graphicData>
            </a:graphic>
          </wp:inline>
        </w:drawing>
      </w:r>
    </w:p>
    <w:p w14:paraId="1D8D76D4" w14:textId="77777777" w:rsidR="00231880" w:rsidRPr="00231880" w:rsidRDefault="00F85264" w:rsidP="00231880">
      <w:pPr>
        <w:spacing w:before="30" w:line="360" w:lineRule="auto"/>
        <w:rPr>
          <w:b/>
          <w:bCs/>
          <w:sz w:val="22"/>
          <w:szCs w:val="22"/>
          <w:u w:val="single"/>
        </w:rPr>
      </w:pPr>
      <w:r>
        <w:rPr>
          <w:sz w:val="22"/>
          <w:szCs w:val="22"/>
        </w:rPr>
        <w:t xml:space="preserve">       </w:t>
      </w:r>
      <w:r w:rsidR="00A22143">
        <w:rPr>
          <w:bCs/>
          <w:color w:val="222222"/>
          <w:sz w:val="22"/>
          <w:szCs w:val="22"/>
        </w:rPr>
        <w:t xml:space="preserve">  Fonte:</w:t>
      </w:r>
      <w:r w:rsidR="00231880">
        <w:rPr>
          <w:bCs/>
          <w:color w:val="222222"/>
          <w:sz w:val="22"/>
          <w:szCs w:val="22"/>
        </w:rPr>
        <w:t xml:space="preserve"> </w:t>
      </w:r>
      <w:r w:rsidR="00231880" w:rsidRPr="00231880">
        <w:rPr>
          <w:color w:val="000000" w:themeColor="text1"/>
          <w:sz w:val="22"/>
          <w:szCs w:val="22"/>
        </w:rPr>
        <w:t>Dados da pesquisa.</w:t>
      </w:r>
    </w:p>
    <w:p w14:paraId="2D599A0A" w14:textId="7848D7D8" w:rsidR="00A22143" w:rsidRDefault="00A22143" w:rsidP="00A22143">
      <w:pPr>
        <w:pBdr>
          <w:top w:val="nil"/>
          <w:left w:val="nil"/>
          <w:bottom w:val="nil"/>
          <w:right w:val="nil"/>
          <w:between w:val="nil"/>
        </w:pBdr>
        <w:spacing w:before="30" w:line="360" w:lineRule="auto"/>
        <w:rPr>
          <w:bCs/>
          <w:color w:val="222222"/>
          <w:sz w:val="22"/>
          <w:szCs w:val="22"/>
        </w:rPr>
      </w:pPr>
    </w:p>
    <w:p w14:paraId="236EB95A" w14:textId="77777777" w:rsidR="00A322DB" w:rsidRPr="00F85264" w:rsidRDefault="00A322DB" w:rsidP="00A22143">
      <w:pPr>
        <w:pBdr>
          <w:top w:val="nil"/>
          <w:left w:val="nil"/>
          <w:bottom w:val="nil"/>
          <w:right w:val="nil"/>
          <w:between w:val="nil"/>
        </w:pBdr>
        <w:spacing w:before="30" w:line="360" w:lineRule="auto"/>
        <w:rPr>
          <w:bCs/>
          <w:color w:val="222222"/>
          <w:sz w:val="22"/>
          <w:szCs w:val="22"/>
        </w:rPr>
      </w:pPr>
    </w:p>
    <w:p w14:paraId="723AC970" w14:textId="37E5BAD6" w:rsidR="00445F50" w:rsidRPr="00A322DB" w:rsidRDefault="00445F50" w:rsidP="00231880">
      <w:pPr>
        <w:pStyle w:val="PargrafodaLista"/>
        <w:numPr>
          <w:ilvl w:val="0"/>
          <w:numId w:val="35"/>
        </w:numPr>
        <w:spacing w:before="30" w:line="360" w:lineRule="auto"/>
        <w:jc w:val="both"/>
        <w:rPr>
          <w:b/>
          <w:bCs/>
          <w:i/>
          <w:iCs/>
          <w:u w:val="single"/>
        </w:rPr>
      </w:pPr>
      <w:r w:rsidRPr="00A322DB">
        <w:rPr>
          <w:b/>
          <w:bCs/>
          <w:u w:val="single"/>
        </w:rPr>
        <w:t xml:space="preserve">Gene </w:t>
      </w:r>
      <w:r w:rsidR="007614E7" w:rsidRPr="00A322DB">
        <w:rPr>
          <w:b/>
          <w:bCs/>
          <w:i/>
          <w:iCs/>
          <w:u w:val="single"/>
        </w:rPr>
        <w:t>PDE10A</w:t>
      </w:r>
    </w:p>
    <w:p w14:paraId="3E156C79" w14:textId="77777777" w:rsidR="000B358B" w:rsidRPr="00E23CA7" w:rsidRDefault="000B358B" w:rsidP="00445F50">
      <w:pPr>
        <w:spacing w:before="30" w:line="360" w:lineRule="auto"/>
        <w:jc w:val="both"/>
        <w:rPr>
          <w:u w:val="single"/>
        </w:rPr>
      </w:pPr>
    </w:p>
    <w:p w14:paraId="57F59C6F" w14:textId="5866231D" w:rsidR="007614E7" w:rsidRDefault="00445F50" w:rsidP="00445F50">
      <w:pPr>
        <w:spacing w:before="30" w:line="360" w:lineRule="auto"/>
        <w:jc w:val="both"/>
      </w:pPr>
      <w:r>
        <w:t xml:space="preserve">     </w:t>
      </w:r>
      <w:r w:rsidR="007614E7">
        <w:t xml:space="preserve">Para o gene </w:t>
      </w:r>
      <w:r w:rsidR="007614E7" w:rsidRPr="00F90050">
        <w:rPr>
          <w:i/>
          <w:iCs/>
        </w:rPr>
        <w:t>PDE10A</w:t>
      </w:r>
      <w:r w:rsidR="007614E7">
        <w:t xml:space="preserve"> foi selecionado o </w:t>
      </w:r>
      <w:r w:rsidR="00865B6A">
        <w:t>polimorfismo</w:t>
      </w:r>
      <w:r w:rsidR="007614E7">
        <w:t xml:space="preserve"> </w:t>
      </w:r>
      <w:r w:rsidR="007614E7" w:rsidRPr="00C670A7">
        <w:rPr>
          <w:b/>
          <w:bCs/>
        </w:rPr>
        <w:t>rs753760</w:t>
      </w:r>
      <w:r w:rsidR="007614E7">
        <w:t xml:space="preserve">. </w:t>
      </w:r>
      <w:r w:rsidR="00E23CA7">
        <w:t xml:space="preserve">Fizeram genotipagem deste polimorfismo 64 participantes do estudo. </w:t>
      </w:r>
      <w:r w:rsidR="007614E7">
        <w:t xml:space="preserve">O alelo selvagem é </w:t>
      </w:r>
      <w:r w:rsidR="00882A97">
        <w:t>C</w:t>
      </w:r>
      <w:r w:rsidR="007614E7">
        <w:t xml:space="preserve"> e o </w:t>
      </w:r>
      <w:r w:rsidR="00E23CA7">
        <w:t>polimórfico,</w:t>
      </w:r>
      <w:r w:rsidR="007614E7">
        <w:t xml:space="preserve"> </w:t>
      </w:r>
      <w:r w:rsidR="00882A97">
        <w:t>G</w:t>
      </w:r>
      <w:r w:rsidR="00F1092E">
        <w:t xml:space="preserve">; </w:t>
      </w:r>
      <w:r w:rsidR="007614E7">
        <w:t>2</w:t>
      </w:r>
      <w:r w:rsidR="00882A97">
        <w:t>2</w:t>
      </w:r>
      <w:r w:rsidR="007614E7">
        <w:t xml:space="preserve"> </w:t>
      </w:r>
      <w:r w:rsidR="00E23CA7">
        <w:t xml:space="preserve">(34,38%) </w:t>
      </w:r>
      <w:r w:rsidR="007614E7">
        <w:t xml:space="preserve">apresentavam o genótipo </w:t>
      </w:r>
      <w:r w:rsidR="00882A97">
        <w:t>C/C</w:t>
      </w:r>
      <w:r w:rsidR="007614E7">
        <w:t xml:space="preserve"> </w:t>
      </w:r>
      <w:r w:rsidR="00E23CA7">
        <w:t xml:space="preserve">e </w:t>
      </w:r>
      <w:r w:rsidR="00882A97">
        <w:t>42</w:t>
      </w:r>
      <w:r w:rsidR="007614E7">
        <w:t xml:space="preserve"> </w:t>
      </w:r>
      <w:r w:rsidR="00E23CA7">
        <w:t xml:space="preserve">(65,63%) </w:t>
      </w:r>
      <w:r w:rsidR="007614E7">
        <w:t xml:space="preserve">apresentavam o genótipo </w:t>
      </w:r>
      <w:r w:rsidR="00882A97">
        <w:t>G/G ou C/</w:t>
      </w:r>
      <w:r w:rsidR="00E23CA7">
        <w:t xml:space="preserve">G. </w:t>
      </w:r>
    </w:p>
    <w:p w14:paraId="464B6391" w14:textId="5F03B91B" w:rsidR="00F90050" w:rsidRDefault="00882A97" w:rsidP="00957E5D">
      <w:pPr>
        <w:spacing w:before="30" w:line="360" w:lineRule="auto"/>
        <w:jc w:val="both"/>
      </w:pPr>
      <w:r>
        <w:t xml:space="preserve">     </w:t>
      </w:r>
      <w:r w:rsidR="00E23CA7">
        <w:t xml:space="preserve">Associação do SNP com função tireoidiana: as medianas do </w:t>
      </w:r>
      <w:r>
        <w:t>TSH, T3l e T4l para o alelo selvagem em homozigose</w:t>
      </w:r>
      <w:r w:rsidR="00DC7E42">
        <w:t xml:space="preserve"> (C/C)</w:t>
      </w:r>
      <w:r>
        <w:t xml:space="preserve"> foram de </w:t>
      </w:r>
      <w:r w:rsidR="00B443A9">
        <w:t>2,29</w:t>
      </w:r>
      <w:r>
        <w:t>mU/L</w:t>
      </w:r>
      <w:r w:rsidR="00865B6A">
        <w:t xml:space="preserve"> (IIQ=</w:t>
      </w:r>
      <w:r w:rsidR="00753595">
        <w:t>1,63-3,79)</w:t>
      </w:r>
      <w:r>
        <w:t>, 2,7</w:t>
      </w:r>
      <w:r w:rsidR="00B443A9">
        <w:t>3</w:t>
      </w:r>
      <w:r>
        <w:t>pg/dL</w:t>
      </w:r>
      <w:r w:rsidR="00753595">
        <w:t xml:space="preserve"> (IIQ=2,6</w:t>
      </w:r>
      <w:r w:rsidR="00321659">
        <w:t>1-2,93)</w:t>
      </w:r>
      <w:r>
        <w:t xml:space="preserve"> e 1,11ng/mL</w:t>
      </w:r>
      <w:r w:rsidR="00321659">
        <w:t xml:space="preserve"> (1,05-1,18)</w:t>
      </w:r>
      <w:r w:rsidR="00E23CA7">
        <w:t>. Enquanto que,</w:t>
      </w:r>
      <w:r>
        <w:t xml:space="preserve"> para o alelo polimórfico em homozigose ou heterozigose</w:t>
      </w:r>
      <w:r w:rsidR="00E23CA7">
        <w:t xml:space="preserve"> (G/G + C/G)</w:t>
      </w:r>
      <w:r>
        <w:t>, 2,</w:t>
      </w:r>
      <w:r w:rsidR="00B443A9">
        <w:t>12</w:t>
      </w:r>
      <w:r>
        <w:t>mU/L</w:t>
      </w:r>
      <w:r w:rsidR="00321659">
        <w:t xml:space="preserve"> (IIQ=1,53-2,82)</w:t>
      </w:r>
      <w:r>
        <w:t>, 2</w:t>
      </w:r>
      <w:r w:rsidR="00B443A9">
        <w:t>,82</w:t>
      </w:r>
      <w:r>
        <w:t xml:space="preserve">pg/dL </w:t>
      </w:r>
      <w:r w:rsidR="00321659">
        <w:t xml:space="preserve">(2,64-2,98) </w:t>
      </w:r>
      <w:r>
        <w:t>e 1</w:t>
      </w:r>
      <w:r w:rsidR="00865B6A">
        <w:t>,</w:t>
      </w:r>
      <w:r>
        <w:t>1</w:t>
      </w:r>
      <w:r w:rsidR="00B443A9">
        <w:t>5</w:t>
      </w:r>
      <w:r w:rsidRPr="00125D33">
        <w:t xml:space="preserve"> </w:t>
      </w:r>
      <w:r>
        <w:t>ng/mL</w:t>
      </w:r>
      <w:r w:rsidR="00321659">
        <w:t xml:space="preserve"> (IIQ=1,03-1,20). O resultado não demostrou diferença</w:t>
      </w:r>
      <w:r w:rsidR="00DC7E42">
        <w:t xml:space="preserve"> significativa </w:t>
      </w:r>
      <w:r w:rsidR="00F90050">
        <w:t>entre os dois grupos (p=0,22; p=0,37; p=0,44</w:t>
      </w:r>
      <w:r w:rsidR="00E23CA7">
        <w:t xml:space="preserve"> para TSH, T3l e T4l</w:t>
      </w:r>
      <w:r w:rsidR="00F90050">
        <w:t>)</w:t>
      </w:r>
      <w:r w:rsidR="00B443A9">
        <w:t xml:space="preserve">. </w:t>
      </w:r>
      <w:r w:rsidR="00E23CA7">
        <w:t>Estes d</w:t>
      </w:r>
      <w:r w:rsidR="00957E5D">
        <w:t xml:space="preserve">ados </w:t>
      </w:r>
      <w:r w:rsidR="00E23CA7">
        <w:t>estão demonstrados</w:t>
      </w:r>
      <w:r w:rsidR="00957E5D">
        <w:t xml:space="preserve"> no </w:t>
      </w:r>
      <w:r w:rsidR="00231880">
        <w:t>G</w:t>
      </w:r>
      <w:r w:rsidR="00957E5D">
        <w:t>ráfico 8.</w:t>
      </w:r>
    </w:p>
    <w:p w14:paraId="467EC032" w14:textId="07A02A4A" w:rsidR="00DC7E42" w:rsidRDefault="00DC7E42" w:rsidP="00957E5D">
      <w:pPr>
        <w:spacing w:before="30" w:line="360" w:lineRule="auto"/>
        <w:jc w:val="both"/>
      </w:pPr>
    </w:p>
    <w:p w14:paraId="1CFC4155" w14:textId="77777777" w:rsidR="00025210" w:rsidRDefault="00025210" w:rsidP="00957E5D">
      <w:pPr>
        <w:spacing w:before="30" w:line="360" w:lineRule="auto"/>
        <w:jc w:val="both"/>
        <w:rPr>
          <w:b/>
          <w:bCs/>
          <w:sz w:val="20"/>
          <w:szCs w:val="20"/>
        </w:rPr>
      </w:pPr>
    </w:p>
    <w:p w14:paraId="382680AB" w14:textId="77777777" w:rsidR="00025210" w:rsidRDefault="00025210" w:rsidP="00957E5D">
      <w:pPr>
        <w:spacing w:before="30" w:line="360" w:lineRule="auto"/>
        <w:jc w:val="both"/>
        <w:rPr>
          <w:b/>
          <w:bCs/>
          <w:sz w:val="20"/>
          <w:szCs w:val="20"/>
        </w:rPr>
      </w:pPr>
    </w:p>
    <w:p w14:paraId="31A83ADC" w14:textId="77777777" w:rsidR="00025210" w:rsidRDefault="00025210" w:rsidP="00957E5D">
      <w:pPr>
        <w:spacing w:before="30" w:line="360" w:lineRule="auto"/>
        <w:jc w:val="both"/>
        <w:rPr>
          <w:b/>
          <w:bCs/>
          <w:sz w:val="20"/>
          <w:szCs w:val="20"/>
        </w:rPr>
      </w:pPr>
    </w:p>
    <w:p w14:paraId="3A108BCD" w14:textId="77777777" w:rsidR="00025210" w:rsidRDefault="00025210" w:rsidP="00957E5D">
      <w:pPr>
        <w:spacing w:before="30" w:line="360" w:lineRule="auto"/>
        <w:jc w:val="both"/>
        <w:rPr>
          <w:b/>
          <w:bCs/>
          <w:sz w:val="20"/>
          <w:szCs w:val="20"/>
        </w:rPr>
      </w:pPr>
    </w:p>
    <w:p w14:paraId="74DE941A" w14:textId="77777777" w:rsidR="00025210" w:rsidRDefault="00025210" w:rsidP="00957E5D">
      <w:pPr>
        <w:spacing w:before="30" w:line="360" w:lineRule="auto"/>
        <w:jc w:val="both"/>
        <w:rPr>
          <w:b/>
          <w:bCs/>
          <w:sz w:val="20"/>
          <w:szCs w:val="20"/>
        </w:rPr>
      </w:pPr>
    </w:p>
    <w:p w14:paraId="724A8E20" w14:textId="77777777" w:rsidR="00025210" w:rsidRDefault="00025210" w:rsidP="00957E5D">
      <w:pPr>
        <w:spacing w:before="30" w:line="360" w:lineRule="auto"/>
        <w:jc w:val="both"/>
        <w:rPr>
          <w:b/>
          <w:bCs/>
          <w:sz w:val="20"/>
          <w:szCs w:val="20"/>
        </w:rPr>
      </w:pPr>
    </w:p>
    <w:p w14:paraId="49A427B2" w14:textId="77777777" w:rsidR="00025210" w:rsidRDefault="00025210" w:rsidP="00957E5D">
      <w:pPr>
        <w:spacing w:before="30" w:line="360" w:lineRule="auto"/>
        <w:jc w:val="both"/>
        <w:rPr>
          <w:b/>
          <w:bCs/>
          <w:sz w:val="20"/>
          <w:szCs w:val="20"/>
        </w:rPr>
      </w:pPr>
    </w:p>
    <w:p w14:paraId="7482F736" w14:textId="77777777" w:rsidR="00025210" w:rsidRDefault="00025210" w:rsidP="00957E5D">
      <w:pPr>
        <w:spacing w:before="30" w:line="360" w:lineRule="auto"/>
        <w:jc w:val="both"/>
        <w:rPr>
          <w:b/>
          <w:bCs/>
          <w:sz w:val="20"/>
          <w:szCs w:val="20"/>
        </w:rPr>
      </w:pPr>
    </w:p>
    <w:p w14:paraId="779B41F0" w14:textId="77777777" w:rsidR="00025210" w:rsidRPr="00C670A7" w:rsidRDefault="00025210" w:rsidP="00957E5D">
      <w:pPr>
        <w:spacing w:before="30" w:line="360" w:lineRule="auto"/>
        <w:jc w:val="both"/>
        <w:rPr>
          <w:b/>
          <w:bCs/>
        </w:rPr>
      </w:pPr>
    </w:p>
    <w:p w14:paraId="1223A176" w14:textId="428B5DD3" w:rsidR="00E23CA7" w:rsidRPr="00F85264" w:rsidRDefault="00DC7E42" w:rsidP="00F85264">
      <w:pPr>
        <w:ind w:left="1134" w:hanging="1134"/>
        <w:jc w:val="both"/>
        <w:rPr>
          <w:sz w:val="22"/>
          <w:szCs w:val="22"/>
        </w:rPr>
      </w:pPr>
      <w:r w:rsidRPr="00F85264">
        <w:rPr>
          <w:b/>
          <w:bCs/>
          <w:sz w:val="22"/>
          <w:szCs w:val="22"/>
        </w:rPr>
        <w:lastRenderedPageBreak/>
        <w:t>Gráfico 8:</w:t>
      </w:r>
      <w:r w:rsidRPr="00F85264">
        <w:rPr>
          <w:sz w:val="22"/>
          <w:szCs w:val="22"/>
        </w:rPr>
        <w:t xml:space="preserve"> Análise da associação entre a função tireoidiana e genotipagem para o polimorfismo rs753760 do gene</w:t>
      </w:r>
      <w:r w:rsidRPr="00F85264">
        <w:rPr>
          <w:i/>
          <w:iCs/>
          <w:sz w:val="22"/>
          <w:szCs w:val="22"/>
        </w:rPr>
        <w:t xml:space="preserve"> PTCSC2.</w:t>
      </w:r>
      <w:r w:rsidRPr="00F85264">
        <w:rPr>
          <w:sz w:val="22"/>
          <w:szCs w:val="22"/>
        </w:rPr>
        <w:t xml:space="preserve"> Comparação entre indivíduos portadores de alelos selvagem (C/C) e polimórfico (G/G + C/G).</w:t>
      </w:r>
    </w:p>
    <w:p w14:paraId="3368A3FE" w14:textId="3CC9D06A" w:rsidR="008B3BC5" w:rsidRPr="00145F81" w:rsidRDefault="00957E5D" w:rsidP="00445F50">
      <w:pPr>
        <w:spacing w:before="30" w:line="360" w:lineRule="auto"/>
        <w:jc w:val="both"/>
      </w:pPr>
      <w:r w:rsidRPr="00145F81">
        <w:t xml:space="preserve"> </w:t>
      </w:r>
    </w:p>
    <w:tbl>
      <w:tblPr>
        <w:tblStyle w:val="TabeladeGrade4-nfase1"/>
        <w:tblpPr w:leftFromText="141" w:rightFromText="141" w:vertAnchor="text" w:horzAnchor="page" w:tblpX="6714" w:tblpY="1981"/>
        <w:tblW w:w="0" w:type="auto"/>
        <w:tblLook w:val="04A0" w:firstRow="1" w:lastRow="0" w:firstColumn="1" w:lastColumn="0" w:noHBand="0" w:noVBand="1"/>
      </w:tblPr>
      <w:tblGrid>
        <w:gridCol w:w="2547"/>
      </w:tblGrid>
      <w:tr w:rsidR="00145F81" w:rsidRPr="001D4B35" w14:paraId="00F35884" w14:textId="77777777" w:rsidTr="00145F81">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547" w:type="dxa"/>
            <w:shd w:val="clear" w:color="auto" w:fill="D9E2F3" w:themeFill="accent1" w:themeFillTint="33"/>
          </w:tcPr>
          <w:p w14:paraId="1AE0A813" w14:textId="77777777" w:rsidR="00145F81" w:rsidRPr="00145F81" w:rsidRDefault="00145F81" w:rsidP="00145F81">
            <w:pPr>
              <w:spacing w:before="30" w:line="360" w:lineRule="auto"/>
              <w:jc w:val="center"/>
              <w:rPr>
                <w:b w:val="0"/>
                <w:bCs w:val="0"/>
                <w:color w:val="000000" w:themeColor="text1"/>
                <w:sz w:val="16"/>
                <w:szCs w:val="16"/>
              </w:rPr>
            </w:pPr>
            <w:r w:rsidRPr="00145F81">
              <w:rPr>
                <w:b w:val="0"/>
                <w:bCs w:val="0"/>
                <w:color w:val="000000" w:themeColor="text1"/>
                <w:sz w:val="16"/>
                <w:szCs w:val="16"/>
              </w:rPr>
              <w:t>C/C (n=22)          G/G+C/G (n=42)</w:t>
            </w:r>
          </w:p>
          <w:p w14:paraId="379CA89C" w14:textId="77777777" w:rsidR="00145F81" w:rsidRPr="00145F81" w:rsidRDefault="00145F81" w:rsidP="00145F81">
            <w:pPr>
              <w:spacing w:before="30" w:line="360" w:lineRule="auto"/>
              <w:jc w:val="center"/>
              <w:rPr>
                <w:b w:val="0"/>
                <w:bCs w:val="0"/>
                <w:color w:val="000000" w:themeColor="text1"/>
                <w:sz w:val="16"/>
                <w:szCs w:val="16"/>
              </w:rPr>
            </w:pPr>
            <w:r w:rsidRPr="00145F81">
              <w:rPr>
                <w:b w:val="0"/>
                <w:bCs w:val="0"/>
                <w:color w:val="000000" w:themeColor="text1"/>
                <w:sz w:val="16"/>
                <w:szCs w:val="16"/>
              </w:rPr>
              <w:t>Alelo selvagem = C</w:t>
            </w:r>
          </w:p>
          <w:p w14:paraId="0FFD3BFF" w14:textId="77777777" w:rsidR="00145F81" w:rsidRPr="001D4B35" w:rsidRDefault="00145F81" w:rsidP="00145F81">
            <w:pPr>
              <w:spacing w:before="30" w:line="360" w:lineRule="auto"/>
              <w:jc w:val="center"/>
              <w:rPr>
                <w:b w:val="0"/>
                <w:bCs w:val="0"/>
                <w:color w:val="000000" w:themeColor="text1"/>
              </w:rPr>
            </w:pPr>
            <w:r w:rsidRPr="00145F81">
              <w:rPr>
                <w:b w:val="0"/>
                <w:bCs w:val="0"/>
                <w:color w:val="000000" w:themeColor="text1"/>
                <w:sz w:val="16"/>
                <w:szCs w:val="16"/>
              </w:rPr>
              <w:t>Alelo polimórfico = G</w:t>
            </w:r>
          </w:p>
        </w:tc>
      </w:tr>
    </w:tbl>
    <w:p w14:paraId="34440319" w14:textId="7AAD9DE2" w:rsidR="00957E5D" w:rsidRPr="00321659" w:rsidRDefault="00C52819" w:rsidP="00321659">
      <w:pPr>
        <w:spacing w:before="30" w:line="360" w:lineRule="auto"/>
        <w:jc w:val="center"/>
      </w:pPr>
      <w:r w:rsidRPr="00283862">
        <w:rPr>
          <w:noProof/>
          <w:color w:val="000000"/>
          <w:sz w:val="22"/>
          <w:szCs w:val="22"/>
          <w14:textFill>
            <w14:solidFill>
              <w14:srgbClr w14:val="000000">
                <w14:lumMod w14:val="65000"/>
                <w14:lumOff w14:val="35000"/>
              </w14:srgbClr>
            </w14:solidFill>
          </w14:textFill>
        </w:rPr>
        <w:drawing>
          <wp:inline distT="0" distB="0" distL="0" distR="0" wp14:anchorId="009BB4C4" wp14:editId="62B9F1C3">
            <wp:extent cx="2754843" cy="1842551"/>
            <wp:effectExtent l="0" t="0" r="127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t="7982"/>
                    <a:stretch/>
                  </pic:blipFill>
                  <pic:spPr bwMode="auto">
                    <a:xfrm>
                      <a:off x="0" y="0"/>
                      <a:ext cx="2830394" cy="1893082"/>
                    </a:xfrm>
                    <a:prstGeom prst="rect">
                      <a:avLst/>
                    </a:prstGeom>
                    <a:noFill/>
                    <a:ln>
                      <a:noFill/>
                    </a:ln>
                    <a:extLst>
                      <a:ext uri="{53640926-AAD7-44D8-BBD7-CCE9431645EC}">
                        <a14:shadowObscured xmlns:a14="http://schemas.microsoft.com/office/drawing/2010/main"/>
                      </a:ext>
                    </a:extLst>
                  </pic:spPr>
                </pic:pic>
              </a:graphicData>
            </a:graphic>
          </wp:inline>
        </w:drawing>
      </w:r>
    </w:p>
    <w:p w14:paraId="3E7FAB00" w14:textId="77777777" w:rsidR="00231880" w:rsidRPr="00231880" w:rsidRDefault="00A22143" w:rsidP="00231880">
      <w:pPr>
        <w:spacing w:before="30" w:line="360" w:lineRule="auto"/>
        <w:rPr>
          <w:b/>
          <w:bCs/>
          <w:sz w:val="22"/>
          <w:szCs w:val="22"/>
          <w:u w:val="single"/>
        </w:rPr>
      </w:pPr>
      <w:r>
        <w:rPr>
          <w:bCs/>
          <w:color w:val="222222"/>
          <w:sz w:val="22"/>
          <w:szCs w:val="22"/>
        </w:rPr>
        <w:t xml:space="preserve">    Fonte:</w:t>
      </w:r>
      <w:r w:rsidR="00231880">
        <w:rPr>
          <w:bCs/>
          <w:color w:val="222222"/>
          <w:sz w:val="22"/>
          <w:szCs w:val="22"/>
        </w:rPr>
        <w:t xml:space="preserve"> </w:t>
      </w:r>
      <w:r w:rsidR="00231880" w:rsidRPr="00231880">
        <w:rPr>
          <w:color w:val="000000" w:themeColor="text1"/>
          <w:sz w:val="22"/>
          <w:szCs w:val="22"/>
        </w:rPr>
        <w:t>Dados da pesquisa.</w:t>
      </w:r>
    </w:p>
    <w:p w14:paraId="6BEA9631" w14:textId="1BEF1830" w:rsidR="00A22143" w:rsidRPr="00F85264" w:rsidRDefault="00A22143" w:rsidP="00A22143">
      <w:pPr>
        <w:pBdr>
          <w:top w:val="nil"/>
          <w:left w:val="nil"/>
          <w:bottom w:val="nil"/>
          <w:right w:val="nil"/>
          <w:between w:val="nil"/>
        </w:pBdr>
        <w:spacing w:before="30" w:line="360" w:lineRule="auto"/>
        <w:rPr>
          <w:bCs/>
          <w:color w:val="222222"/>
          <w:sz w:val="22"/>
          <w:szCs w:val="22"/>
        </w:rPr>
      </w:pPr>
    </w:p>
    <w:p w14:paraId="74031690" w14:textId="77777777" w:rsidR="001B4588" w:rsidRDefault="001B4588" w:rsidP="004732CB">
      <w:pPr>
        <w:spacing w:before="30" w:line="360" w:lineRule="auto"/>
        <w:rPr>
          <w:bCs/>
          <w:color w:val="222222"/>
        </w:rPr>
      </w:pPr>
    </w:p>
    <w:p w14:paraId="1D434EAC" w14:textId="77777777" w:rsidR="00ED5956" w:rsidRDefault="00ED5956" w:rsidP="004732CB">
      <w:pPr>
        <w:spacing w:before="30" w:line="360" w:lineRule="auto"/>
        <w:rPr>
          <w:bCs/>
          <w:color w:val="222222"/>
        </w:rPr>
      </w:pPr>
    </w:p>
    <w:p w14:paraId="3A2DE624" w14:textId="77777777" w:rsidR="00ED5956" w:rsidRDefault="00ED5956" w:rsidP="004732CB">
      <w:pPr>
        <w:spacing w:before="30" w:line="360" w:lineRule="auto"/>
        <w:rPr>
          <w:bCs/>
          <w:color w:val="222222"/>
        </w:rPr>
      </w:pPr>
    </w:p>
    <w:p w14:paraId="0DE2BBC3" w14:textId="77777777" w:rsidR="00ED5956" w:rsidRDefault="00ED5956" w:rsidP="004732CB">
      <w:pPr>
        <w:spacing w:before="30" w:line="360" w:lineRule="auto"/>
        <w:rPr>
          <w:bCs/>
          <w:color w:val="222222"/>
        </w:rPr>
      </w:pPr>
    </w:p>
    <w:p w14:paraId="4E49E2A8" w14:textId="77777777" w:rsidR="00ED5956" w:rsidRDefault="00ED5956" w:rsidP="004732CB">
      <w:pPr>
        <w:spacing w:before="30" w:line="360" w:lineRule="auto"/>
        <w:rPr>
          <w:bCs/>
          <w:color w:val="222222"/>
        </w:rPr>
      </w:pPr>
    </w:p>
    <w:p w14:paraId="0389376D" w14:textId="77777777" w:rsidR="00ED5956" w:rsidRDefault="00ED5956" w:rsidP="004732CB">
      <w:pPr>
        <w:spacing w:before="30" w:line="360" w:lineRule="auto"/>
        <w:rPr>
          <w:bCs/>
          <w:color w:val="222222"/>
        </w:rPr>
      </w:pPr>
    </w:p>
    <w:p w14:paraId="422015C2" w14:textId="77777777" w:rsidR="00ED5956" w:rsidRDefault="00ED5956" w:rsidP="004732CB">
      <w:pPr>
        <w:spacing w:before="30" w:line="360" w:lineRule="auto"/>
        <w:rPr>
          <w:bCs/>
          <w:color w:val="222222"/>
        </w:rPr>
      </w:pPr>
    </w:p>
    <w:p w14:paraId="63EF800D" w14:textId="77777777" w:rsidR="00ED5956" w:rsidRDefault="00ED5956" w:rsidP="004732CB">
      <w:pPr>
        <w:spacing w:before="30" w:line="360" w:lineRule="auto"/>
        <w:rPr>
          <w:bCs/>
          <w:color w:val="222222"/>
        </w:rPr>
      </w:pPr>
    </w:p>
    <w:p w14:paraId="761064FC" w14:textId="77777777" w:rsidR="00ED5956" w:rsidRDefault="00ED5956" w:rsidP="004732CB">
      <w:pPr>
        <w:spacing w:before="30" w:line="360" w:lineRule="auto"/>
        <w:rPr>
          <w:bCs/>
          <w:color w:val="222222"/>
        </w:rPr>
      </w:pPr>
    </w:p>
    <w:p w14:paraId="6DFF17D2" w14:textId="77777777" w:rsidR="00ED5956" w:rsidRDefault="00ED5956" w:rsidP="004732CB">
      <w:pPr>
        <w:spacing w:before="30" w:line="360" w:lineRule="auto"/>
        <w:rPr>
          <w:bCs/>
          <w:color w:val="222222"/>
        </w:rPr>
      </w:pPr>
    </w:p>
    <w:p w14:paraId="6E41D24A" w14:textId="77777777" w:rsidR="00ED5956" w:rsidRDefault="00ED5956" w:rsidP="004732CB">
      <w:pPr>
        <w:spacing w:before="30" w:line="360" w:lineRule="auto"/>
        <w:rPr>
          <w:bCs/>
          <w:color w:val="222222"/>
        </w:rPr>
      </w:pPr>
    </w:p>
    <w:p w14:paraId="6E2D5C96" w14:textId="77777777" w:rsidR="00ED5956" w:rsidRDefault="00ED5956" w:rsidP="004732CB">
      <w:pPr>
        <w:spacing w:before="30" w:line="360" w:lineRule="auto"/>
        <w:rPr>
          <w:bCs/>
          <w:color w:val="222222"/>
        </w:rPr>
      </w:pPr>
    </w:p>
    <w:p w14:paraId="5D45E27F" w14:textId="77777777" w:rsidR="00ED5956" w:rsidRDefault="00ED5956" w:rsidP="004732CB">
      <w:pPr>
        <w:spacing w:before="30" w:line="360" w:lineRule="auto"/>
        <w:rPr>
          <w:bCs/>
          <w:color w:val="222222"/>
        </w:rPr>
      </w:pPr>
    </w:p>
    <w:p w14:paraId="5D0F13A7" w14:textId="77777777" w:rsidR="00ED5956" w:rsidRDefault="00ED5956" w:rsidP="004732CB">
      <w:pPr>
        <w:spacing w:before="30" w:line="360" w:lineRule="auto"/>
        <w:rPr>
          <w:bCs/>
          <w:color w:val="222222"/>
        </w:rPr>
      </w:pPr>
    </w:p>
    <w:p w14:paraId="2671CEA1" w14:textId="77777777" w:rsidR="00ED5956" w:rsidRDefault="00ED5956" w:rsidP="004732CB">
      <w:pPr>
        <w:spacing w:before="30" w:line="360" w:lineRule="auto"/>
        <w:rPr>
          <w:bCs/>
          <w:color w:val="222222"/>
        </w:rPr>
      </w:pPr>
    </w:p>
    <w:p w14:paraId="7710AB9C" w14:textId="77777777" w:rsidR="00ED5956" w:rsidRDefault="00ED5956" w:rsidP="004732CB">
      <w:pPr>
        <w:spacing w:before="30" w:line="360" w:lineRule="auto"/>
        <w:rPr>
          <w:bCs/>
          <w:color w:val="222222"/>
        </w:rPr>
      </w:pPr>
    </w:p>
    <w:p w14:paraId="5594778E" w14:textId="77777777" w:rsidR="00ED5956" w:rsidRDefault="00ED5956" w:rsidP="004732CB">
      <w:pPr>
        <w:spacing w:before="30" w:line="360" w:lineRule="auto"/>
        <w:rPr>
          <w:bCs/>
          <w:color w:val="222222"/>
        </w:rPr>
      </w:pPr>
    </w:p>
    <w:p w14:paraId="3BBB7467" w14:textId="77777777" w:rsidR="00ED5956" w:rsidRDefault="00ED5956" w:rsidP="004732CB">
      <w:pPr>
        <w:spacing w:before="30" w:line="360" w:lineRule="auto"/>
        <w:rPr>
          <w:bCs/>
          <w:color w:val="222222"/>
        </w:rPr>
      </w:pPr>
    </w:p>
    <w:p w14:paraId="216D69E3" w14:textId="77777777" w:rsidR="00ED5956" w:rsidRDefault="00ED5956" w:rsidP="004732CB">
      <w:pPr>
        <w:spacing w:before="30" w:line="360" w:lineRule="auto"/>
        <w:rPr>
          <w:bCs/>
          <w:color w:val="222222"/>
        </w:rPr>
      </w:pPr>
    </w:p>
    <w:p w14:paraId="7D83F477" w14:textId="77777777" w:rsidR="00ED5956" w:rsidRDefault="00ED5956" w:rsidP="004732CB">
      <w:pPr>
        <w:spacing w:before="30" w:line="360" w:lineRule="auto"/>
        <w:rPr>
          <w:bCs/>
          <w:color w:val="222222"/>
        </w:rPr>
      </w:pPr>
    </w:p>
    <w:p w14:paraId="57185F6B" w14:textId="113A86A1" w:rsidR="00302B53" w:rsidRPr="00F85264" w:rsidRDefault="00F85264" w:rsidP="00F85264">
      <w:pPr>
        <w:pStyle w:val="Ttulo1"/>
        <w:numPr>
          <w:ilvl w:val="0"/>
          <w:numId w:val="0"/>
        </w:numPr>
        <w:pBdr>
          <w:top w:val="nil"/>
          <w:left w:val="nil"/>
          <w:bottom w:val="nil"/>
          <w:right w:val="nil"/>
          <w:between w:val="nil"/>
        </w:pBdr>
        <w:spacing w:before="30" w:line="360" w:lineRule="auto"/>
        <w:rPr>
          <w:rFonts w:ascii="Times New Roman" w:hAnsi="Times New Roman"/>
          <w:color w:val="222222"/>
          <w:sz w:val="24"/>
          <w:szCs w:val="24"/>
          <w:lang w:val="pt-BR"/>
        </w:rPr>
      </w:pPr>
      <w:r w:rsidRPr="00F85264">
        <w:rPr>
          <w:rFonts w:ascii="Times New Roman" w:hAnsi="Times New Roman"/>
          <w:color w:val="222222"/>
          <w:sz w:val="24"/>
          <w:szCs w:val="24"/>
          <w:lang w:val="pt-BR"/>
        </w:rPr>
        <w:lastRenderedPageBreak/>
        <w:t xml:space="preserve">9 </w:t>
      </w:r>
      <w:r w:rsidR="00302B53" w:rsidRPr="00F85264">
        <w:rPr>
          <w:rFonts w:ascii="Times New Roman" w:hAnsi="Times New Roman"/>
          <w:color w:val="222222"/>
          <w:sz w:val="24"/>
          <w:szCs w:val="24"/>
          <w:lang w:val="pt-BR"/>
        </w:rPr>
        <w:t>DISCUSSÃO</w:t>
      </w:r>
    </w:p>
    <w:p w14:paraId="09E97DED" w14:textId="5D909D93" w:rsidR="006C070C" w:rsidRPr="00F85264" w:rsidRDefault="006C070C" w:rsidP="006C070C">
      <w:pPr>
        <w:rPr>
          <w:lang w:eastAsia="en-US"/>
        </w:rPr>
      </w:pPr>
    </w:p>
    <w:p w14:paraId="0FF9FE40" w14:textId="17FE6816" w:rsidR="006C070C" w:rsidRPr="00F85264" w:rsidRDefault="006C070C" w:rsidP="006C070C">
      <w:pPr>
        <w:rPr>
          <w:lang w:eastAsia="en-US"/>
        </w:rPr>
      </w:pPr>
    </w:p>
    <w:p w14:paraId="4A583F87" w14:textId="613FB69F" w:rsidR="00293383" w:rsidRDefault="006C070C" w:rsidP="00865038">
      <w:pPr>
        <w:spacing w:line="360" w:lineRule="auto"/>
        <w:jc w:val="both"/>
        <w:rPr>
          <w:lang w:eastAsia="en-US"/>
        </w:rPr>
      </w:pPr>
      <w:r>
        <w:rPr>
          <w:lang w:eastAsia="en-US"/>
        </w:rPr>
        <w:t xml:space="preserve">     Neste estudo, </w:t>
      </w:r>
      <w:r w:rsidR="00406F13">
        <w:rPr>
          <w:lang w:eastAsia="en-US"/>
        </w:rPr>
        <w:t>avali</w:t>
      </w:r>
      <w:r w:rsidR="00231880">
        <w:rPr>
          <w:lang w:eastAsia="en-US"/>
        </w:rPr>
        <w:t xml:space="preserve">ou-se </w:t>
      </w:r>
      <w:r>
        <w:rPr>
          <w:lang w:eastAsia="en-US"/>
        </w:rPr>
        <w:t>a associação de oito polimorfismos com a função tireoidiana</w:t>
      </w:r>
      <w:r w:rsidR="00231880">
        <w:rPr>
          <w:lang w:eastAsia="en-US"/>
        </w:rPr>
        <w:t>,</w:t>
      </w:r>
      <w:r>
        <w:rPr>
          <w:lang w:eastAsia="en-US"/>
        </w:rPr>
        <w:t xml:space="preserve"> em população de mulheres com mais de 6</w:t>
      </w:r>
      <w:r w:rsidR="00EF017C">
        <w:rPr>
          <w:lang w:eastAsia="en-US"/>
        </w:rPr>
        <w:t>0</w:t>
      </w:r>
      <w:r>
        <w:rPr>
          <w:lang w:eastAsia="en-US"/>
        </w:rPr>
        <w:t xml:space="preserve"> anos de idade. Os polimorfismos selecionados já haviam sido previamente associados, em estudos empregando GWAS, </w:t>
      </w:r>
      <w:r w:rsidR="00157650">
        <w:rPr>
          <w:lang w:eastAsia="en-US"/>
        </w:rPr>
        <w:t>com</w:t>
      </w:r>
      <w:r>
        <w:rPr>
          <w:lang w:eastAsia="en-US"/>
        </w:rPr>
        <w:t xml:space="preserve"> alterações dos níveis séricos de hormônios relacionados à função da tireoide (TSH, T3l e T4l)</w:t>
      </w:r>
      <w:r w:rsidR="00231880">
        <w:rPr>
          <w:lang w:eastAsia="en-US"/>
        </w:rPr>
        <w:t>,</w:t>
      </w:r>
      <w:r>
        <w:rPr>
          <w:lang w:eastAsia="en-US"/>
        </w:rPr>
        <w:t xml:space="preserve"> </w:t>
      </w:r>
      <w:r w:rsidR="00231880">
        <w:rPr>
          <w:lang w:eastAsia="en-US"/>
        </w:rPr>
        <w:t xml:space="preserve">em </w:t>
      </w:r>
      <w:r>
        <w:rPr>
          <w:lang w:eastAsia="en-US"/>
        </w:rPr>
        <w:t>população adulta não geriátrica</w:t>
      </w:r>
      <w:r w:rsidDel="00A2287E">
        <w:rPr>
          <w:lang w:eastAsia="en-US"/>
        </w:rPr>
        <w:t xml:space="preserve"> </w:t>
      </w:r>
      <w:r>
        <w:rPr>
          <w:lang w:eastAsia="en-US"/>
        </w:rPr>
        <w:t xml:space="preserve"> </w:t>
      </w:r>
      <w:r>
        <w:rPr>
          <w:lang w:eastAsia="en-US"/>
        </w:rPr>
        <w:fldChar w:fldCharType="begin"/>
      </w:r>
      <w:r w:rsidR="00344DCD">
        <w:rPr>
          <w:lang w:eastAsia="en-US"/>
        </w:rPr>
        <w:instrText xml:space="preserve"> ADDIN ZOTERO_ITEM CSL_CITATION {"citationID":"R8PdNQNK","properties":{"unsorted":true,"formattedCitation":"(18,19)","plainCitation":"(18,19)","noteIndex":0},"citationItems":[{"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J."},{"family":"Medici","given":"Marco"}],"issued":{"date-parts":[["2018",12]]}},"label":"page"},{"id":98,"uris":["http://zotero.org/users/7110448/items/NWD9PBLZ"],"itemData":{"id":98,"type":"article-journal","container-title":"Nature Communications","DOI":"10.1038/s41467-020-17718-z","ISSN":"2041-1723","issue":"1","journalAbbreviation":"Nat Commun","language":"en","page":"3981","source":"DOI.org (Crossref)","title":"GWAS of thyroid stimulating hormone highlights pleiotropic effects and inverse association with thyroid cancer","volume":"11","author":[{"family":"Zhou","given":"Wei"},{"family":"Brumpton","given":"Ben"},{"family":"Kabil","given":"Omer"},{"family":"Gudmundsson","given":"Julius"},{"family":"Thorleifsson","given":"Gudmar"},{"family":"Weinstock","given":"Josh"},{"family":"Zawistowski","given":"Matthew"},{"family":"Nielsen","given":"Jonas B."},{"family":"Chaker","given":"Layal"},{"family":"Medici","given":"Marco"},{"family":"Teumer","given":"Alexander"},{"family":"Naitza","given":"Silvia"},{"family":"Sanna","given":"Serena"},{"family":"Schultheiss","given":"Ulla T."},{"family":"Cappola","given":"Anne"},{"family":"Karjalainen","given":"Juha"},{"family":"Kurki","given":"Mitja"},{"family":"Oneka","given":"Morgan"},{"family":"Taylor","given":"Peter"},{"family":"Fritsche","given":"Lars G."},{"family":"Graham","given":"Sarah E."},{"family":"Wolford","given":"Brooke N."},{"family":"Overton","given":"William"},{"family":"Rasheed","given":"Humaira"},{"family":"Haug","given":"Eirin B."},{"family":"Gabrielsen","given":"Maiken E."},{"family":"Skogholt","given":"Anne Heidi"},{"family":"Surakka","given":"Ida"},{"family":"Davey Smith","given":"George"},{"family":"Pandit","given":"Anita"},{"family":"Roychowdhury","given":"Tanmoy"},{"family":"Hornsby","given":"Whitney E."},{"family":"Jonasson","given":"Jon G."},{"family":"Senter","given":"Leigha"},{"family":"Liyanarachchi","given":"Sandya"},{"family":"Ringel","given":"Matthew D."},{"family":"Xu","given":"Li"},{"family":"Kiemeney","given":"Lambertus A."},{"family":"He","given":"Huiling"},{"family":"Netea-Maier","given":"Romana T."},{"family":"Mayordomo","given":"Jose I."},{"family":"Plantinga","given":"Theo S."},{"family":"Hrafnkelsson","given":"Jon"},{"family":"Hjartarson","given":"Hannes"},{"family":"Sturgis","given":"Erich M."},{"family":"Palotie","given":"Aarno"},{"family":"Daly","given":"Mark"},{"family":"Citterio","given":"Cintia E."},{"family":"Arvan","given":"Peter"},{"family":"Brummett","given":"Chad M."},{"family":"Boehnke","given":"Michael"},{"family":"Chapelle","given":"Albert","non-dropping-particle":"de la"},{"family":"Stefansson","given":"Kari"},{"family":"Hveem","given":"Kristian"},{"family":"Willer","given":"Cristen J."},{"family":"Åsvold","given":"Bjørn Olav"}],"issued":{"date-parts":[["2020",12]]}},"label":"page"}],"schema":"https://github.com/citation-style-language/schema/raw/master/csl-citation.json"} </w:instrText>
      </w:r>
      <w:r>
        <w:rPr>
          <w:lang w:eastAsia="en-US"/>
        </w:rPr>
        <w:fldChar w:fldCharType="separate"/>
      </w:r>
      <w:r>
        <w:rPr>
          <w:noProof/>
          <w:lang w:eastAsia="en-US"/>
        </w:rPr>
        <w:t>(18,19)</w:t>
      </w:r>
      <w:r>
        <w:rPr>
          <w:lang w:eastAsia="en-US"/>
        </w:rPr>
        <w:fldChar w:fldCharType="end"/>
      </w:r>
      <w:r>
        <w:rPr>
          <w:lang w:eastAsia="en-US"/>
        </w:rPr>
        <w:t>. O impacto des</w:t>
      </w:r>
      <w:r w:rsidR="00231880">
        <w:rPr>
          <w:lang w:eastAsia="en-US"/>
        </w:rPr>
        <w:t>s</w:t>
      </w:r>
      <w:r>
        <w:rPr>
          <w:lang w:eastAsia="en-US"/>
        </w:rPr>
        <w:t>as variantes genéticas</w:t>
      </w:r>
      <w:r w:rsidR="00231880">
        <w:rPr>
          <w:lang w:eastAsia="en-US"/>
        </w:rPr>
        <w:t>,</w:t>
      </w:r>
      <w:r>
        <w:rPr>
          <w:lang w:eastAsia="en-US"/>
        </w:rPr>
        <w:t xml:space="preserve"> nos níveis séricos hormonais exclusivamente em população geriátrica</w:t>
      </w:r>
      <w:r w:rsidR="00231880">
        <w:rPr>
          <w:lang w:eastAsia="en-US"/>
        </w:rPr>
        <w:t>,</w:t>
      </w:r>
      <w:r>
        <w:rPr>
          <w:lang w:eastAsia="en-US"/>
        </w:rPr>
        <w:t xml:space="preserve"> ainda não foi formalmente abordado em estudos clínicos. Diante das peculiaridades envolvendo o controle do </w:t>
      </w:r>
      <w:r w:rsidRPr="00371806">
        <w:rPr>
          <w:i/>
          <w:iCs/>
          <w:lang w:eastAsia="en-US"/>
        </w:rPr>
        <w:t>set-point</w:t>
      </w:r>
      <w:r>
        <w:rPr>
          <w:lang w:eastAsia="en-US"/>
        </w:rPr>
        <w:t xml:space="preserve"> hormonal nes</w:t>
      </w:r>
      <w:r w:rsidR="00406F13">
        <w:rPr>
          <w:lang w:eastAsia="en-US"/>
        </w:rPr>
        <w:t>s</w:t>
      </w:r>
      <w:r>
        <w:rPr>
          <w:lang w:eastAsia="en-US"/>
        </w:rPr>
        <w:t xml:space="preserve">a faixa etária e das potenciais implicações clínicas da utilização de um painel </w:t>
      </w:r>
      <w:proofErr w:type="spellStart"/>
      <w:r>
        <w:rPr>
          <w:lang w:eastAsia="en-US"/>
        </w:rPr>
        <w:t>multigênico</w:t>
      </w:r>
      <w:proofErr w:type="spellEnd"/>
      <w:r>
        <w:rPr>
          <w:lang w:eastAsia="en-US"/>
        </w:rPr>
        <w:t xml:space="preserve"> capaz de aplicar medicina de precisão na interpretação dos testes de função tireoidiana </w:t>
      </w:r>
      <w:r>
        <w:rPr>
          <w:lang w:eastAsia="en-US"/>
        </w:rPr>
        <w:fldChar w:fldCharType="begin"/>
      </w:r>
      <w:r>
        <w:rPr>
          <w:lang w:eastAsia="en-US"/>
        </w:rPr>
        <w:instrText xml:space="preserve"> ADDIN ZOTERO_ITEM CSL_CITATION {"citationID":"D7qo1jP8","properties":{"formattedCitation":"(1,25)","plainCitation":"(1,25)","noteIndex":0},"citationItems":[{"id":672,"uris":["http://zotero.org/users/7110448/items/USSEY4RV"],"itemData":{"id":672,"type":"article-journal","abstract":"BACKGROUND: Thyroid hormones have significant effects on the cardiovascular systems. In general, hyperthyroidism is associated with an increased risk of dysrhythmias, while hypothyroidism may cause atherosclerosis. Recent large studies have sought to identify aging-associated changes in thyroid function and their relevance to cardiovascular morbidity and mortality in the elderly. Conflicting results have often been published, likely due to the heterogeneity of the studied populations.\nOBJECTIVE: This review seeks to briefly summarize the most recent large population studies analyzing thyroid changes with aging and interpreting their effects on cardiovascular health in the elderly.\nMETHODS: Selective review of recent literature.\nRESULTS: The emerging pattern suggests a slight decrease in thyroid function in the elderly leading to slightly higher thyroid stimulating hormone (TSH) levels. However, the incidence of mild hyperthyroidism also increases, especially in populations with historical or current iodine deficiency. Large observational studies suggest that the potential harm from mild hypothyroidism seen in younger population tends to diminish in older subjects, while the harm from mild hyperthyroidism becomes more significant. A markedly increased risk of atrial fibrillation is a well-established consequence of subclinical hyperthyroidism in patients in the sixth decade of life and beyond.\nCONCLUSIONS: The absence of large prospective interventional data does not allow the formulation of strict clinical recommendations, but a higher TSH threshold for treating both subclinical hypothyroidism and subclinical hyperthyroidism in the elderly seems reasonable.","container-title":"Gerontology","DOI":"10.1159/000490911","ISSN":"1423-0003","issue":"1","journalAbbreviation":"Gerontology","language":"eng","note":"PMID: 30032140","page":"1-8","source":"PubMed","title":"Thyroid Function Changes in the Elderly and Their Relationship to Cardiovascular Health: A Mini-Review","title-short":"Thyroid Function Changes in the Elderly and Their Relationship to Cardiovascular Health","volume":"65","author":[{"family":"Barbesino","given":"Giuseppe"}],"issued":{"date-parts":[["2019"]]}},"label":"page"},{"id":1528,"uris":["http://zotero.org/users/7110448/items/W68L37LX"],"itemData":{"id":1528,"type":"article-journal","abstract":"BACKGROUND: Low thyroid function within the euthyroid range, as well as overt and subclinical hypothyroidism, reportedly increases the risk of cardiovascular disease and mortality. However, the association between low normal thyroid function and mortality remains controversial. This study was performed to elucidate the association between low normal thyroid function and all-cause and/or cause-specific mortalities among U.S. adults.\nMETHODS: A prospective cohort study was conducted using a nationally representative sample of 12,584 U.S. adults aged ≥20 years with thyrotropin (TSH) levels within the reference range from the National Health and Nutrition Examination Survey (NHANES) III (1988-1994). Associations between TSH tertiles (high, medium, and low normal TSH groups) and mortalities (all-cause, cardiovascular, and cancer) were investigated using multivariable Cox models. Stratum-specific analyses were estimated within subgroups defined according to sex (male or female) and baseline age (age &lt;60 years or age ≥60 years). Further, the same analysis was conducted using continuous NHANES 2001-2002, 2007-2008, and 2009-2010 cohorts, which included data on free thyroxine levels.\nRESULTS: The median follow-up period was 19.1 years, with 3395 all-cause deaths. A significantly higher risk of all-cause mortality (adjusted hazard ratio [HR] 1.27; [confidence interval (CI) 1.10-1.47]), and cardiovascular mortality (HR 1.30 [CI 1.02-1.67]), and cancer mortality (HR 1.43 [CI 1.01-2.01]) was observed in the high normal TSH group than in the medium normal TSH group. Additionally, the low normal TSH group had an increased risk of all-cause mortality. In stratum-specific analyses, a significant association was found between high normal TSH levels and all-cause mortality among males, females, and participants &lt;60 years. Continuous NHANES cohorts demonstrated a non-significant increase in the HR for all-cause mortality in the high normal TSH group.\nCONCLUSIONS: High normal TSH levels compared with medium normal TSH levels were associated with increased risk of all-cause, cardiovascular, and cancer mortalities over a long-term follow-up period among U.S. adults. This study indicates that the reference range for TSH levels may require re-evaluation.","container-title":"Thyroid: Official Journal of the American Thyroid Association","DOI":"10.1089/thy.2016.0156","ISSN":"1557-9077","issue":"10","journalAbbreviation":"Thyroid","language":"eng","note":"PMID: 27539006","page":"1457-1465","source":"PubMed","title":"Association Between Serum Thyrotropin Levels and Mortality Among Euthyroid Adults in the United States","volume":"26","author":[{"family":"Inoue","given":"Kosuke"},{"family":"Tsujimoto","given":"Tetsuro"},{"family":"Saito","given":"Jun"},{"family":"Sugiyama","given":"Takehiro"}],"issued":{"date-parts":[["2016",10]]}},"label":"page"}],"schema":"https://github.com/citation-style-language/schema/raw/master/csl-citation.json"} </w:instrText>
      </w:r>
      <w:r>
        <w:rPr>
          <w:lang w:eastAsia="en-US"/>
        </w:rPr>
        <w:fldChar w:fldCharType="separate"/>
      </w:r>
      <w:r>
        <w:rPr>
          <w:noProof/>
          <w:lang w:eastAsia="en-US"/>
        </w:rPr>
        <w:t>(1,25)</w:t>
      </w:r>
      <w:r>
        <w:rPr>
          <w:lang w:eastAsia="en-US"/>
        </w:rPr>
        <w:fldChar w:fldCharType="end"/>
      </w:r>
      <w:r>
        <w:rPr>
          <w:lang w:eastAsia="en-US"/>
        </w:rPr>
        <w:t xml:space="preserve">, </w:t>
      </w:r>
      <w:r w:rsidR="00406F13">
        <w:rPr>
          <w:lang w:eastAsia="en-US"/>
        </w:rPr>
        <w:t xml:space="preserve">optou-se </w:t>
      </w:r>
      <w:r>
        <w:rPr>
          <w:lang w:eastAsia="en-US"/>
        </w:rPr>
        <w:t>por estudar a associação de oito polimorfismos conhecidos com níveis séricos de TSH, T4l e T3l</w:t>
      </w:r>
      <w:r w:rsidR="00406F13">
        <w:rPr>
          <w:lang w:eastAsia="en-US"/>
        </w:rPr>
        <w:t>,</w:t>
      </w:r>
      <w:r>
        <w:rPr>
          <w:lang w:eastAsia="en-US"/>
        </w:rPr>
        <w:t xml:space="preserve"> em mulheres idosas eutireoidianas</w:t>
      </w:r>
      <w:r w:rsidR="00157650">
        <w:rPr>
          <w:lang w:eastAsia="en-US"/>
        </w:rPr>
        <w:t xml:space="preserve"> independentes </w:t>
      </w:r>
      <w:r w:rsidR="009519F3">
        <w:rPr>
          <w:lang w:eastAsia="en-US"/>
        </w:rPr>
        <w:t xml:space="preserve">da </w:t>
      </w:r>
      <w:r w:rsidR="00157650">
        <w:rPr>
          <w:lang w:eastAsia="en-US"/>
        </w:rPr>
        <w:t>presença de</w:t>
      </w:r>
      <w:r w:rsidR="009519F3">
        <w:rPr>
          <w:lang w:eastAsia="en-US"/>
        </w:rPr>
        <w:t xml:space="preserve"> anticorpos tireoidianos. </w:t>
      </w:r>
    </w:p>
    <w:p w14:paraId="7403808F" w14:textId="1C553AAC" w:rsidR="00F07991" w:rsidRPr="00B468BA" w:rsidRDefault="00293383" w:rsidP="00865038">
      <w:pPr>
        <w:spacing w:line="360" w:lineRule="auto"/>
        <w:jc w:val="both"/>
        <w:rPr>
          <w:lang w:eastAsia="en-US"/>
        </w:rPr>
      </w:pPr>
      <w:r>
        <w:rPr>
          <w:lang w:eastAsia="en-US"/>
        </w:rPr>
        <w:t xml:space="preserve">     </w:t>
      </w:r>
      <w:r w:rsidR="00406F13" w:rsidRPr="00CA4AD9">
        <w:rPr>
          <w:lang w:eastAsia="en-US"/>
        </w:rPr>
        <w:t xml:space="preserve">Calcularam-se </w:t>
      </w:r>
      <w:r w:rsidR="00800666" w:rsidRPr="00CA4AD9">
        <w:rPr>
          <w:lang w:eastAsia="en-US"/>
        </w:rPr>
        <w:t xml:space="preserve">as frequências alélicas dos oito polimorfismos estudados e </w:t>
      </w:r>
      <w:r w:rsidR="00F07991" w:rsidRPr="00CA4AD9">
        <w:rPr>
          <w:lang w:eastAsia="en-US"/>
        </w:rPr>
        <w:t>compara</w:t>
      </w:r>
      <w:r w:rsidR="00406F13" w:rsidRPr="00CA4AD9">
        <w:rPr>
          <w:lang w:eastAsia="en-US"/>
        </w:rPr>
        <w:t>ram-se</w:t>
      </w:r>
      <w:r w:rsidR="00F07991" w:rsidRPr="00CA4AD9">
        <w:rPr>
          <w:lang w:eastAsia="en-US"/>
        </w:rPr>
        <w:t xml:space="preserve"> com dados da população brasileira. </w:t>
      </w:r>
      <w:r w:rsidR="00406F13" w:rsidRPr="00CA4AD9">
        <w:rPr>
          <w:lang w:eastAsia="en-US"/>
        </w:rPr>
        <w:t xml:space="preserve">Utilizou-se </w:t>
      </w:r>
      <w:r w:rsidR="00F07991" w:rsidRPr="00CA4AD9">
        <w:rPr>
          <w:lang w:eastAsia="en-US"/>
        </w:rPr>
        <w:t xml:space="preserve">o </w:t>
      </w:r>
      <w:r w:rsidR="00F07991" w:rsidRPr="00A322DB">
        <w:rPr>
          <w:i/>
          <w:lang w:eastAsia="en-US"/>
        </w:rPr>
        <w:t>Arquivo Brasileiro Online de Mutações</w:t>
      </w:r>
      <w:r w:rsidR="00F07991" w:rsidRPr="00CA4AD9">
        <w:rPr>
          <w:lang w:eastAsia="en-US"/>
        </w:rPr>
        <w:t xml:space="preserve"> (</w:t>
      </w:r>
      <w:proofErr w:type="spellStart"/>
      <w:r w:rsidR="00F07991" w:rsidRPr="00CA4AD9">
        <w:rPr>
          <w:lang w:eastAsia="en-US"/>
        </w:rPr>
        <w:t>ABraOM</w:t>
      </w:r>
      <w:proofErr w:type="spellEnd"/>
      <w:r w:rsidR="00F07991" w:rsidRPr="00CA4AD9">
        <w:rPr>
          <w:lang w:eastAsia="en-US"/>
        </w:rPr>
        <w:t>), repositório de variantes genômicas</w:t>
      </w:r>
      <w:r w:rsidR="00CA4AD9">
        <w:rPr>
          <w:lang w:eastAsia="en-US"/>
        </w:rPr>
        <w:t>,</w:t>
      </w:r>
      <w:r w:rsidR="00F07991" w:rsidRPr="00CA4AD9">
        <w:rPr>
          <w:lang w:eastAsia="en-US"/>
        </w:rPr>
        <w:t xml:space="preserve"> obtidas a partir do sequenciamento d</w:t>
      </w:r>
      <w:r w:rsidR="005E3A07" w:rsidRPr="00CA4AD9">
        <w:rPr>
          <w:lang w:eastAsia="en-US"/>
        </w:rPr>
        <w:t>o genoma completo de</w:t>
      </w:r>
      <w:r w:rsidR="00993E16" w:rsidRPr="00CA4AD9">
        <w:rPr>
          <w:lang w:eastAsia="en-US"/>
        </w:rPr>
        <w:t xml:space="preserve"> </w:t>
      </w:r>
      <w:r w:rsidR="00F07991" w:rsidRPr="00CA4AD9">
        <w:rPr>
          <w:lang w:eastAsia="en-US"/>
        </w:rPr>
        <w:t>amostra ce</w:t>
      </w:r>
      <w:r w:rsidR="00993E16" w:rsidRPr="00CA4AD9">
        <w:rPr>
          <w:lang w:eastAsia="en-US"/>
        </w:rPr>
        <w:t>nsitária de idosos da maior cidade do Brasil, São Paulo</w:t>
      </w:r>
      <w:r w:rsidR="007D1F85" w:rsidRPr="00CA4AD9">
        <w:rPr>
          <w:lang w:eastAsia="en-US"/>
        </w:rPr>
        <w:t xml:space="preserve">, realizado via </w:t>
      </w:r>
      <w:r w:rsidR="007D1F85" w:rsidRPr="00A322DB">
        <w:rPr>
          <w:i/>
          <w:lang w:eastAsia="en-US"/>
        </w:rPr>
        <w:t>Projeto Saúde, Bem-estar e Envelhecimento</w:t>
      </w:r>
      <w:r w:rsidR="007D1F85" w:rsidRPr="00CA4AD9">
        <w:rPr>
          <w:lang w:eastAsia="en-US"/>
        </w:rPr>
        <w:t xml:space="preserve"> (SABE), apo</w:t>
      </w:r>
      <w:r w:rsidR="00CA4AD9">
        <w:rPr>
          <w:lang w:eastAsia="en-US"/>
        </w:rPr>
        <w:t>iado pela Fundação de Amparo à Pesquisa do E</w:t>
      </w:r>
      <w:r w:rsidR="007D1F85" w:rsidRPr="00CA4AD9">
        <w:rPr>
          <w:lang w:eastAsia="en-US"/>
        </w:rPr>
        <w:t>stado de São Paulo (FAPESP)</w:t>
      </w:r>
      <w:r w:rsidR="00993E16" w:rsidRPr="00CA4AD9">
        <w:rPr>
          <w:lang w:eastAsia="en-US"/>
        </w:rPr>
        <w:fldChar w:fldCharType="begin"/>
      </w:r>
      <w:r w:rsidR="00344DCD" w:rsidRPr="00CA4AD9">
        <w:rPr>
          <w:lang w:eastAsia="en-US"/>
        </w:rPr>
        <w:instrText xml:space="preserve"> ADDIN ZOTERO_ITEM CSL_CITATION {"citationID":"DZj9PiDZ","properties":{"formattedCitation":"(106)","plainCitation":"(106)","noteIndex":0},"citationItems":[{"id":2275,"uris":["http://zotero.org/users/7110448/items/RFS2C4SE"],"itemData":{"id":2275,"type":"article-journal","abstract":"As whole-genome sequencing (WGS) becomes the gold standard tool for studying population genomics and medical applications, data on diverse non-European and admixed individuals are still scarce. Here, we present a high-coverage WGS dataset of 1,171 highly admixed elderly Brazilians from a census-based cohort, providing over 76 million variants, of which ~2 million are absent from large public databases. WGS enables identification of ~2,000 previously undescribed mobile element insertions without previous description, nearly 5 Mb of genomic segments absent from the human genome reference, and over 140 alleles from HLA genes absent from public resources. We reclassify and curate pathogenicity assertions for nearly four hundred variants in genes associated with dominantly-inherited Mendelian disorders and calculate the incidence for selected recessive disorders, demonstrating the clinical usefulness of the present study. Finally, we observe that whole-genome and HLA imputation could be significantly improved compared to available datasets since rare variation represents the largest proportion of input from WGS. These results demonstrate that even smaller sample sizes of underrepresented populations bring relevant data for genomic studies, especially when exploring analyses allowed only by WGS.","container-title":"Nature Communications","DOI":"10.1038/s41467-022-28648-3","ISSN":"2041-1723","issue":"1","journalAbbreviation":"Nat Commun","language":"en","license":"2022 The Author(s)","note":"number: 1\npublisher: Nature Publishing Group","page":"1004","source":"www.nature.com","title":"Whole-genome sequencing of 1,171 elderly admixed individuals from Brazil","volume":"13","author":[{"family":"Naslavsky","given":"Michel S."},{"family":"Scliar","given":"Marilia O."},{"family":"Yamamoto","given":"Guilherme L."},{"family":"Wang","given":"Jaqueline Yu Ting"},{"family":"Zverinova","given":"Stepanka"},{"family":"Karp","given":"Tatiana"},{"family":"Nunes","given":"Kelly"},{"family":"Ceroni","given":"José Ricardo Magliocco"},{"family":"Carvalho","given":"Diego Lima","non-dropping-particle":"de"},{"family":"Silva Simões","given":"Carlos Eduardo","non-dropping-particle":"da"},{"family":"Bozoklian","given":"Daniel"},{"family":"Nonaka","given":"Ricardo"},{"family":"Santos Brito Silva","given":"Nayane","non-dropping-particle":"dos"},{"family":"Silva Souza","given":"Andreia","non-dropping-particle":"da"},{"family":"Souza Andrade","given":"Heloísa","non-dropping-particle":"de"},{"family":"Passos","given":"Marília Rodrigues Silva"},{"family":"Castro","given":"Camila Ferreira Bannwart"},{"family":"Mendes-Junior","given":"Celso T."},{"family":"Mercuri","given":"Rafael L. V."},{"family":"Miller","given":"Thiago L. A."},{"family":"Buzzo","given":"Jose Leonel"},{"family":"Rego","given":"Fernanda O."},{"family":"Araújo","given":"Nathalia M."},{"family":"Magalhães","given":"Wagner C. S."},{"family":"Mingroni-Netto","given":"Regina Célia"},{"family":"Borda","given":"Victor"},{"family":"Guio","given":"Heinner"},{"family":"Rojas","given":"Carlos P."},{"family":"Sanchez","given":"Cesar"},{"family":"Caceres","given":"Omar"},{"family":"Dean","given":"Michael"},{"family":"Barreto","given":"Mauricio L."},{"family":"Lima-Costa","given":"Maria Fernanda"},{"family":"Horta","given":"Bernardo L."},{"family":"Tarazona-Santos","given":"Eduardo"},{"family":"Meyer","given":"Diogo"},{"family":"Galante","given":"Pedro A. F."},{"family":"Guryev","given":"Victor"},{"family":"Castelli","given":"Erick C."},{"family":"Duarte","given":"Yeda A. O."},{"family":"Passos-Bueno","given":"Maria Rita"},{"family":"Zatz","given":"Mayana"}],"issued":{"date-parts":[["2022",3,4]]}}}],"schema":"https://github.com/citation-style-language/schema/raw/master/csl-citation.json"} </w:instrText>
      </w:r>
      <w:r w:rsidR="00993E16" w:rsidRPr="00CA4AD9">
        <w:rPr>
          <w:lang w:eastAsia="en-US"/>
        </w:rPr>
        <w:fldChar w:fldCharType="separate"/>
      </w:r>
      <w:r w:rsidR="00993E16" w:rsidRPr="00CA4AD9">
        <w:rPr>
          <w:noProof/>
          <w:lang w:eastAsia="en-US"/>
        </w:rPr>
        <w:t>(106)</w:t>
      </w:r>
      <w:r w:rsidR="00993E16" w:rsidRPr="00CA4AD9">
        <w:rPr>
          <w:lang w:eastAsia="en-US"/>
        </w:rPr>
        <w:fldChar w:fldCharType="end"/>
      </w:r>
      <w:r w:rsidR="00993E16" w:rsidRPr="00CA4AD9">
        <w:rPr>
          <w:lang w:eastAsia="en-US"/>
        </w:rPr>
        <w:t>. Encontr</w:t>
      </w:r>
      <w:r w:rsidR="00CA4AD9">
        <w:rPr>
          <w:lang w:eastAsia="en-US"/>
        </w:rPr>
        <w:t>ou-se</w:t>
      </w:r>
      <w:r w:rsidR="00993E16" w:rsidRPr="00CA4AD9">
        <w:rPr>
          <w:lang w:eastAsia="en-US"/>
        </w:rPr>
        <w:t xml:space="preserve"> congruência entre as frequências alélicas dos nossos resultados e do </w:t>
      </w:r>
      <w:proofErr w:type="spellStart"/>
      <w:r w:rsidR="00993E16" w:rsidRPr="00CA4AD9">
        <w:rPr>
          <w:lang w:eastAsia="en-US"/>
        </w:rPr>
        <w:t>ABraOM</w:t>
      </w:r>
      <w:proofErr w:type="spellEnd"/>
      <w:r w:rsidR="00993E16" w:rsidRPr="00CA4AD9">
        <w:rPr>
          <w:lang w:eastAsia="en-US"/>
        </w:rPr>
        <w:t>, amb</w:t>
      </w:r>
      <w:r w:rsidR="00346FE2" w:rsidRPr="00CA4AD9">
        <w:rPr>
          <w:lang w:eastAsia="en-US"/>
        </w:rPr>
        <w:t>a</w:t>
      </w:r>
      <w:r w:rsidR="00993E16" w:rsidRPr="00CA4AD9">
        <w:rPr>
          <w:lang w:eastAsia="en-US"/>
        </w:rPr>
        <w:t xml:space="preserve">s </w:t>
      </w:r>
      <w:r w:rsidR="00346FE2" w:rsidRPr="00CA4AD9">
        <w:rPr>
          <w:lang w:eastAsia="en-US"/>
        </w:rPr>
        <w:t xml:space="preserve">provenientes </w:t>
      </w:r>
      <w:r w:rsidR="00993E16" w:rsidRPr="00CA4AD9">
        <w:rPr>
          <w:lang w:eastAsia="en-US"/>
        </w:rPr>
        <w:t>de populações geriátricas.</w:t>
      </w:r>
      <w:r w:rsidR="00B468BA" w:rsidRPr="00CA4AD9">
        <w:rPr>
          <w:lang w:eastAsia="en-US"/>
        </w:rPr>
        <w:t xml:space="preserve"> </w:t>
      </w:r>
      <w:r w:rsidR="00800666" w:rsidRPr="00CA4AD9">
        <w:rPr>
          <w:lang w:eastAsia="en-US"/>
        </w:rPr>
        <w:t xml:space="preserve">A </w:t>
      </w:r>
      <w:r w:rsidRPr="00CA4AD9">
        <w:rPr>
          <w:lang w:eastAsia="en-US"/>
        </w:rPr>
        <w:t xml:space="preserve">população brasileira </w:t>
      </w:r>
      <w:r w:rsidR="00B468BA" w:rsidRPr="00CA4AD9">
        <w:rPr>
          <w:lang w:eastAsia="en-US"/>
        </w:rPr>
        <w:t xml:space="preserve">é constituída por aproximadamente 500 anos de mistura entre indígenas, africanos e europeus </w:t>
      </w:r>
      <w:r w:rsidR="00B468BA" w:rsidRPr="00CA4AD9">
        <w:rPr>
          <w:lang w:eastAsia="en-US"/>
        </w:rPr>
        <w:fldChar w:fldCharType="begin"/>
      </w:r>
      <w:r w:rsidR="00344DCD" w:rsidRPr="00CA4AD9">
        <w:rPr>
          <w:lang w:eastAsia="en-US"/>
        </w:rPr>
        <w:instrText xml:space="preserve"> ADDIN ZOTERO_ITEM CSL_CITATION {"citationID":"P9vvgq5e","properties":{"formattedCitation":"(106,107)","plainCitation":"(106,107)","noteIndex":0},"citationItems":[{"id":2275,"uris":["http://zotero.org/users/7110448/items/RFS2C4SE"],"itemData":{"id":2275,"type":"article-journal","abstract":"As whole-genome sequencing (WGS) becomes the gold standard tool for studying population genomics and medical applications, data on diverse non-European and admixed individuals are still scarce. Here, we present a high-coverage WGS dataset of 1,171 highly admixed elderly Brazilians from a census-based cohort, providing over 76 million variants, of which ~2 million are absent from large public databases. WGS enables identification of ~2,000 previously undescribed mobile element insertions without previous description, nearly 5 Mb of genomic segments absent from the human genome reference, and over 140 alleles from HLA genes absent from public resources. We reclassify and curate pathogenicity assertions for nearly four hundred variants in genes associated with dominantly-inherited Mendelian disorders and calculate the incidence for selected recessive disorders, demonstrating the clinical usefulness of the present study. Finally, we observe that whole-genome and HLA imputation could be significantly improved compared to available datasets since rare variation represents the largest proportion of input from WGS. These results demonstrate that even smaller sample sizes of underrepresented populations bring relevant data for genomic studies, especially when exploring analyses allowed only by WGS.","container-title":"Nature Communications","DOI":"10.1038/s41467-022-28648-3","ISSN":"2041-1723","issue":"1","journalAbbreviation":"Nat Commun","language":"en","license":"2022 The Author(s)","note":"number: 1\npublisher: Nature Publishing Group","page":"1004","source":"www.nature.com","title":"Whole-genome sequencing of 1,171 elderly admixed individuals from Brazil","volume":"13","author":[{"family":"Naslavsky","given":"Michel S."},{"family":"Scliar","given":"Marilia O."},{"family":"Yamamoto","given":"Guilherme L."},{"family":"Wang","given":"Jaqueline Yu Ting"},{"family":"Zverinova","given":"Stepanka"},{"family":"Karp","given":"Tatiana"},{"family":"Nunes","given":"Kelly"},{"family":"Ceroni","given":"José Ricardo Magliocco"},{"family":"Carvalho","given":"Diego Lima","non-dropping-particle":"de"},{"family":"Silva Simões","given":"Carlos Eduardo","non-dropping-particle":"da"},{"family":"Bozoklian","given":"Daniel"},{"family":"Nonaka","given":"Ricardo"},{"family":"Santos Brito Silva","given":"Nayane","non-dropping-particle":"dos"},{"family":"Silva Souza","given":"Andreia","non-dropping-particle":"da"},{"family":"Souza Andrade","given":"Heloísa","non-dropping-particle":"de"},{"family":"Passos","given":"Marília Rodrigues Silva"},{"family":"Castro","given":"Camila Ferreira Bannwart"},{"family":"Mendes-Junior","given":"Celso T."},{"family":"Mercuri","given":"Rafael L. V."},{"family":"Miller","given":"Thiago L. A."},{"family":"Buzzo","given":"Jose Leonel"},{"family":"Rego","given":"Fernanda O."},{"family":"Araújo","given":"Nathalia M."},{"family":"Magalhães","given":"Wagner C. S."},{"family":"Mingroni-Netto","given":"Regina Célia"},{"family":"Borda","given":"Victor"},{"family":"Guio","given":"Heinner"},{"family":"Rojas","given":"Carlos P."},{"family":"Sanchez","given":"Cesar"},{"family":"Caceres","given":"Omar"},{"family":"Dean","given":"Michael"},{"family":"Barreto","given":"Mauricio L."},{"family":"Lima-Costa","given":"Maria Fernanda"},{"family":"Horta","given":"Bernardo L."},{"family":"Tarazona-Santos","given":"Eduardo"},{"family":"Meyer","given":"Diogo"},{"family":"Galante","given":"Pedro A. F."},{"family":"Guryev","given":"Victor"},{"family":"Castelli","given":"Erick C."},{"family":"Duarte","given":"Yeda A. O."},{"family":"Passos-Bueno","given":"Maria Rita"},{"family":"Zatz","given":"Mayana"}],"issued":{"date-parts":[["2022",3,4]]}},"label":"page"},{"id":2284,"uris":["http://zotero.org/users/7110448/items/LYKMEEBB"],"itemData":{"id":2284,"type":"document","title":"BRASIL- 500 anos de povoamento.pdf"},"label":"page"}],"schema":"https://github.com/citation-style-language/schema/raw/master/csl-citation.json"} </w:instrText>
      </w:r>
      <w:r w:rsidR="00B468BA" w:rsidRPr="00CA4AD9">
        <w:rPr>
          <w:lang w:eastAsia="en-US"/>
        </w:rPr>
        <w:fldChar w:fldCharType="separate"/>
      </w:r>
      <w:r w:rsidR="00B468BA" w:rsidRPr="00CA4AD9">
        <w:rPr>
          <w:noProof/>
          <w:lang w:eastAsia="en-US"/>
        </w:rPr>
        <w:t>(106,107)</w:t>
      </w:r>
      <w:r w:rsidR="00B468BA" w:rsidRPr="00CA4AD9">
        <w:rPr>
          <w:lang w:eastAsia="en-US"/>
        </w:rPr>
        <w:fldChar w:fldCharType="end"/>
      </w:r>
      <w:r w:rsidR="00B468BA" w:rsidRPr="00CA4AD9">
        <w:rPr>
          <w:lang w:eastAsia="en-US"/>
        </w:rPr>
        <w:t xml:space="preserve">. </w:t>
      </w:r>
      <w:r w:rsidR="00800666" w:rsidRPr="00CA4AD9">
        <w:rPr>
          <w:lang w:eastAsia="en-US"/>
        </w:rPr>
        <w:t>Por isso</w:t>
      </w:r>
      <w:r w:rsidR="007D1F85" w:rsidRPr="00CA4AD9">
        <w:rPr>
          <w:lang w:eastAsia="en-US"/>
        </w:rPr>
        <w:t>,</w:t>
      </w:r>
      <w:r w:rsidR="00800666" w:rsidRPr="00CA4AD9">
        <w:rPr>
          <w:lang w:eastAsia="en-US"/>
        </w:rPr>
        <w:t xml:space="preserve"> </w:t>
      </w:r>
      <w:r w:rsidR="00CA4AD9" w:rsidRPr="00CA4AD9">
        <w:rPr>
          <w:color w:val="000000" w:themeColor="text1"/>
          <w:lang w:eastAsia="en-US"/>
        </w:rPr>
        <w:t>escolhe</w:t>
      </w:r>
      <w:r w:rsidR="00CA4AD9">
        <w:rPr>
          <w:color w:val="000000" w:themeColor="text1"/>
          <w:lang w:eastAsia="en-US"/>
        </w:rPr>
        <w:t>u-se</w:t>
      </w:r>
      <w:r w:rsidR="00CA4AD9" w:rsidRPr="00CA4AD9">
        <w:rPr>
          <w:color w:val="000000" w:themeColor="text1"/>
          <w:lang w:eastAsia="en-US"/>
        </w:rPr>
        <w:t xml:space="preserve"> </w:t>
      </w:r>
      <w:r w:rsidR="00350A78" w:rsidRPr="00CA4AD9">
        <w:rPr>
          <w:color w:val="000000" w:themeColor="text1"/>
          <w:lang w:eastAsia="en-US"/>
        </w:rPr>
        <w:t>compar</w:t>
      </w:r>
      <w:r w:rsidR="00C13788" w:rsidRPr="00CA4AD9">
        <w:rPr>
          <w:color w:val="000000" w:themeColor="text1"/>
          <w:lang w:eastAsia="en-US"/>
        </w:rPr>
        <w:t>ar</w:t>
      </w:r>
      <w:r w:rsidR="00350A78" w:rsidRPr="00CA4AD9">
        <w:rPr>
          <w:color w:val="000000" w:themeColor="text1"/>
          <w:lang w:eastAsia="en-US"/>
        </w:rPr>
        <w:t xml:space="preserve"> </w:t>
      </w:r>
      <w:r w:rsidR="00CA4AD9">
        <w:rPr>
          <w:color w:val="000000" w:themeColor="text1"/>
          <w:lang w:eastAsia="en-US"/>
        </w:rPr>
        <w:t>os presentes</w:t>
      </w:r>
      <w:r w:rsidR="00CA4AD9" w:rsidRPr="00CA4AD9">
        <w:rPr>
          <w:color w:val="000000" w:themeColor="text1"/>
          <w:lang w:eastAsia="en-US"/>
        </w:rPr>
        <w:t xml:space="preserve"> </w:t>
      </w:r>
      <w:r w:rsidR="00350A78" w:rsidRPr="00CA4AD9">
        <w:rPr>
          <w:color w:val="000000" w:themeColor="text1"/>
          <w:lang w:eastAsia="en-US"/>
        </w:rPr>
        <w:t>resultados com dados da Europa</w:t>
      </w:r>
      <w:r w:rsidR="00800666" w:rsidRPr="00CA4AD9">
        <w:rPr>
          <w:color w:val="000000" w:themeColor="text1"/>
          <w:lang w:eastAsia="en-US"/>
        </w:rPr>
        <w:t xml:space="preserve">, </w:t>
      </w:r>
      <w:r w:rsidR="00350A78" w:rsidRPr="00CA4AD9">
        <w:rPr>
          <w:color w:val="000000" w:themeColor="text1"/>
          <w:lang w:eastAsia="en-US"/>
        </w:rPr>
        <w:t>África</w:t>
      </w:r>
      <w:r w:rsidR="00800666" w:rsidRPr="00CA4AD9">
        <w:rPr>
          <w:color w:val="000000" w:themeColor="text1"/>
          <w:lang w:eastAsia="en-US"/>
        </w:rPr>
        <w:t>, além da população global</w:t>
      </w:r>
      <w:r w:rsidR="00B468BA" w:rsidRPr="00CA4AD9">
        <w:rPr>
          <w:color w:val="000000" w:themeColor="text1"/>
          <w:lang w:eastAsia="en-US"/>
        </w:rPr>
        <w:t xml:space="preserve">. </w:t>
      </w:r>
      <w:r w:rsidR="00CA4AD9" w:rsidRPr="00CA4AD9">
        <w:rPr>
          <w:color w:val="000000" w:themeColor="text1"/>
          <w:lang w:eastAsia="en-US"/>
        </w:rPr>
        <w:t>Encontr</w:t>
      </w:r>
      <w:r w:rsidR="00CA4AD9">
        <w:rPr>
          <w:color w:val="000000" w:themeColor="text1"/>
          <w:lang w:eastAsia="en-US"/>
        </w:rPr>
        <w:t>ou-se</w:t>
      </w:r>
      <w:r w:rsidR="00CA4AD9" w:rsidRPr="00CA4AD9">
        <w:rPr>
          <w:color w:val="000000" w:themeColor="text1"/>
          <w:lang w:eastAsia="en-US"/>
        </w:rPr>
        <w:t xml:space="preserve"> </w:t>
      </w:r>
      <w:r w:rsidR="00346FE2" w:rsidRPr="00CA4AD9">
        <w:rPr>
          <w:color w:val="000000" w:themeColor="text1"/>
          <w:lang w:eastAsia="en-US"/>
        </w:rPr>
        <w:t xml:space="preserve">também congruência entre </w:t>
      </w:r>
      <w:r w:rsidR="00CA4AD9">
        <w:rPr>
          <w:color w:val="000000" w:themeColor="text1"/>
          <w:lang w:eastAsia="en-US"/>
        </w:rPr>
        <w:t>os presentes</w:t>
      </w:r>
      <w:r w:rsidR="00CA4AD9" w:rsidRPr="00CA4AD9">
        <w:rPr>
          <w:color w:val="000000" w:themeColor="text1"/>
          <w:lang w:eastAsia="en-US"/>
        </w:rPr>
        <w:t xml:space="preserve"> </w:t>
      </w:r>
      <w:r w:rsidR="00346FE2" w:rsidRPr="00CA4AD9">
        <w:rPr>
          <w:color w:val="000000" w:themeColor="text1"/>
          <w:lang w:eastAsia="en-US"/>
        </w:rPr>
        <w:t>resultados e dados dos bancos</w:t>
      </w:r>
      <w:r w:rsidR="00346FE2">
        <w:rPr>
          <w:color w:val="000000" w:themeColor="text1"/>
          <w:lang w:eastAsia="en-US"/>
        </w:rPr>
        <w:t xml:space="preserve"> populacionais. </w:t>
      </w:r>
    </w:p>
    <w:p w14:paraId="2C7F5442" w14:textId="7C324DBA" w:rsidR="008D737A" w:rsidRPr="000D1660" w:rsidRDefault="008D737A" w:rsidP="00865038">
      <w:pPr>
        <w:spacing w:line="360" w:lineRule="auto"/>
        <w:jc w:val="both"/>
        <w:rPr>
          <w:lang w:eastAsia="en-US"/>
        </w:rPr>
      </w:pPr>
      <w:r>
        <w:rPr>
          <w:lang w:eastAsia="en-US"/>
        </w:rPr>
        <w:t xml:space="preserve">     </w:t>
      </w:r>
      <w:r w:rsidRPr="000D1660">
        <w:rPr>
          <w:lang w:eastAsia="en-US"/>
        </w:rPr>
        <w:t xml:space="preserve">Com relação à análise de associação dos polimorfismos com níveis séricos hormonais, </w:t>
      </w:r>
      <w:r w:rsidR="00CA4AD9" w:rsidRPr="000D1660">
        <w:rPr>
          <w:lang w:eastAsia="en-US"/>
        </w:rPr>
        <w:t xml:space="preserve">optou-se </w:t>
      </w:r>
      <w:r w:rsidRPr="000D1660">
        <w:rPr>
          <w:lang w:eastAsia="en-US"/>
        </w:rPr>
        <w:t xml:space="preserve">por comparar dois subgrupos de indivíduos: </w:t>
      </w:r>
      <w:r w:rsidR="000C56CC" w:rsidRPr="000D1660">
        <w:rPr>
          <w:lang w:eastAsia="en-US"/>
        </w:rPr>
        <w:t>h</w:t>
      </w:r>
      <w:r w:rsidRPr="000D1660">
        <w:rPr>
          <w:lang w:eastAsia="en-US"/>
        </w:rPr>
        <w:t>omozigoto selvagem vs. indivíduos portadores do alelo polimórfico em homozigose ou heterozigose.</w:t>
      </w:r>
      <w:r w:rsidR="002E4757" w:rsidRPr="000D1660">
        <w:rPr>
          <w:lang w:eastAsia="en-US"/>
        </w:rPr>
        <w:t xml:space="preserve"> </w:t>
      </w:r>
    </w:p>
    <w:p w14:paraId="13A5B3D5" w14:textId="02DFBA81" w:rsidR="00B5069C" w:rsidRDefault="002E4757" w:rsidP="004C1F0E">
      <w:pPr>
        <w:spacing w:line="360" w:lineRule="auto"/>
        <w:jc w:val="both"/>
        <w:rPr>
          <w:lang w:eastAsia="en-US"/>
        </w:rPr>
      </w:pPr>
      <w:r w:rsidRPr="000D1660">
        <w:rPr>
          <w:lang w:eastAsia="en-US"/>
        </w:rPr>
        <w:t xml:space="preserve">     </w:t>
      </w:r>
      <w:r w:rsidRPr="00B436CE">
        <w:rPr>
          <w:lang w:eastAsia="en-US"/>
        </w:rPr>
        <w:t xml:space="preserve">O primeiro polimorfismo de nucleotídeo único analisado foi o </w:t>
      </w:r>
      <w:bookmarkStart w:id="10" w:name="OLE_LINK5"/>
      <w:bookmarkStart w:id="11" w:name="OLE_LINK6"/>
      <w:r w:rsidRPr="00B436CE">
        <w:t xml:space="preserve">rs12885300 do gene </w:t>
      </w:r>
      <w:r w:rsidRPr="00B436CE">
        <w:rPr>
          <w:i/>
          <w:iCs/>
        </w:rPr>
        <w:t>DIO2</w:t>
      </w:r>
      <w:r w:rsidR="00B436CE">
        <w:rPr>
          <w:i/>
          <w:iCs/>
        </w:rPr>
        <w:t>,</w:t>
      </w:r>
      <w:r w:rsidR="004B3F7A" w:rsidRPr="00B436CE">
        <w:rPr>
          <w:lang w:eastAsia="en-US"/>
        </w:rPr>
        <w:t xml:space="preserve"> que resulta da </w:t>
      </w:r>
      <w:r w:rsidR="00551174" w:rsidRPr="00B436CE">
        <w:rPr>
          <w:lang w:eastAsia="en-US"/>
        </w:rPr>
        <w:t xml:space="preserve">troca </w:t>
      </w:r>
      <w:r w:rsidR="004B3F7A" w:rsidRPr="00B436CE">
        <w:rPr>
          <w:lang w:eastAsia="en-US"/>
        </w:rPr>
        <w:t>d</w:t>
      </w:r>
      <w:r w:rsidR="00551174" w:rsidRPr="00B436CE">
        <w:rPr>
          <w:lang w:eastAsia="en-US"/>
        </w:rPr>
        <w:t>a</w:t>
      </w:r>
      <w:r w:rsidR="004B3F7A" w:rsidRPr="00B436CE">
        <w:rPr>
          <w:lang w:eastAsia="en-US"/>
        </w:rPr>
        <w:t xml:space="preserve"> glicina por aspartato</w:t>
      </w:r>
      <w:r w:rsidR="00B436CE">
        <w:rPr>
          <w:lang w:eastAsia="en-US"/>
        </w:rPr>
        <w:t>,</w:t>
      </w:r>
      <w:r w:rsidR="004B3F7A" w:rsidRPr="00B436CE">
        <w:rPr>
          <w:lang w:eastAsia="en-US"/>
        </w:rPr>
        <w:t xml:space="preserve"> na </w:t>
      </w:r>
      <w:r w:rsidR="00551174" w:rsidRPr="00B436CE">
        <w:rPr>
          <w:lang w:eastAsia="en-US"/>
        </w:rPr>
        <w:t xml:space="preserve">sua </w:t>
      </w:r>
      <w:r w:rsidR="004B3F7A" w:rsidRPr="00B436CE">
        <w:rPr>
          <w:lang w:eastAsia="en-US"/>
        </w:rPr>
        <w:t>região não codificadora</w:t>
      </w:r>
      <w:r w:rsidR="00551174" w:rsidRPr="00B436CE">
        <w:rPr>
          <w:lang w:eastAsia="en-US"/>
        </w:rPr>
        <w:t xml:space="preserve"> </w:t>
      </w:r>
      <w:r w:rsidR="00551174" w:rsidRPr="00B436CE">
        <w:rPr>
          <w:lang w:eastAsia="en-US"/>
        </w:rPr>
        <w:fldChar w:fldCharType="begin"/>
      </w:r>
      <w:r w:rsidR="00551174" w:rsidRPr="00B436CE">
        <w:rPr>
          <w:lang w:eastAsia="en-US"/>
        </w:rPr>
        <w:instrText xml:space="preserve"> ADDIN ZOTERO_ITEM CSL_CITATION {"citationID":"F5HTcTPX","properties":{"formattedCitation":"(20)","plainCitation":"(20)","noteIndex":0},"citationItems":[{"id":938,"uris":["http://zotero.org/users/7110448/items/FW63BDGL"],"itemData":{"id":938,"type":"article-journal","abstract":"Type II deiodinase (D2) is important in the regulation of local thyroid hormone bioactivity in certain tissues. D2 in skeletal muscle may also play a role in serum triiodothyronine (T(3)) production. In this study, we identified a polymorphism in the 5'-UTR of the D2 gene (D2-ORFa-Gly3Asp). We investigated the association of D2-ORFa-Gly3Asp, and of the previously identified D2-Thr92Ala polymorphism, with serum iodothyronine levels. D2-ORFa-Gly3Asp was identified by sequencing the 5'-UTR of 15 randomly selected individuals. Genotypes for D2-ORFa-Gly3Asp were determined in 156 healthy blood donors (age 46.3 +/- 12.2 yr) and 349 ambulant elderly men (age 77.7 +/- 3.5 yr) and related to serum iodothyronine and TSH levels. D2-ORFa-Asp(3) had an allele frequency of 33.9% in blood bank donors and was associated with serum thyroxine (T(4); Gly/Gly vs. Gly/Asp vs. Asp/Asp = 7.06 +/- 0.14 vs. 6.74 +/- 0.15 vs. 6.29 +/- 0.27 microg/dl, P = 0.01), free T(4) (1.22 +/- 0.02 vs. 1.16 +/- 0.02 vs. 1.06 +/- 0.04 ng/dl, P = 0.001), reverse T(3) (P = 0.01), and T(3)/T(4) ratio (P = 0.002) in a dose-dependent manner, but not with serum T(3) (P = 0.59). In elderly men, D2-ORFa-Asp(3) had a similar frequency but was not associated with serum iodothyronine levels. This new polymorphism in the 5'-UTR of D2 is associated with iodothyronine levels in blood donors but not in elderly men. We hypothesize that this might be explained by the decline in skeletal muscle size during aging, resulting in a relative decrease in the contribution of D2 to serum T(3) production.","container-title":"American Journal of Physiology. Endocrinology and Metabolism","DOI":"10.1152/ajpendo.00571.2004","ISSN":"0193-1849","issue":"1","journalAbbreviation":"Am J Physiol Endocrinol Metab","language":"eng","note":"PMID: 15727947","page":"E75-81","source":"PubMed","title":"A new polymorphism in the type II deiodinase gene is associated with circulating thyroid hormone parameters","volume":"289","author":[{"family":"Peeters","given":"Robin P."},{"family":"Beld","given":"Annewieke W.","non-dropping-particle":"van den"},{"family":"Attalki","given":"Hayat"},{"family":"Toor","given":"Hans","dropping-particle":"van"},{"family":"Rijke","given":"Yolanda B.","non-dropping-particle":"de"},{"family":"Kuiper","given":"George G. J. M."},{"family":"Lamberts","given":"Steven W. J."},{"family":"Janssen","given":"Joop A. M. J. L."},{"family":"Uitterlinden","given":"Andre G."},{"family":"Visser","given":"Theo J."}],"issued":{"date-parts":[["2005",7]]}}}],"schema":"https://github.com/citation-style-language/schema/raw/master/csl-citation.json"} </w:instrText>
      </w:r>
      <w:r w:rsidR="00551174" w:rsidRPr="00B436CE">
        <w:rPr>
          <w:lang w:eastAsia="en-US"/>
        </w:rPr>
        <w:fldChar w:fldCharType="separate"/>
      </w:r>
      <w:r w:rsidR="00551174" w:rsidRPr="00B436CE">
        <w:rPr>
          <w:noProof/>
          <w:lang w:eastAsia="en-US"/>
        </w:rPr>
        <w:t>(20)</w:t>
      </w:r>
      <w:r w:rsidR="00551174" w:rsidRPr="00B436CE">
        <w:rPr>
          <w:lang w:eastAsia="en-US"/>
        </w:rPr>
        <w:fldChar w:fldCharType="end"/>
      </w:r>
      <w:r w:rsidR="00551174" w:rsidRPr="00B436CE">
        <w:rPr>
          <w:lang w:eastAsia="en-US"/>
        </w:rPr>
        <w:t>.</w:t>
      </w:r>
      <w:r w:rsidR="004B3F7A" w:rsidRPr="00B436CE">
        <w:rPr>
          <w:lang w:eastAsia="en-US"/>
        </w:rPr>
        <w:t xml:space="preserve"> </w:t>
      </w:r>
      <w:r w:rsidRPr="00B436CE">
        <w:rPr>
          <w:lang w:eastAsia="en-US"/>
        </w:rPr>
        <w:t xml:space="preserve"> </w:t>
      </w:r>
      <w:bookmarkEnd w:id="10"/>
      <w:bookmarkEnd w:id="11"/>
      <w:r w:rsidRPr="00B436CE">
        <w:rPr>
          <w:lang w:eastAsia="en-US"/>
        </w:rPr>
        <w:t>Peeters e colaboradores</w:t>
      </w:r>
      <w:r w:rsidR="00730E0F">
        <w:rPr>
          <w:lang w:eastAsia="en-US"/>
        </w:rPr>
        <w:t xml:space="preserve"> (20)</w:t>
      </w:r>
      <w:r w:rsidRPr="00B436CE">
        <w:rPr>
          <w:lang w:eastAsia="en-US"/>
        </w:rPr>
        <w:t xml:space="preserve"> </w:t>
      </w:r>
      <w:r w:rsidR="00C514DA" w:rsidRPr="00B436CE">
        <w:rPr>
          <w:lang w:eastAsia="en-US"/>
        </w:rPr>
        <w:t xml:space="preserve">identificaram </w:t>
      </w:r>
      <w:r w:rsidR="0087471A" w:rsidRPr="00B436CE">
        <w:rPr>
          <w:lang w:eastAsia="en-US"/>
        </w:rPr>
        <w:t xml:space="preserve">um novo polimorfismo na região 5`- UTR do gene </w:t>
      </w:r>
      <w:r w:rsidR="0087471A" w:rsidRPr="00B436CE">
        <w:rPr>
          <w:i/>
          <w:iCs/>
          <w:lang w:eastAsia="en-US"/>
        </w:rPr>
        <w:t>DIO2</w:t>
      </w:r>
      <w:r w:rsidR="0087471A" w:rsidRPr="00B436CE">
        <w:rPr>
          <w:lang w:eastAsia="en-US"/>
        </w:rPr>
        <w:t xml:space="preserve"> e investigaram</w:t>
      </w:r>
      <w:r w:rsidR="000C56CC" w:rsidRPr="00B436CE">
        <w:rPr>
          <w:lang w:eastAsia="en-US"/>
        </w:rPr>
        <w:t xml:space="preserve"> </w:t>
      </w:r>
      <w:r w:rsidR="0087471A" w:rsidRPr="00B436CE">
        <w:rPr>
          <w:lang w:eastAsia="en-US"/>
        </w:rPr>
        <w:t xml:space="preserve">sua associação com níveis séricos dos hormônios tireoidianos. Inicialmente, </w:t>
      </w:r>
      <w:r w:rsidR="00BC5C9B" w:rsidRPr="00B436CE">
        <w:rPr>
          <w:lang w:eastAsia="en-US"/>
        </w:rPr>
        <w:t xml:space="preserve">a região 5`-UTR do gene </w:t>
      </w:r>
      <w:r w:rsidR="00BC5C9B" w:rsidRPr="00B436CE">
        <w:rPr>
          <w:i/>
          <w:iCs/>
          <w:lang w:eastAsia="en-US"/>
        </w:rPr>
        <w:t>DIO2</w:t>
      </w:r>
      <w:r w:rsidR="00BC5C9B" w:rsidRPr="00B436CE">
        <w:rPr>
          <w:lang w:eastAsia="en-US"/>
        </w:rPr>
        <w:t xml:space="preserve"> foi analisada para ocorrência des</w:t>
      </w:r>
      <w:r w:rsidR="00B436CE">
        <w:rPr>
          <w:lang w:eastAsia="en-US"/>
        </w:rPr>
        <w:t>s</w:t>
      </w:r>
      <w:r w:rsidR="00BC5C9B" w:rsidRPr="00B436CE">
        <w:rPr>
          <w:lang w:eastAsia="en-US"/>
        </w:rPr>
        <w:t>e polimorfismo em 15 doadores de sangue</w:t>
      </w:r>
      <w:r w:rsidR="0087471A" w:rsidRPr="00B436CE">
        <w:rPr>
          <w:lang w:eastAsia="en-US"/>
        </w:rPr>
        <w:t xml:space="preserve"> selecionados aleatoriamente</w:t>
      </w:r>
      <w:r w:rsidR="00730E0F">
        <w:rPr>
          <w:lang w:eastAsia="en-US"/>
        </w:rPr>
        <w:t>.</w:t>
      </w:r>
      <w:r w:rsidR="00BC5C9B" w:rsidRPr="00B436CE">
        <w:rPr>
          <w:lang w:eastAsia="en-US"/>
        </w:rPr>
        <w:t xml:space="preserve"> </w:t>
      </w:r>
      <w:r w:rsidR="0087471A" w:rsidRPr="00B436CE">
        <w:rPr>
          <w:lang w:eastAsia="en-US"/>
        </w:rPr>
        <w:t xml:space="preserve">Posteriormente, os genótipos </w:t>
      </w:r>
      <w:r w:rsidR="00BC5C9B" w:rsidRPr="00B436CE">
        <w:rPr>
          <w:lang w:eastAsia="en-US"/>
        </w:rPr>
        <w:t xml:space="preserve">foram determinados por </w:t>
      </w:r>
      <w:r w:rsidR="00BC5C9B" w:rsidRPr="00B436CE">
        <w:rPr>
          <w:lang w:eastAsia="en-US"/>
        </w:rPr>
        <w:lastRenderedPageBreak/>
        <w:t>análise de extensão de base única em dois grupos selecionados para o estudo: o primeiro de</w:t>
      </w:r>
      <w:r w:rsidR="00BC5C9B">
        <w:rPr>
          <w:lang w:eastAsia="en-US"/>
        </w:rPr>
        <w:t xml:space="preserve"> adultos jovens, formado por </w:t>
      </w:r>
      <w:r w:rsidR="0087471A" w:rsidRPr="00DD4BEC">
        <w:rPr>
          <w:lang w:eastAsia="en-US"/>
        </w:rPr>
        <w:t xml:space="preserve">156 doadores de sangue saudáveis </w:t>
      </w:r>
      <w:r w:rsidR="00DD4BEC">
        <w:rPr>
          <w:lang w:eastAsia="en-US"/>
        </w:rPr>
        <w:t>(100 homens, 55 mulheres e 1 não teve sexo identificado)</w:t>
      </w:r>
      <w:r w:rsidR="00B436CE">
        <w:rPr>
          <w:lang w:eastAsia="en-US"/>
        </w:rPr>
        <w:t>,</w:t>
      </w:r>
      <w:r w:rsidR="00DD4BEC">
        <w:rPr>
          <w:lang w:eastAsia="en-US"/>
        </w:rPr>
        <w:t xml:space="preserve"> </w:t>
      </w:r>
      <w:r w:rsidR="0087471A" w:rsidRPr="00DD4BEC">
        <w:rPr>
          <w:lang w:eastAsia="en-US"/>
        </w:rPr>
        <w:t>com idade</w:t>
      </w:r>
      <w:r w:rsidR="00DD4BEC" w:rsidRPr="00DD4BEC">
        <w:rPr>
          <w:lang w:eastAsia="en-US"/>
        </w:rPr>
        <w:t xml:space="preserve"> </w:t>
      </w:r>
      <w:r w:rsidR="0087471A" w:rsidRPr="00DD4BEC">
        <w:rPr>
          <w:lang w:eastAsia="en-US"/>
        </w:rPr>
        <w:t xml:space="preserve">de </w:t>
      </w:r>
      <w:r w:rsidR="00563C6A">
        <w:rPr>
          <w:color w:val="000000" w:themeColor="text1"/>
          <w:shd w:val="clear" w:color="auto" w:fill="FFFFFF"/>
        </w:rPr>
        <w:t xml:space="preserve">49,10 </w:t>
      </w:r>
      <w:r w:rsidR="00563C6A" w:rsidRPr="00DD4BEC">
        <w:rPr>
          <w:color w:val="1F1F1F"/>
          <w:shd w:val="clear" w:color="auto" w:fill="FFFFFF"/>
        </w:rPr>
        <w:t>± </w:t>
      </w:r>
      <w:r w:rsidR="00563C6A">
        <w:rPr>
          <w:color w:val="000000" w:themeColor="text1"/>
          <w:shd w:val="clear" w:color="auto" w:fill="FFFFFF"/>
        </w:rPr>
        <w:t xml:space="preserve">12,93 anos </w:t>
      </w:r>
      <w:r w:rsidR="00563C6A" w:rsidRPr="00DD4BEC">
        <w:rPr>
          <w:lang w:eastAsia="en-US"/>
        </w:rPr>
        <w:t xml:space="preserve">(média </w:t>
      </w:r>
      <w:r w:rsidR="00563C6A" w:rsidRPr="00DD4BEC">
        <w:rPr>
          <w:color w:val="1F1F1F"/>
          <w:shd w:val="clear" w:color="auto" w:fill="FFFFFF"/>
        </w:rPr>
        <w:t>± DP)</w:t>
      </w:r>
      <w:r w:rsidR="00B436CE">
        <w:rPr>
          <w:color w:val="1F1F1F"/>
          <w:shd w:val="clear" w:color="auto" w:fill="FFFFFF"/>
        </w:rPr>
        <w:t>;</w:t>
      </w:r>
      <w:r w:rsidR="00563C6A">
        <w:rPr>
          <w:color w:val="000000" w:themeColor="text1"/>
          <w:shd w:val="clear" w:color="auto" w:fill="FFFFFF"/>
        </w:rPr>
        <w:t xml:space="preserve"> </w:t>
      </w:r>
      <w:r w:rsidR="00DD4BEC" w:rsidRPr="00DD4BEC">
        <w:rPr>
          <w:color w:val="1F1F1F"/>
          <w:shd w:val="clear" w:color="auto" w:fill="FFFFFF"/>
        </w:rPr>
        <w:t xml:space="preserve">e </w:t>
      </w:r>
      <w:r w:rsidR="00B436CE">
        <w:rPr>
          <w:color w:val="1F1F1F"/>
          <w:shd w:val="clear" w:color="auto" w:fill="FFFFFF"/>
        </w:rPr>
        <w:t xml:space="preserve">o </w:t>
      </w:r>
      <w:r w:rsidR="00BC5C9B">
        <w:rPr>
          <w:lang w:eastAsia="en-US"/>
        </w:rPr>
        <w:t>segundo</w:t>
      </w:r>
      <w:r w:rsidR="00B436CE">
        <w:rPr>
          <w:lang w:eastAsia="en-US"/>
        </w:rPr>
        <w:t>,</w:t>
      </w:r>
      <w:r w:rsidR="00BC5C9B">
        <w:rPr>
          <w:lang w:eastAsia="en-US"/>
        </w:rPr>
        <w:t xml:space="preserve"> </w:t>
      </w:r>
      <w:r w:rsidR="00563C6A">
        <w:rPr>
          <w:lang w:eastAsia="en-US"/>
        </w:rPr>
        <w:t>de</w:t>
      </w:r>
      <w:r w:rsidR="000D6A5B">
        <w:rPr>
          <w:lang w:eastAsia="en-US"/>
        </w:rPr>
        <w:t xml:space="preserve"> idosos, composto por</w:t>
      </w:r>
      <w:r w:rsidR="00DD4BEC" w:rsidRPr="00DD4BEC">
        <w:rPr>
          <w:lang w:eastAsia="en-US"/>
        </w:rPr>
        <w:t xml:space="preserve"> </w:t>
      </w:r>
      <w:r w:rsidR="0087471A" w:rsidRPr="00DD4BEC">
        <w:rPr>
          <w:lang w:eastAsia="en-US"/>
        </w:rPr>
        <w:t>349 homens</w:t>
      </w:r>
      <w:r w:rsidR="0087471A">
        <w:rPr>
          <w:lang w:eastAsia="en-US"/>
        </w:rPr>
        <w:t xml:space="preserve"> com idade </w:t>
      </w:r>
      <w:r w:rsidR="0087471A" w:rsidRPr="00563C6A">
        <w:rPr>
          <w:color w:val="000000" w:themeColor="text1"/>
          <w:lang w:eastAsia="en-US"/>
        </w:rPr>
        <w:t>de 77</w:t>
      </w:r>
      <w:r w:rsidR="00563C6A" w:rsidRPr="00563C6A">
        <w:rPr>
          <w:color w:val="000000" w:themeColor="text1"/>
          <w:lang w:eastAsia="en-US"/>
        </w:rPr>
        <w:t xml:space="preserve"> </w:t>
      </w:r>
      <w:r w:rsidR="00563C6A" w:rsidRPr="00DD4BEC">
        <w:rPr>
          <w:color w:val="1F1F1F"/>
          <w:shd w:val="clear" w:color="auto" w:fill="FFFFFF"/>
        </w:rPr>
        <w:t>± </w:t>
      </w:r>
      <w:r w:rsidR="00563C6A">
        <w:rPr>
          <w:color w:val="000000" w:themeColor="text1"/>
          <w:shd w:val="clear" w:color="auto" w:fill="FFFFFF"/>
        </w:rPr>
        <w:t xml:space="preserve">3,5 </w:t>
      </w:r>
      <w:r w:rsidR="00563C6A" w:rsidRPr="00563C6A">
        <w:rPr>
          <w:color w:val="000000" w:themeColor="text1"/>
          <w:lang w:eastAsia="en-US"/>
        </w:rPr>
        <w:t xml:space="preserve">anos </w:t>
      </w:r>
      <w:r w:rsidR="00DD4BEC" w:rsidRPr="00DD4BEC">
        <w:rPr>
          <w:lang w:eastAsia="en-US"/>
        </w:rPr>
        <w:t xml:space="preserve">(média </w:t>
      </w:r>
      <w:r w:rsidR="00DD4BEC" w:rsidRPr="00DD4BEC">
        <w:rPr>
          <w:color w:val="1F1F1F"/>
          <w:shd w:val="clear" w:color="auto" w:fill="FFFFFF"/>
        </w:rPr>
        <w:t>± DP)</w:t>
      </w:r>
      <w:r w:rsidR="0087471A">
        <w:rPr>
          <w:lang w:eastAsia="en-US"/>
        </w:rPr>
        <w:t xml:space="preserve">. </w:t>
      </w:r>
      <w:r w:rsidR="00B045F5">
        <w:rPr>
          <w:lang w:eastAsia="en-US"/>
        </w:rPr>
        <w:t xml:space="preserve">Em ambos os grupos, as frequências alélicas do </w:t>
      </w:r>
      <w:r w:rsidR="00563C6A">
        <w:rPr>
          <w:lang w:eastAsia="en-US"/>
        </w:rPr>
        <w:t xml:space="preserve">alelo </w:t>
      </w:r>
      <w:r w:rsidR="00B045F5">
        <w:rPr>
          <w:lang w:eastAsia="en-US"/>
        </w:rPr>
        <w:t>polimórfico fo</w:t>
      </w:r>
      <w:r w:rsidR="00A139BC">
        <w:rPr>
          <w:lang w:eastAsia="en-US"/>
        </w:rPr>
        <w:t xml:space="preserve">ram </w:t>
      </w:r>
      <w:r w:rsidR="00B045F5">
        <w:rPr>
          <w:lang w:eastAsia="en-US"/>
        </w:rPr>
        <w:t>semelhante</w:t>
      </w:r>
      <w:r w:rsidR="00A139BC">
        <w:rPr>
          <w:lang w:eastAsia="en-US"/>
        </w:rPr>
        <w:t>s</w:t>
      </w:r>
      <w:r w:rsidR="00B045F5">
        <w:rPr>
          <w:lang w:eastAsia="en-US"/>
        </w:rPr>
        <w:t xml:space="preserve">, </w:t>
      </w:r>
      <w:r w:rsidR="000D6A5B">
        <w:rPr>
          <w:lang w:eastAsia="en-US"/>
        </w:rPr>
        <w:t>33,9% para população adulta jovem mista e 33,5% para população de homens idosos</w:t>
      </w:r>
      <w:r w:rsidR="00A139BC">
        <w:rPr>
          <w:lang w:eastAsia="en-US"/>
        </w:rPr>
        <w:t xml:space="preserve">, </w:t>
      </w:r>
      <w:r w:rsidR="00B436CE">
        <w:rPr>
          <w:lang w:eastAsia="en-US"/>
        </w:rPr>
        <w:t xml:space="preserve">tendo </w:t>
      </w:r>
      <w:r w:rsidR="00A139BC">
        <w:rPr>
          <w:lang w:eastAsia="en-US"/>
        </w:rPr>
        <w:t>divergi</w:t>
      </w:r>
      <w:r w:rsidR="00B436CE">
        <w:rPr>
          <w:lang w:eastAsia="en-US"/>
        </w:rPr>
        <w:t xml:space="preserve">do </w:t>
      </w:r>
      <w:r w:rsidR="00A139BC">
        <w:rPr>
          <w:lang w:eastAsia="en-US"/>
        </w:rPr>
        <w:t xml:space="preserve">um pouco do </w:t>
      </w:r>
      <w:r w:rsidR="00B436CE">
        <w:rPr>
          <w:lang w:eastAsia="en-US"/>
        </w:rPr>
        <w:t xml:space="preserve">presente </w:t>
      </w:r>
      <w:r w:rsidR="00A139BC">
        <w:rPr>
          <w:lang w:eastAsia="en-US"/>
        </w:rPr>
        <w:t>estudo</w:t>
      </w:r>
      <w:r w:rsidR="00B436CE">
        <w:rPr>
          <w:lang w:eastAsia="en-US"/>
        </w:rPr>
        <w:t>,</w:t>
      </w:r>
      <w:r w:rsidR="002C1F48">
        <w:rPr>
          <w:lang w:eastAsia="en-US"/>
        </w:rPr>
        <w:t xml:space="preserve"> pois </w:t>
      </w:r>
      <w:r w:rsidR="00B436CE">
        <w:rPr>
          <w:lang w:eastAsia="en-US"/>
        </w:rPr>
        <w:t xml:space="preserve">foram encontrados </w:t>
      </w:r>
      <w:r w:rsidR="00A139BC">
        <w:rPr>
          <w:lang w:eastAsia="en-US"/>
        </w:rPr>
        <w:t xml:space="preserve">18%. </w:t>
      </w:r>
      <w:r w:rsidR="00B5069C">
        <w:rPr>
          <w:lang w:eastAsia="en-US"/>
        </w:rPr>
        <w:t>O</w:t>
      </w:r>
      <w:r w:rsidR="000D6A5B">
        <w:rPr>
          <w:lang w:eastAsia="en-US"/>
        </w:rPr>
        <w:t xml:space="preserve"> alelo polimórfico (“T”</w:t>
      </w:r>
      <w:r w:rsidR="009519F3">
        <w:rPr>
          <w:lang w:eastAsia="en-US"/>
        </w:rPr>
        <w:t xml:space="preserve">) </w:t>
      </w:r>
      <w:r w:rsidR="000D6A5B">
        <w:rPr>
          <w:lang w:eastAsia="en-US"/>
        </w:rPr>
        <w:t xml:space="preserve">foi associado </w:t>
      </w:r>
      <w:r w:rsidR="00B436CE">
        <w:rPr>
          <w:lang w:eastAsia="en-US"/>
        </w:rPr>
        <w:t xml:space="preserve">a </w:t>
      </w:r>
      <w:r w:rsidR="000D6A5B">
        <w:rPr>
          <w:lang w:eastAsia="en-US"/>
        </w:rPr>
        <w:t>níve</w:t>
      </w:r>
      <w:r w:rsidR="00563C6A">
        <w:rPr>
          <w:lang w:eastAsia="en-US"/>
        </w:rPr>
        <w:t xml:space="preserve">is </w:t>
      </w:r>
      <w:r w:rsidR="00B5069C">
        <w:rPr>
          <w:lang w:eastAsia="en-US"/>
        </w:rPr>
        <w:t>mais baixo</w:t>
      </w:r>
      <w:r w:rsidR="00563C6A">
        <w:rPr>
          <w:lang w:eastAsia="en-US"/>
        </w:rPr>
        <w:t>s</w:t>
      </w:r>
      <w:r w:rsidR="00B5069C">
        <w:rPr>
          <w:lang w:eastAsia="en-US"/>
        </w:rPr>
        <w:t xml:space="preserve"> de T4l</w:t>
      </w:r>
      <w:r w:rsidR="000D6A5B">
        <w:rPr>
          <w:lang w:eastAsia="en-US"/>
        </w:rPr>
        <w:t xml:space="preserve"> de forma dose-dependente</w:t>
      </w:r>
      <w:r w:rsidR="00EE0C9B">
        <w:rPr>
          <w:lang w:eastAsia="en-US"/>
        </w:rPr>
        <w:t xml:space="preserve"> entre adultos jovens, mas não entre idosos</w:t>
      </w:r>
      <w:r w:rsidR="000D6A5B">
        <w:rPr>
          <w:lang w:eastAsia="en-US"/>
        </w:rPr>
        <w:t xml:space="preserve"> (</w:t>
      </w:r>
      <w:r w:rsidR="00B806C9">
        <w:rPr>
          <w:lang w:eastAsia="en-US"/>
        </w:rPr>
        <w:t>C/C</w:t>
      </w:r>
      <w:r w:rsidR="000D6A5B">
        <w:rPr>
          <w:lang w:eastAsia="en-US"/>
        </w:rPr>
        <w:t xml:space="preserve">, 7,06 </w:t>
      </w:r>
      <w:r w:rsidR="000D6A5B" w:rsidRPr="00DD4BEC">
        <w:rPr>
          <w:color w:val="1F1F1F"/>
          <w:shd w:val="clear" w:color="auto" w:fill="FFFFFF"/>
        </w:rPr>
        <w:t>± </w:t>
      </w:r>
      <w:r w:rsidR="000D6A5B">
        <w:rPr>
          <w:color w:val="1F1F1F"/>
          <w:shd w:val="clear" w:color="auto" w:fill="FFFFFF"/>
        </w:rPr>
        <w:t xml:space="preserve">0,14 </w:t>
      </w:r>
      <w:proofErr w:type="spellStart"/>
      <w:r w:rsidR="000D6A5B" w:rsidRPr="000D6A5B">
        <w:rPr>
          <w:color w:val="1F1F1F"/>
          <w:shd w:val="clear" w:color="auto" w:fill="FFFFFF"/>
        </w:rPr>
        <w:t>μg</w:t>
      </w:r>
      <w:proofErr w:type="spellEnd"/>
      <w:r w:rsidR="000D6A5B" w:rsidRPr="000D6A5B">
        <w:rPr>
          <w:color w:val="1F1F1F"/>
          <w:shd w:val="clear" w:color="auto" w:fill="FFFFFF"/>
        </w:rPr>
        <w:t>/dl</w:t>
      </w:r>
      <w:r w:rsidR="000D6A5B">
        <w:rPr>
          <w:color w:val="1F1F1F"/>
          <w:shd w:val="clear" w:color="auto" w:fill="FFFFFF"/>
        </w:rPr>
        <w:t xml:space="preserve">; C/T, 6,74 </w:t>
      </w:r>
      <w:r w:rsidR="000D6A5B" w:rsidRPr="00DD4BEC">
        <w:rPr>
          <w:color w:val="1F1F1F"/>
          <w:shd w:val="clear" w:color="auto" w:fill="FFFFFF"/>
        </w:rPr>
        <w:t>± </w:t>
      </w:r>
      <w:r w:rsidR="000D6A5B">
        <w:rPr>
          <w:color w:val="1F1F1F"/>
          <w:shd w:val="clear" w:color="auto" w:fill="FFFFFF"/>
        </w:rPr>
        <w:t>0,15</w:t>
      </w:r>
      <w:r w:rsidR="000D6A5B" w:rsidRPr="000D6A5B">
        <w:rPr>
          <w:color w:val="1F1F1F"/>
          <w:shd w:val="clear" w:color="auto" w:fill="FFFFFF"/>
        </w:rPr>
        <w:t xml:space="preserve"> </w:t>
      </w:r>
      <w:proofErr w:type="spellStart"/>
      <w:r w:rsidR="000D6A5B" w:rsidRPr="000D6A5B">
        <w:rPr>
          <w:color w:val="1F1F1F"/>
          <w:shd w:val="clear" w:color="auto" w:fill="FFFFFF"/>
        </w:rPr>
        <w:t>μg</w:t>
      </w:r>
      <w:proofErr w:type="spellEnd"/>
      <w:r w:rsidR="000D6A5B" w:rsidRPr="000D6A5B">
        <w:rPr>
          <w:color w:val="1F1F1F"/>
          <w:shd w:val="clear" w:color="auto" w:fill="FFFFFF"/>
        </w:rPr>
        <w:t>/dl</w:t>
      </w:r>
      <w:r w:rsidR="000D6A5B">
        <w:rPr>
          <w:color w:val="1F1F1F"/>
          <w:shd w:val="clear" w:color="auto" w:fill="FFFFFF"/>
        </w:rPr>
        <w:t xml:space="preserve">; </w:t>
      </w:r>
      <w:r w:rsidR="00B806C9">
        <w:rPr>
          <w:color w:val="1F1F1F"/>
          <w:shd w:val="clear" w:color="auto" w:fill="FFFFFF"/>
        </w:rPr>
        <w:t>T/T</w:t>
      </w:r>
      <w:r w:rsidR="000D6A5B">
        <w:rPr>
          <w:color w:val="1F1F1F"/>
          <w:shd w:val="clear" w:color="auto" w:fill="FFFFFF"/>
        </w:rPr>
        <w:t xml:space="preserve"> 6,29 </w:t>
      </w:r>
      <w:r w:rsidR="000D6A5B" w:rsidRPr="00DD4BEC">
        <w:rPr>
          <w:color w:val="1F1F1F"/>
          <w:shd w:val="clear" w:color="auto" w:fill="FFFFFF"/>
        </w:rPr>
        <w:t>± </w:t>
      </w:r>
      <w:r w:rsidR="000D6A5B" w:rsidRPr="000D6A5B">
        <w:rPr>
          <w:color w:val="1F1F1F"/>
          <w:shd w:val="clear" w:color="auto" w:fill="FFFFFF"/>
        </w:rPr>
        <w:t xml:space="preserve">0,27 </w:t>
      </w:r>
      <w:proofErr w:type="spellStart"/>
      <w:r w:rsidR="000D6A5B" w:rsidRPr="000D6A5B">
        <w:rPr>
          <w:color w:val="1F1F1F"/>
          <w:shd w:val="clear" w:color="auto" w:fill="FFFFFF"/>
        </w:rPr>
        <w:t>μg</w:t>
      </w:r>
      <w:proofErr w:type="spellEnd"/>
      <w:r w:rsidR="000D6A5B" w:rsidRPr="000D6A5B">
        <w:rPr>
          <w:color w:val="1F1F1F"/>
          <w:shd w:val="clear" w:color="auto" w:fill="FFFFFF"/>
        </w:rPr>
        <w:t>/dl</w:t>
      </w:r>
      <w:r w:rsidR="00A139BC">
        <w:rPr>
          <w:color w:val="1F1F1F"/>
          <w:shd w:val="clear" w:color="auto" w:fill="FFFFFF"/>
        </w:rPr>
        <w:t xml:space="preserve"> </w:t>
      </w:r>
      <w:r w:rsidR="00A139BC">
        <w:rPr>
          <w:color w:val="1F1F1F"/>
          <w:shd w:val="clear" w:color="auto" w:fill="FFFFFF"/>
        </w:rPr>
        <w:fldChar w:fldCharType="begin"/>
      </w:r>
      <w:r w:rsidR="00A139BC">
        <w:rPr>
          <w:color w:val="1F1F1F"/>
          <w:shd w:val="clear" w:color="auto" w:fill="FFFFFF"/>
        </w:rPr>
        <w:instrText xml:space="preserve"> ADDIN ZOTERO_ITEM CSL_CITATION {"citationID":"LnISPaZh","properties":{"formattedCitation":"(20)","plainCitation":"(20)","noteIndex":0},"citationItems":[{"id":938,"uris":["http://zotero.org/users/7110448/items/FW63BDGL"],"itemData":{"id":938,"type":"article-journal","abstract":"Type II deiodinase (D2) is important in the regulation of local thyroid hormone bioactivity in certain tissues. D2 in skeletal muscle may also play a role in serum triiodothyronine (T(3)) production. In this study, we identified a polymorphism in the 5'-UTR of the D2 gene (D2-ORFa-Gly3Asp). We investigated the association of D2-ORFa-Gly3Asp, and of the previously identified D2-Thr92Ala polymorphism, with serum iodothyronine levels. D2-ORFa-Gly3Asp was identified by sequencing the 5'-UTR of 15 randomly selected individuals. Genotypes for D2-ORFa-Gly3Asp were determined in 156 healthy blood donors (age 46.3 +/- 12.2 yr) and 349 ambulant elderly men (age 77.7 +/- 3.5 yr) and related to serum iodothyronine and TSH levels. D2-ORFa-Asp(3) had an allele frequency of 33.9% in blood bank donors and was associated with serum thyroxine (T(4); Gly/Gly vs. Gly/Asp vs. Asp/Asp = 7.06 +/- 0.14 vs. 6.74 +/- 0.15 vs. 6.29 +/- 0.27 microg/dl, P = 0.01), free T(4) (1.22 +/- 0.02 vs. 1.16 +/- 0.02 vs. 1.06 +/- 0.04 ng/dl, P = 0.001), reverse T(3) (P = 0.01), and T(3)/T(4) ratio (P = 0.002) in a dose-dependent manner, but not with serum T(3) (P = 0.59). In elderly men, D2-ORFa-Asp(3) had a similar frequency but was not associated with serum iodothyronine levels. This new polymorphism in the 5'-UTR of D2 is associated with iodothyronine levels in blood donors but not in elderly men. We hypothesize that this might be explained by the decline in skeletal muscle size during aging, resulting in a relative decrease in the contribution of D2 to serum T(3) production.","container-title":"American Journal of Physiology. Endocrinology and Metabolism","DOI":"10.1152/ajpendo.00571.2004","ISSN":"0193-1849","issue":"1","journalAbbreviation":"Am J Physiol Endocrinol Metab","language":"eng","note":"PMID: 15727947","page":"E75-81","source":"PubMed","title":"A new polymorphism in the type II deiodinase gene is associated with circulating thyroid hormone parameters","volume":"289","author":[{"family":"Peeters","given":"Robin P."},{"family":"Beld","given":"Annewieke W.","non-dropping-particle":"van den"},{"family":"Attalki","given":"Hayat"},{"family":"Toor","given":"Hans","dropping-particle":"van"},{"family":"Rijke","given":"Yolanda B.","non-dropping-particle":"de"},{"family":"Kuiper","given":"George G. J. M."},{"family":"Lamberts","given":"Steven W. J."},{"family":"Janssen","given":"Joop A. M. J. L."},{"family":"Uitterlinden","given":"Andre G."},{"family":"Visser","given":"Theo J."}],"issued":{"date-parts":[["2005",7]]}}}],"schema":"https://github.com/citation-style-language/schema/raw/master/csl-citation.json"} </w:instrText>
      </w:r>
      <w:r w:rsidR="00A139BC">
        <w:rPr>
          <w:color w:val="1F1F1F"/>
          <w:shd w:val="clear" w:color="auto" w:fill="FFFFFF"/>
        </w:rPr>
        <w:fldChar w:fldCharType="separate"/>
      </w:r>
      <w:r w:rsidR="00A139BC">
        <w:rPr>
          <w:noProof/>
          <w:color w:val="1F1F1F"/>
          <w:shd w:val="clear" w:color="auto" w:fill="FFFFFF"/>
        </w:rPr>
        <w:t>(20)</w:t>
      </w:r>
      <w:r w:rsidR="00A139BC">
        <w:rPr>
          <w:color w:val="1F1F1F"/>
          <w:shd w:val="clear" w:color="auto" w:fill="FFFFFF"/>
        </w:rPr>
        <w:fldChar w:fldCharType="end"/>
      </w:r>
      <w:r w:rsidR="00A139BC">
        <w:rPr>
          <w:color w:val="1F1F1F"/>
          <w:shd w:val="clear" w:color="auto" w:fill="FFFFFF"/>
        </w:rPr>
        <w:t xml:space="preserve">. </w:t>
      </w:r>
      <w:r w:rsidR="00B436CE">
        <w:rPr>
          <w:color w:val="1F1F1F"/>
          <w:shd w:val="clear" w:color="auto" w:fill="FFFFFF"/>
        </w:rPr>
        <w:t xml:space="preserve">Nesse </w:t>
      </w:r>
      <w:r w:rsidR="00A139BC">
        <w:rPr>
          <w:color w:val="1F1F1F"/>
          <w:shd w:val="clear" w:color="auto" w:fill="FFFFFF"/>
        </w:rPr>
        <w:t xml:space="preserve">estudo não foi observado nenhum efeito do alelo polimórfico no nível de TSH, diferente do </w:t>
      </w:r>
      <w:r w:rsidR="00B436CE">
        <w:rPr>
          <w:color w:val="1F1F1F"/>
          <w:shd w:val="clear" w:color="auto" w:fill="FFFFFF"/>
        </w:rPr>
        <w:t xml:space="preserve">presente </w:t>
      </w:r>
      <w:r w:rsidR="00A139BC">
        <w:rPr>
          <w:color w:val="1F1F1F"/>
          <w:shd w:val="clear" w:color="auto" w:fill="FFFFFF"/>
        </w:rPr>
        <w:t>estudo</w:t>
      </w:r>
      <w:r w:rsidR="00B436CE">
        <w:rPr>
          <w:color w:val="1F1F1F"/>
          <w:shd w:val="clear" w:color="auto" w:fill="FFFFFF"/>
        </w:rPr>
        <w:t xml:space="preserve">, em </w:t>
      </w:r>
      <w:r w:rsidR="00A139BC">
        <w:rPr>
          <w:color w:val="1F1F1F"/>
          <w:shd w:val="clear" w:color="auto" w:fill="FFFFFF"/>
        </w:rPr>
        <w:t xml:space="preserve">que </w:t>
      </w:r>
      <w:proofErr w:type="gramStart"/>
      <w:r w:rsidR="00A139BC">
        <w:rPr>
          <w:color w:val="1F1F1F"/>
          <w:shd w:val="clear" w:color="auto" w:fill="FFFFFF"/>
        </w:rPr>
        <w:t>encontra</w:t>
      </w:r>
      <w:r w:rsidR="00B436CE">
        <w:rPr>
          <w:color w:val="1F1F1F"/>
          <w:shd w:val="clear" w:color="auto" w:fill="FFFFFF"/>
        </w:rPr>
        <w:t>ram-se</w:t>
      </w:r>
      <w:proofErr w:type="gramEnd"/>
      <w:r w:rsidR="00A139BC">
        <w:rPr>
          <w:color w:val="1F1F1F"/>
          <w:shd w:val="clear" w:color="auto" w:fill="FFFFFF"/>
        </w:rPr>
        <w:t xml:space="preserve"> níveis mais elevados na presença do alelo polimórfico em heterozigose ou homozigose. </w:t>
      </w:r>
      <w:r w:rsidR="009519F3">
        <w:rPr>
          <w:color w:val="1F1F1F"/>
          <w:shd w:val="clear" w:color="auto" w:fill="FFFFFF"/>
        </w:rPr>
        <w:t xml:space="preserve">Ainda em divergência com </w:t>
      </w:r>
      <w:r w:rsidR="00B436CE">
        <w:rPr>
          <w:color w:val="1F1F1F"/>
          <w:shd w:val="clear" w:color="auto" w:fill="FFFFFF"/>
        </w:rPr>
        <w:t xml:space="preserve">o citado </w:t>
      </w:r>
      <w:r w:rsidR="009519F3">
        <w:rPr>
          <w:color w:val="1F1F1F"/>
          <w:shd w:val="clear" w:color="auto" w:fill="FFFFFF"/>
        </w:rPr>
        <w:t xml:space="preserve">este estudo, não </w:t>
      </w:r>
      <w:r w:rsidR="00B436CE">
        <w:rPr>
          <w:color w:val="1F1F1F"/>
          <w:shd w:val="clear" w:color="auto" w:fill="FFFFFF"/>
        </w:rPr>
        <w:t xml:space="preserve">se </w:t>
      </w:r>
      <w:r w:rsidR="009519F3">
        <w:rPr>
          <w:color w:val="1F1F1F"/>
          <w:shd w:val="clear" w:color="auto" w:fill="FFFFFF"/>
        </w:rPr>
        <w:t>encontr</w:t>
      </w:r>
      <w:r w:rsidR="00B436CE">
        <w:rPr>
          <w:color w:val="1F1F1F"/>
          <w:shd w:val="clear" w:color="auto" w:fill="FFFFFF"/>
        </w:rPr>
        <w:t>ou</w:t>
      </w:r>
      <w:r w:rsidR="009519F3">
        <w:rPr>
          <w:color w:val="1F1F1F"/>
          <w:shd w:val="clear" w:color="auto" w:fill="FFFFFF"/>
        </w:rPr>
        <w:t xml:space="preserve"> associação entre alelo polimórfico e nível de T4l. </w:t>
      </w:r>
    </w:p>
    <w:p w14:paraId="718AB941" w14:textId="7563901C" w:rsidR="00DE42CD" w:rsidRDefault="00B5069C" w:rsidP="00262059">
      <w:pPr>
        <w:spacing w:line="360" w:lineRule="auto"/>
        <w:jc w:val="both"/>
        <w:rPr>
          <w:lang w:eastAsia="en-US"/>
        </w:rPr>
      </w:pPr>
      <w:r>
        <w:rPr>
          <w:lang w:eastAsia="en-US"/>
        </w:rPr>
        <w:t xml:space="preserve">     </w:t>
      </w:r>
      <w:r w:rsidR="0068712E">
        <w:rPr>
          <w:lang w:eastAsia="en-US"/>
        </w:rPr>
        <w:t>Objetivando caracterizar o comportamento des</w:t>
      </w:r>
      <w:r w:rsidR="00B436CE">
        <w:rPr>
          <w:lang w:eastAsia="en-US"/>
        </w:rPr>
        <w:t>s</w:t>
      </w:r>
      <w:r w:rsidR="0068712E">
        <w:rPr>
          <w:lang w:eastAsia="en-US"/>
        </w:rPr>
        <w:t>e polimorfismo</w:t>
      </w:r>
      <w:r>
        <w:rPr>
          <w:lang w:eastAsia="en-US"/>
        </w:rPr>
        <w:t xml:space="preserve"> (</w:t>
      </w:r>
      <w:r>
        <w:t xml:space="preserve">rs12885300 do gene </w:t>
      </w:r>
      <w:r w:rsidRPr="00F67A49">
        <w:rPr>
          <w:i/>
          <w:iCs/>
        </w:rPr>
        <w:t>DIO2</w:t>
      </w:r>
      <w:r>
        <w:rPr>
          <w:lang w:eastAsia="en-US"/>
        </w:rPr>
        <w:t xml:space="preserve">) </w:t>
      </w:r>
      <w:r w:rsidR="0068712E" w:rsidRPr="0068712E">
        <w:rPr>
          <w:i/>
          <w:iCs/>
          <w:lang w:eastAsia="en-US"/>
        </w:rPr>
        <w:t>in vitro</w:t>
      </w:r>
      <w:r w:rsidR="0068712E">
        <w:rPr>
          <w:lang w:eastAsia="en-US"/>
        </w:rPr>
        <w:t xml:space="preserve">, </w:t>
      </w:r>
      <w:proofErr w:type="spellStart"/>
      <w:r w:rsidR="0068712E">
        <w:rPr>
          <w:lang w:eastAsia="en-US"/>
        </w:rPr>
        <w:t>Coppotelli</w:t>
      </w:r>
      <w:proofErr w:type="spellEnd"/>
      <w:r w:rsidR="0068712E">
        <w:rPr>
          <w:lang w:eastAsia="en-US"/>
        </w:rPr>
        <w:t xml:space="preserve"> e colaboradores </w:t>
      </w:r>
      <w:r w:rsidR="00C228D9">
        <w:rPr>
          <w:lang w:eastAsia="en-US"/>
        </w:rPr>
        <w:t xml:space="preserve">clonaram e </w:t>
      </w:r>
      <w:r w:rsidR="0068712E">
        <w:rPr>
          <w:lang w:eastAsia="en-US"/>
        </w:rPr>
        <w:t xml:space="preserve">transfeccionaram os </w:t>
      </w:r>
      <w:r w:rsidR="000C56CC">
        <w:rPr>
          <w:lang w:eastAsia="en-US"/>
        </w:rPr>
        <w:t>alelos selvagem</w:t>
      </w:r>
      <w:r w:rsidR="0068712E">
        <w:rPr>
          <w:lang w:eastAsia="en-US"/>
        </w:rPr>
        <w:t xml:space="preserve"> (</w:t>
      </w:r>
      <w:r w:rsidR="00C228D9">
        <w:rPr>
          <w:lang w:eastAsia="en-US"/>
        </w:rPr>
        <w:t>C</w:t>
      </w:r>
      <w:r w:rsidR="0068712E">
        <w:rPr>
          <w:lang w:eastAsia="en-US"/>
        </w:rPr>
        <w:t>) e polimórfico (</w:t>
      </w:r>
      <w:r w:rsidR="00C228D9">
        <w:rPr>
          <w:lang w:eastAsia="en-US"/>
        </w:rPr>
        <w:t>T</w:t>
      </w:r>
      <w:r w:rsidR="0068712E">
        <w:rPr>
          <w:lang w:eastAsia="en-US"/>
        </w:rPr>
        <w:t>)</w:t>
      </w:r>
      <w:r w:rsidR="00C228D9">
        <w:rPr>
          <w:lang w:eastAsia="en-US"/>
        </w:rPr>
        <w:t xml:space="preserve"> em </w:t>
      </w:r>
      <w:r w:rsidR="0068712E">
        <w:rPr>
          <w:lang w:eastAsia="en-US"/>
        </w:rPr>
        <w:t>células HEK-293, GH3 e H3B</w:t>
      </w:r>
      <w:r w:rsidR="000C56CC">
        <w:rPr>
          <w:lang w:eastAsia="en-US"/>
        </w:rPr>
        <w:t xml:space="preserve"> </w:t>
      </w:r>
      <w:r w:rsidR="000C56CC">
        <w:rPr>
          <w:lang w:eastAsia="en-US"/>
        </w:rPr>
        <w:fldChar w:fldCharType="begin"/>
      </w:r>
      <w:r w:rsidR="00993E16">
        <w:rPr>
          <w:lang w:eastAsia="en-US"/>
        </w:rPr>
        <w:instrText xml:space="preserve"> ADDIN ZOTERO_ITEM CSL_CITATION {"citationID":"1565S5rQ","properties":{"formattedCitation":"(108)","plainCitation":"(108)","noteIndex":0},"citationItems":[{"id":950,"uris":["http://zotero.org/users/7110448/items/C7S5QPK7"],"itemData":{"id":950,"type":"article-journal","abstract":"OBJECTIVE: 5' deiodination of thyroid hormone represents an important step in the modulation of the hormonal message. Previous studies indicate that the naturally occurring polymorphism located in 5'-untranslated region of the gene, 258 A/G, is associated with a decrease in circulating T4/T3 ratio, suggesting an increased gene expression. The aim of this study was to characterize the gene variant in vitro.\nDESIGN: This was designed as an in vitro study.\nMAIN OUTCOME: The wild-type and mutant promoters were cloned into a reporter vector and transfected into HEK-293, GH3, and H3B cells. Compared to the 258G wild-type allele, the 258A variant had an increased basal activity in all the cell lines (HEK-293 258A 13998 +/- 371.9 RLU vs. 258G 5593 +/- 124.2 RLU, p &lt; 0.0001). Electrophoresis mobility shift assay (EMSA) experiments were performed with nuclear extracts obtained from HEK-293 cells and from human thyroid, muscle, and liver. The EMSA experiments showed that the 258A variant decreased the binding ability of a nuclear protein in HEK-293 cells, thyroid, and muscle. No specific binding was observed in liver nuclei.\nCONCLUSION: These data suggest that the increase in gene transcription induced by the 258A polymorphism could be mediated by reduction in the binding ability of a putative nuclear repressor.","container-title":"Thyroid: Official Journal of the American Thyroid Association","DOI":"10.1089/thy.2006.16.625","ISSN":"1050-7256","issue":"7","journalAbbreviation":"Thyroid","language":"eng","note":"PMID: 16889485","page":"625-632","source":"PubMed","title":"Functional characterization of the 258 A/G (D2-ORFa-Gly3Asp) human type-2 deiodinase polymorphism: a naturally occurring variant increases the enzymatic activity by removing a putative repressor site in the 5' UTR of the gene","title-short":"Functional characterization of the 258 A/G (D2-ORFa-Gly3Asp) human type-2 deiodinase polymorphism","volume":"16","author":[{"family":"Coppotelli","given":"Giuseppe"},{"family":"Summers","given":"Aaron"},{"family":"Chidakel","given":"Aaron"},{"family":"Ross","given":"Jaime M."},{"family":"Celi","given":"Francesco S."}],"issued":{"date-parts":[["2006",7]]}}}],"schema":"https://github.com/citation-style-language/schema/raw/master/csl-citation.json"} </w:instrText>
      </w:r>
      <w:r w:rsidR="000C56CC">
        <w:rPr>
          <w:lang w:eastAsia="en-US"/>
        </w:rPr>
        <w:fldChar w:fldCharType="separate"/>
      </w:r>
      <w:r w:rsidR="00993E16">
        <w:rPr>
          <w:noProof/>
          <w:lang w:eastAsia="en-US"/>
        </w:rPr>
        <w:t>(108)</w:t>
      </w:r>
      <w:r w:rsidR="000C56CC">
        <w:rPr>
          <w:lang w:eastAsia="en-US"/>
        </w:rPr>
        <w:fldChar w:fldCharType="end"/>
      </w:r>
      <w:r w:rsidR="0068712E">
        <w:rPr>
          <w:lang w:eastAsia="en-US"/>
        </w:rPr>
        <w:t>. A atividade da DIO</w:t>
      </w:r>
      <w:r w:rsidR="004C1F0E">
        <w:rPr>
          <w:lang w:eastAsia="en-US"/>
        </w:rPr>
        <w:t>2</w:t>
      </w:r>
      <w:r w:rsidR="0068712E">
        <w:rPr>
          <w:lang w:eastAsia="en-US"/>
        </w:rPr>
        <w:t xml:space="preserve"> foi comparada entre os dois grupos e foi demonstrad</w:t>
      </w:r>
      <w:r w:rsidR="002C1F48">
        <w:rPr>
          <w:lang w:eastAsia="en-US"/>
        </w:rPr>
        <w:t>o</w:t>
      </w:r>
      <w:r w:rsidR="0068712E">
        <w:rPr>
          <w:lang w:eastAsia="en-US"/>
        </w:rPr>
        <w:t xml:space="preserve"> </w:t>
      </w:r>
      <w:r w:rsidR="002C1F48">
        <w:rPr>
          <w:lang w:eastAsia="en-US"/>
        </w:rPr>
        <w:t>incremento da</w:t>
      </w:r>
      <w:r w:rsidR="0068712E">
        <w:rPr>
          <w:lang w:eastAsia="en-US"/>
        </w:rPr>
        <w:t xml:space="preserve"> atividade basal na presença do alelo polimórfico</w:t>
      </w:r>
      <w:r w:rsidR="004C1F0E">
        <w:rPr>
          <w:lang w:eastAsia="en-US"/>
        </w:rPr>
        <w:t xml:space="preserve"> e redução da relação T4</w:t>
      </w:r>
      <w:r w:rsidR="000C56CC">
        <w:rPr>
          <w:lang w:eastAsia="en-US"/>
        </w:rPr>
        <w:t xml:space="preserve"> </w:t>
      </w:r>
      <w:r w:rsidR="004C1F0E">
        <w:rPr>
          <w:lang w:eastAsia="en-US"/>
        </w:rPr>
        <w:t>/</w:t>
      </w:r>
      <w:r w:rsidR="000C56CC">
        <w:rPr>
          <w:lang w:eastAsia="en-US"/>
        </w:rPr>
        <w:t xml:space="preserve"> </w:t>
      </w:r>
      <w:r w:rsidR="004C1F0E">
        <w:rPr>
          <w:lang w:eastAsia="en-US"/>
        </w:rPr>
        <w:t>T3, sugerindo aumento da expressão g</w:t>
      </w:r>
      <w:r w:rsidR="00B436CE">
        <w:rPr>
          <w:lang w:eastAsia="en-US"/>
        </w:rPr>
        <w:t>ê</w:t>
      </w:r>
      <w:r w:rsidR="004C1F0E">
        <w:rPr>
          <w:lang w:eastAsia="en-US"/>
        </w:rPr>
        <w:t>nica des</w:t>
      </w:r>
      <w:r w:rsidR="00B436CE">
        <w:rPr>
          <w:lang w:eastAsia="en-US"/>
        </w:rPr>
        <w:t>s</w:t>
      </w:r>
      <w:r w:rsidR="004C1F0E">
        <w:rPr>
          <w:lang w:eastAsia="en-US"/>
        </w:rPr>
        <w:t>a enzima</w:t>
      </w:r>
      <w:r w:rsidR="00C228D9">
        <w:rPr>
          <w:lang w:eastAsia="en-US"/>
        </w:rPr>
        <w:t xml:space="preserve"> </w:t>
      </w:r>
      <w:r w:rsidR="00C228D9">
        <w:rPr>
          <w:lang w:eastAsia="en-US"/>
        </w:rPr>
        <w:fldChar w:fldCharType="begin"/>
      </w:r>
      <w:r w:rsidR="00993E16">
        <w:rPr>
          <w:lang w:eastAsia="en-US"/>
        </w:rPr>
        <w:instrText xml:space="preserve"> ADDIN ZOTERO_ITEM CSL_CITATION {"citationID":"xAj5V16a","properties":{"formattedCitation":"(108)","plainCitation":"(108)","noteIndex":0},"citationItems":[{"id":950,"uris":["http://zotero.org/users/7110448/items/C7S5QPK7"],"itemData":{"id":950,"type":"article-journal","abstract":"OBJECTIVE: 5' deiodination of thyroid hormone represents an important step in the modulation of the hormonal message. Previous studies indicate that the naturally occurring polymorphism located in 5'-untranslated region of the gene, 258 A/G, is associated with a decrease in circulating T4/T3 ratio, suggesting an increased gene expression. The aim of this study was to characterize the gene variant in vitro.\nDESIGN: This was designed as an in vitro study.\nMAIN OUTCOME: The wild-type and mutant promoters were cloned into a reporter vector and transfected into HEK-293, GH3, and H3B cells. Compared to the 258G wild-type allele, the 258A variant had an increased basal activity in all the cell lines (HEK-293 258A 13998 +/- 371.9 RLU vs. 258G 5593 +/- 124.2 RLU, p &lt; 0.0001). Electrophoresis mobility shift assay (EMSA) experiments were performed with nuclear extracts obtained from HEK-293 cells and from human thyroid, muscle, and liver. The EMSA experiments showed that the 258A variant decreased the binding ability of a nuclear protein in HEK-293 cells, thyroid, and muscle. No specific binding was observed in liver nuclei.\nCONCLUSION: These data suggest that the increase in gene transcription induced by the 258A polymorphism could be mediated by reduction in the binding ability of a putative nuclear repressor.","container-title":"Thyroid: Official Journal of the American Thyroid Association","DOI":"10.1089/thy.2006.16.625","ISSN":"1050-7256","issue":"7","journalAbbreviation":"Thyroid","language":"eng","note":"PMID: 16889485","page":"625-632","source":"PubMed","title":"Functional characterization of the 258 A/G (D2-ORFa-Gly3Asp) human type-2 deiodinase polymorphism: a naturally occurring variant increases the enzymatic activity by removing a putative repressor site in the 5' UTR of the gene","title-short":"Functional characterization of the 258 A/G (D2-ORFa-Gly3Asp) human type-2 deiodinase polymorphism","volume":"16","author":[{"family":"Coppotelli","given":"Giuseppe"},{"family":"Summers","given":"Aaron"},{"family":"Chidakel","given":"Aaron"},{"family":"Ross","given":"Jaime M."},{"family":"Celi","given":"Francesco S."}],"issued":{"date-parts":[["2006",7]]}}}],"schema":"https://github.com/citation-style-language/schema/raw/master/csl-citation.json"} </w:instrText>
      </w:r>
      <w:r w:rsidR="00C228D9">
        <w:rPr>
          <w:lang w:eastAsia="en-US"/>
        </w:rPr>
        <w:fldChar w:fldCharType="separate"/>
      </w:r>
      <w:r w:rsidR="00993E16">
        <w:rPr>
          <w:noProof/>
          <w:lang w:eastAsia="en-US"/>
        </w:rPr>
        <w:t>(108)</w:t>
      </w:r>
      <w:r w:rsidR="00C228D9">
        <w:rPr>
          <w:lang w:eastAsia="en-US"/>
        </w:rPr>
        <w:fldChar w:fldCharType="end"/>
      </w:r>
      <w:r w:rsidR="0068712E">
        <w:rPr>
          <w:lang w:eastAsia="en-US"/>
        </w:rPr>
        <w:t>.</w:t>
      </w:r>
      <w:r w:rsidR="00CF4793">
        <w:rPr>
          <w:lang w:eastAsia="en-US"/>
        </w:rPr>
        <w:t xml:space="preserve"> </w:t>
      </w:r>
      <w:proofErr w:type="spellStart"/>
      <w:r w:rsidR="00B65ADD" w:rsidRPr="00D05D79">
        <w:rPr>
          <w:color w:val="000000" w:themeColor="text1"/>
          <w:shd w:val="clear" w:color="auto" w:fill="FFFFFF"/>
        </w:rPr>
        <w:t>Hoftijzer</w:t>
      </w:r>
      <w:proofErr w:type="spellEnd"/>
      <w:r w:rsidR="00B65ADD" w:rsidRPr="00D05D79">
        <w:rPr>
          <w:color w:val="000000" w:themeColor="text1"/>
          <w:shd w:val="clear" w:color="auto" w:fill="FFFFFF"/>
        </w:rPr>
        <w:t xml:space="preserve"> e colaboradores </w:t>
      </w:r>
      <w:r w:rsidR="00DF77D5">
        <w:rPr>
          <w:color w:val="000000" w:themeColor="text1"/>
          <w:shd w:val="clear" w:color="auto" w:fill="FFFFFF"/>
        </w:rPr>
        <w:t xml:space="preserve">avaliaram 151 pacientes (28 homens e 123 mulheres) com idade de 49,1 </w:t>
      </w:r>
      <w:r w:rsidR="00DF77D5" w:rsidRPr="00DD4BEC">
        <w:rPr>
          <w:color w:val="1F1F1F"/>
          <w:shd w:val="clear" w:color="auto" w:fill="FFFFFF"/>
        </w:rPr>
        <w:t>± </w:t>
      </w:r>
      <w:r w:rsidR="00DF77D5">
        <w:rPr>
          <w:color w:val="000000" w:themeColor="text1"/>
          <w:shd w:val="clear" w:color="auto" w:fill="FFFFFF"/>
        </w:rPr>
        <w:t xml:space="preserve">12,9 anos </w:t>
      </w:r>
      <w:r w:rsidR="00DF77D5" w:rsidRPr="00DD4BEC">
        <w:rPr>
          <w:lang w:eastAsia="en-US"/>
        </w:rPr>
        <w:t xml:space="preserve">(média </w:t>
      </w:r>
      <w:r w:rsidR="00DF77D5" w:rsidRPr="00DD4BEC">
        <w:rPr>
          <w:color w:val="1F1F1F"/>
          <w:shd w:val="clear" w:color="auto" w:fill="FFFFFF"/>
        </w:rPr>
        <w:t>± DP)</w:t>
      </w:r>
      <w:r w:rsidR="00B436CE">
        <w:rPr>
          <w:color w:val="1F1F1F"/>
          <w:shd w:val="clear" w:color="auto" w:fill="FFFFFF"/>
        </w:rPr>
        <w:t>,</w:t>
      </w:r>
      <w:r w:rsidR="00DF77D5">
        <w:rPr>
          <w:color w:val="000000" w:themeColor="text1"/>
          <w:shd w:val="clear" w:color="auto" w:fill="FFFFFF"/>
        </w:rPr>
        <w:t xml:space="preserve"> tratados para carcinoma diferenciado de tireoide</w:t>
      </w:r>
      <w:r w:rsidR="00B436CE">
        <w:rPr>
          <w:color w:val="000000" w:themeColor="text1"/>
          <w:shd w:val="clear" w:color="auto" w:fill="FFFFFF"/>
        </w:rPr>
        <w:t>,</w:t>
      </w:r>
      <w:r w:rsidR="00DF77D5">
        <w:rPr>
          <w:color w:val="000000" w:themeColor="text1"/>
          <w:shd w:val="clear" w:color="auto" w:fill="FFFFFF"/>
        </w:rPr>
        <w:t xml:space="preserve"> com duração média de 11 anos estudo, no </w:t>
      </w:r>
      <w:r w:rsidR="00DF77D5" w:rsidRPr="00A322DB">
        <w:rPr>
          <w:iCs/>
          <w:color w:val="000000" w:themeColor="text1"/>
          <w:shd w:val="clear" w:color="auto" w:fill="FFFFFF"/>
        </w:rPr>
        <w:t xml:space="preserve">Leiden </w:t>
      </w:r>
      <w:proofErr w:type="spellStart"/>
      <w:r w:rsidR="00DF77D5" w:rsidRPr="00A322DB">
        <w:rPr>
          <w:iCs/>
          <w:color w:val="000000" w:themeColor="text1"/>
          <w:shd w:val="clear" w:color="auto" w:fill="FFFFFF"/>
        </w:rPr>
        <w:t>University</w:t>
      </w:r>
      <w:proofErr w:type="spellEnd"/>
      <w:r w:rsidR="00DF77D5" w:rsidRPr="00A322DB">
        <w:rPr>
          <w:iCs/>
          <w:color w:val="000000" w:themeColor="text1"/>
          <w:shd w:val="clear" w:color="auto" w:fill="FFFFFF"/>
        </w:rPr>
        <w:t xml:space="preserve"> Medical Center</w:t>
      </w:r>
      <w:r w:rsidR="00DF77D5">
        <w:rPr>
          <w:i/>
          <w:iCs/>
          <w:color w:val="000000" w:themeColor="text1"/>
          <w:shd w:val="clear" w:color="auto" w:fill="FFFFFF"/>
        </w:rPr>
        <w:t xml:space="preserve">, </w:t>
      </w:r>
      <w:r w:rsidR="00DF77D5">
        <w:rPr>
          <w:color w:val="000000" w:themeColor="text1"/>
          <w:shd w:val="clear" w:color="auto" w:fill="FFFFFF"/>
        </w:rPr>
        <w:t>um centro de referência terciário para carcinoma de tireoide. Demonstraram que pacientes tratados com tireoidectomia quase total</w:t>
      </w:r>
      <w:r w:rsidR="00B436CE">
        <w:rPr>
          <w:color w:val="000000" w:themeColor="text1"/>
          <w:shd w:val="clear" w:color="auto" w:fill="FFFFFF"/>
        </w:rPr>
        <w:t>,</w:t>
      </w:r>
      <w:r w:rsidR="00DF77D5">
        <w:rPr>
          <w:color w:val="000000" w:themeColor="text1"/>
          <w:shd w:val="clear" w:color="auto" w:fill="FFFFFF"/>
        </w:rPr>
        <w:t xml:space="preserve"> seguida da ablação com </w:t>
      </w:r>
      <w:r w:rsidR="00C96685">
        <w:rPr>
          <w:color w:val="000000" w:themeColor="text1"/>
          <w:shd w:val="clear" w:color="auto" w:fill="FFFFFF"/>
        </w:rPr>
        <w:t>radio iodo</w:t>
      </w:r>
      <w:r w:rsidR="00DF77D5">
        <w:rPr>
          <w:color w:val="000000" w:themeColor="text1"/>
          <w:shd w:val="clear" w:color="auto" w:fill="FFFFFF"/>
        </w:rPr>
        <w:t xml:space="preserve"> e supressão do TSH com levotiroxina, em homozigose para es</w:t>
      </w:r>
      <w:r w:rsidR="00B436CE">
        <w:rPr>
          <w:color w:val="000000" w:themeColor="text1"/>
          <w:shd w:val="clear" w:color="auto" w:fill="FFFFFF"/>
        </w:rPr>
        <w:t>s</w:t>
      </w:r>
      <w:r w:rsidR="00DF77D5">
        <w:rPr>
          <w:color w:val="000000" w:themeColor="text1"/>
          <w:shd w:val="clear" w:color="auto" w:fill="FFFFFF"/>
        </w:rPr>
        <w:t>e polimorfismo (T/T), tem ponto de ajuste alterado do eixo HHT</w:t>
      </w:r>
      <w:r w:rsidR="00262059">
        <w:rPr>
          <w:color w:val="000000" w:themeColor="text1"/>
          <w:shd w:val="clear" w:color="auto" w:fill="FFFFFF"/>
        </w:rPr>
        <w:t>.</w:t>
      </w:r>
      <w:r w:rsidR="00DF77D5">
        <w:rPr>
          <w:color w:val="000000" w:themeColor="text1"/>
          <w:shd w:val="clear" w:color="auto" w:fill="FFFFFF"/>
        </w:rPr>
        <w:t xml:space="preserve"> </w:t>
      </w:r>
      <w:r w:rsidR="00262059">
        <w:rPr>
          <w:color w:val="000000" w:themeColor="text1"/>
          <w:shd w:val="clear" w:color="auto" w:fill="FFFFFF"/>
        </w:rPr>
        <w:t xml:space="preserve">O </w:t>
      </w:r>
      <w:r w:rsidR="00DF77D5">
        <w:rPr>
          <w:color w:val="000000" w:themeColor="text1"/>
          <w:shd w:val="clear" w:color="auto" w:fill="FFFFFF"/>
        </w:rPr>
        <w:t>feedback negativo de T4 no TSH é mais fraco</w:t>
      </w:r>
      <w:r w:rsidR="00262059">
        <w:rPr>
          <w:color w:val="000000" w:themeColor="text1"/>
          <w:shd w:val="clear" w:color="auto" w:fill="FFFFFF"/>
        </w:rPr>
        <w:t xml:space="preserve"> (níveis de TSH mais elevados em combinação com níveis de T4l iguais)</w:t>
      </w:r>
      <w:r w:rsidR="00DF77D5">
        <w:rPr>
          <w:color w:val="000000" w:themeColor="text1"/>
          <w:shd w:val="clear" w:color="auto" w:fill="FFFFFF"/>
        </w:rPr>
        <w:t xml:space="preserve"> </w:t>
      </w:r>
      <w:r w:rsidR="00262059">
        <w:rPr>
          <w:color w:val="000000" w:themeColor="text1"/>
          <w:shd w:val="clear" w:color="auto" w:fill="FFFFFF"/>
        </w:rPr>
        <w:t>para o alelo polimórfico em homozigose (T/T)</w:t>
      </w:r>
      <w:r w:rsidR="00B436CE">
        <w:rPr>
          <w:color w:val="000000" w:themeColor="text1"/>
          <w:shd w:val="clear" w:color="auto" w:fill="FFFFFF"/>
        </w:rPr>
        <w:t>,</w:t>
      </w:r>
      <w:r w:rsidR="00262059">
        <w:rPr>
          <w:color w:val="000000" w:themeColor="text1"/>
          <w:shd w:val="clear" w:color="auto" w:fill="FFFFFF"/>
        </w:rPr>
        <w:t xml:space="preserve"> quando comparado ao alelo selvagem (C/C ou C/T) </w:t>
      </w:r>
      <w:r w:rsidR="00262059">
        <w:rPr>
          <w:color w:val="000000" w:themeColor="text1"/>
          <w:shd w:val="clear" w:color="auto" w:fill="FFFFFF"/>
        </w:rPr>
        <w:fldChar w:fldCharType="begin"/>
      </w:r>
      <w:r w:rsidR="00262059">
        <w:rPr>
          <w:color w:val="000000" w:themeColor="text1"/>
          <w:shd w:val="clear" w:color="auto" w:fill="FFFFFF"/>
        </w:rPr>
        <w:instrText xml:space="preserve"> ADDIN ZOTERO_ITEM CSL_CITATION {"citationID":"ZnvVhvWW","properties":{"formattedCitation":"(109)","plainCitation":"(109)","noteIndex":0},"citationItems":[{"id":2138,"uris":["http://zotero.org/users/7110448/items/FP2XQ6NY"],"itemData":{"id":2138,"type":"article-journal","abstract":"Iodothyronine deiodinases D1, D2, and D3 play an important role in synthesis and degradation of T3. The relationship between serum TSH and free T4 (FT4) levels is determined by an individual set point of the hypothalamus-pituitary-thyroid axis.Several polymorphisms have been described in D1 and D2 of which some are associated with serum TSH and iodothyronine levels. In this study we investigate whether polymorphisms of D1 and D2 influence the set point of the hypothalamus-pituitary-thyroid axis.We collected 1905 serum FT4 and TSH measurements during 11.5 ± 8.8 yr of follow-up in patients treated for differentiated thyroid carcinoma (DTC). We determined these polymorphisms: D1-rs11206244, D1-rs12095080, D2-rs225014, and D2-rs12885300. Effects of these polymorphisms on the set points of the hypothalamus-pituitary-thyroid axis were analyzed with a linear mixed model.The study was conducted at Leiden University Medical Center, a tertiary referral center for DTC.One hundred fifty-one consecutive patients were treated and cured for DTC.Slopes and intercepts of regression equations representing the relationship between InTSH and FT4 were measured for all polymorphisms.DTC patients homozygous for the D2-rs12885300 T allele have an altered set point of the hypothalamus-pituitary-thyroid axis. The slope of the regression line (corrected for age, body mass index, and gender) for wild-type patients was −0.32 ± 0.028 (ln[TSH(mU/liter)]/[FT4(pmol/liter)]), the intercept, 4.95. For heterozygous patients, the slope was −0.30 ± 0.028 (ln[TSH(mU/liter)]/[FT4(pmol/liter)]), the intercept, 4.23. The slope of the homozygous patients was −0.35 ± 0.026 (ln[TSH(mU/liter)]/[FT4(pmol/liter)]) and the intercept, 6.07 (P = 0.036 compared with wild-type and heterozygous patients).Our data suggest that the negative feedback of FT4 on TSH is weaker in patients homozygous for the D2-rs12885300 T allele than in wild-type and heterozygous subjects.","container-title":"The Journal of Clinical Endocrinology &amp; Metabolism","DOI":"10.1210/jc.2011-0235","ISSN":"0021-972X","issue":"9","journalAbbreviation":"The Journal of Clinical Endocrinology &amp; Metabolism","page":"E1527-E1533","source":"Silverchair","title":"The Type 2 Deiodinase ORFa-Gly3Asp Polymorphism (rs12885300) Influences the Set Point of the Hypothalamus-Pituitary-Thyroid Axis in Patients Treated for Differentiated Thyroid Carcinoma","volume":"96","author":[{"family":"Hoftijzer","given":"H. C."},{"family":"Heemstra","given":"K. A."},{"family":"Visser","given":"T. J."},{"family":"Cessie","given":"S.","non-dropping-particle":"le"},{"family":"Peeters","given":"R. P."},{"family":"Corssmit","given":"E. P. M."},{"family":"Smit","given":"J. W. A."}],"issued":{"date-parts":[["2011",9,1]]}}}],"schema":"https://github.com/citation-style-language/schema/raw/master/csl-citation.json"} </w:instrText>
      </w:r>
      <w:r w:rsidR="00262059">
        <w:rPr>
          <w:color w:val="000000" w:themeColor="text1"/>
          <w:shd w:val="clear" w:color="auto" w:fill="FFFFFF"/>
        </w:rPr>
        <w:fldChar w:fldCharType="separate"/>
      </w:r>
      <w:r w:rsidR="00262059">
        <w:rPr>
          <w:noProof/>
          <w:color w:val="000000" w:themeColor="text1"/>
          <w:shd w:val="clear" w:color="auto" w:fill="FFFFFF"/>
        </w:rPr>
        <w:t>(109)</w:t>
      </w:r>
      <w:r w:rsidR="00262059">
        <w:rPr>
          <w:color w:val="000000" w:themeColor="text1"/>
          <w:shd w:val="clear" w:color="auto" w:fill="FFFFFF"/>
        </w:rPr>
        <w:fldChar w:fldCharType="end"/>
      </w:r>
      <w:r w:rsidR="00262059">
        <w:rPr>
          <w:color w:val="000000" w:themeColor="text1"/>
          <w:shd w:val="clear" w:color="auto" w:fill="FFFFFF"/>
        </w:rPr>
        <w:t>.</w:t>
      </w:r>
      <w:r w:rsidR="00B522F3">
        <w:rPr>
          <w:lang w:eastAsia="en-US"/>
        </w:rPr>
        <w:t xml:space="preserve"> </w:t>
      </w:r>
    </w:p>
    <w:p w14:paraId="7C803096" w14:textId="63A8FE75" w:rsidR="004F6688" w:rsidRDefault="00FF2605" w:rsidP="006548B5">
      <w:pPr>
        <w:pBdr>
          <w:top w:val="nil"/>
          <w:left w:val="nil"/>
          <w:bottom w:val="nil"/>
          <w:right w:val="nil"/>
          <w:between w:val="nil"/>
        </w:pBdr>
        <w:spacing w:before="30" w:line="360" w:lineRule="auto"/>
        <w:jc w:val="both"/>
        <w:rPr>
          <w:bCs/>
          <w:color w:val="222222"/>
        </w:rPr>
      </w:pPr>
      <w:r>
        <w:rPr>
          <w:lang w:eastAsia="en-US"/>
        </w:rPr>
        <w:t xml:space="preserve">     </w:t>
      </w:r>
      <w:r w:rsidRPr="00D21434">
        <w:rPr>
          <w:bCs/>
          <w:color w:val="222222"/>
        </w:rPr>
        <w:t xml:space="preserve">O polimorfismo </w:t>
      </w:r>
      <w:r w:rsidRPr="00D21434">
        <w:t>rs225014</w:t>
      </w:r>
      <w:r w:rsidRPr="00D21434">
        <w:rPr>
          <w:bCs/>
          <w:color w:val="222222"/>
        </w:rPr>
        <w:t xml:space="preserve"> (Thr92Ala-D2) é o mais estudado do gene</w:t>
      </w:r>
      <w:r w:rsidRPr="00A322DB">
        <w:rPr>
          <w:bCs/>
          <w:i/>
          <w:color w:val="222222"/>
        </w:rPr>
        <w:t xml:space="preserve"> DIO2</w:t>
      </w:r>
      <w:r w:rsidR="009A3795" w:rsidRPr="00D21434">
        <w:rPr>
          <w:bCs/>
          <w:color w:val="222222"/>
        </w:rPr>
        <w:t xml:space="preserve">. </w:t>
      </w:r>
      <w:r w:rsidR="00107D53" w:rsidRPr="00D21434">
        <w:rPr>
          <w:bCs/>
          <w:color w:val="222222"/>
        </w:rPr>
        <w:t xml:space="preserve">Ocorre numa região codificadora do gene (exon 2) </w:t>
      </w:r>
      <w:r w:rsidR="00107D53" w:rsidRPr="00D21434">
        <w:rPr>
          <w:bCs/>
          <w:color w:val="222222"/>
        </w:rPr>
        <w:fldChar w:fldCharType="begin"/>
      </w:r>
      <w:r w:rsidR="00344DCD" w:rsidRPr="00D21434">
        <w:rPr>
          <w:bCs/>
          <w:color w:val="222222"/>
        </w:rPr>
        <w:instrText xml:space="preserve"> ADDIN ZOTERO_ITEM CSL_CITATION {"citationID":"zrrYCQu2","properties":{"formattedCitation":"(110,111)","plainCitation":"(110,111)","noteIndex":0},"citationItems":[{"id":560,"uris":["http://zotero.org/users/7110448/items/JAQDB2TV"],"itemData":{"id":560,"type":"article-journal","container-title":"The Journal of Clinical Endocrinology &amp; Metabolism","DOI":"10.1210/jc.2004-1977","ISSN":"0021-972X, 1945-7197","issue":"6","journalAbbreviation":"The Journal of Clinical Endocrinology &amp; Metabolism","language":"en","page":"3472-3478","source":"DOI.org (Crossref)","title":"The Type 2 Deiodinase A/G (Thr92Ala) Polymorphism Is Associated with Decreased Enzyme Velocity and Increased Insulin Resistance in Patients with Type 2 Diabetes Mellitus","volume":"90","author":[{"family":"Canani","given":"Luis Henrique"},{"family":"Capp","given":"Clarissa"},{"family":"Dora","given":"José Miguel"},{"family":"Meyer","given":"Erika L. Souza"},{"family":"Wagner","given":"Márcia S."},{"family":"Harney","given":"John W."},{"family":"Larsen","given":"P. Reed"},{"family":"Gross","given":"Jorge L."},{"family":"Bianco","given":"Antonio C."},{"family":"Maia","given":"Ana Luiza"}],"issued":{"date-parts":[["2005",6]]}},"label":"page"},{"id":743,"uris":["http://zotero.org/users/7110448/items/R5DRA9VM"],"itemData":{"id":743,"type":"article-journal","abstract":"INTRODUCTION: Biological activity of thyroid hormones (TH) is regulated by enzymes known as deiodinases. The most important is represented by the type 2 deiodinase (D2), which is the main T4-activating enzyme, ubiquitous in human tissues and therefore essential in many metabolic processes. A single nucleotide polymorphism (SPN) of D2, known as Thr92Ala (rs225014), has been reported in the general population while other polymorphisms are less frequently described.\nAREAS COVERED: Several authors investigated the potential metabolic effect of these polymorphisms in the general population and in specific groups of patients. Thr92Ala polymorphism was mainly studied in patients with autoimmune or surgical hypothyroidism and in patients with physical/psychological disorders that could be related to an overt hypothyroidism. Susceptibility to develop more severe type 2 diabetes or insulin resistance has also been evaluated.\nEXPERT COMMENTARY: There is an increasing evidence that the presence of D2 polymorphisms may play a pivotal role in a better definition and customized therapeutic approach of patients with hypothyroidism and/or type 2 diabetes, suggesting that these patients should be screened for D2 polymorphisms. Nevertheless, further research should be performed in order to clarify the association between D2 polymorphisms, metabolic alterations and clinical conditions of the carrier patients.","container-title":"Expert Review of Endocrinology &amp; Metabolism","DOI":"10.1080/17446651.2018.1523714","ISSN":"1744-8417","issue":"5","journalAbbreviation":"Expert Rev Endocrinol Metab","language":"eng","note":"PMID: 30257587","page":"273-277","source":"PubMed","title":"Clinical significance of type 2 iodothyronine deiodinase polymorphism","volume":"13","author":[{"family":"Maino","given":"Fabio"},{"family":"Cantara","given":"Silvia"},{"family":"Forleo","given":"Raffaella"},{"family":"Pilli","given":"Tania"},{"family":"Castagna","given":"Maria Grazia"}],"issued":{"date-parts":[["2018",9]]}},"label":"page"}],"schema":"https://github.com/citation-style-language/schema/raw/master/csl-citation.json"} </w:instrText>
      </w:r>
      <w:r w:rsidR="00107D53" w:rsidRPr="00D21434">
        <w:rPr>
          <w:bCs/>
          <w:color w:val="222222"/>
        </w:rPr>
        <w:fldChar w:fldCharType="separate"/>
      </w:r>
      <w:r w:rsidR="00993E16" w:rsidRPr="00D21434">
        <w:rPr>
          <w:bCs/>
          <w:noProof/>
          <w:color w:val="222222"/>
        </w:rPr>
        <w:t>(110,111)</w:t>
      </w:r>
      <w:r w:rsidR="00107D53" w:rsidRPr="00D21434">
        <w:rPr>
          <w:bCs/>
          <w:color w:val="222222"/>
        </w:rPr>
        <w:fldChar w:fldCharType="end"/>
      </w:r>
      <w:r w:rsidR="00107D53" w:rsidRPr="00D21434">
        <w:rPr>
          <w:bCs/>
          <w:color w:val="222222"/>
        </w:rPr>
        <w:t xml:space="preserve">. </w:t>
      </w:r>
      <w:r w:rsidR="009A3795" w:rsidRPr="00D21434">
        <w:rPr>
          <w:bCs/>
          <w:color w:val="222222"/>
        </w:rPr>
        <w:t>E</w:t>
      </w:r>
      <w:r w:rsidRPr="00D21434">
        <w:rPr>
          <w:color w:val="333333"/>
          <w:shd w:val="clear" w:color="auto" w:fill="FFFFFF"/>
        </w:rPr>
        <w:t>specula-se qu</w:t>
      </w:r>
      <w:r w:rsidR="002C1F48" w:rsidRPr="00D21434">
        <w:rPr>
          <w:color w:val="333333"/>
          <w:shd w:val="clear" w:color="auto" w:fill="FFFFFF"/>
        </w:rPr>
        <w:t xml:space="preserve">e </w:t>
      </w:r>
      <w:r w:rsidR="00107D53" w:rsidRPr="00D21434">
        <w:rPr>
          <w:color w:val="333333"/>
          <w:shd w:val="clear" w:color="auto" w:fill="FFFFFF"/>
        </w:rPr>
        <w:t xml:space="preserve">a </w:t>
      </w:r>
      <w:r w:rsidRPr="00D21434">
        <w:rPr>
          <w:color w:val="333333"/>
          <w:shd w:val="clear" w:color="auto" w:fill="FFFFFF"/>
        </w:rPr>
        <w:t>troca do nucleotídeo</w:t>
      </w:r>
      <w:r w:rsidR="002C1F48" w:rsidRPr="00D21434">
        <w:rPr>
          <w:color w:val="333333"/>
          <w:shd w:val="clear" w:color="auto" w:fill="FFFFFF"/>
        </w:rPr>
        <w:t xml:space="preserve"> t</w:t>
      </w:r>
      <w:r w:rsidRPr="00623A9D">
        <w:rPr>
          <w:color w:val="333333"/>
          <w:shd w:val="clear" w:color="auto" w:fill="FFFFFF"/>
        </w:rPr>
        <w:t>r</w:t>
      </w:r>
      <w:r w:rsidRPr="00D21434">
        <w:rPr>
          <w:color w:val="333333"/>
          <w:shd w:val="clear" w:color="auto" w:fill="FFFFFF"/>
        </w:rPr>
        <w:t xml:space="preserve">eonina por </w:t>
      </w:r>
      <w:r w:rsidR="002C1F48" w:rsidRPr="00D21434">
        <w:rPr>
          <w:color w:val="333333"/>
          <w:shd w:val="clear" w:color="auto" w:fill="FFFFFF"/>
        </w:rPr>
        <w:t>a</w:t>
      </w:r>
      <w:r w:rsidRPr="00D21434">
        <w:rPr>
          <w:color w:val="333333"/>
          <w:shd w:val="clear" w:color="auto" w:fill="FFFFFF"/>
        </w:rPr>
        <w:t xml:space="preserve">lanina influencia a ubiquitinação da desiodase tipo 2 e compromete  a sua eficiência  enzimática </w:t>
      </w:r>
      <w:r w:rsidRPr="00D21434">
        <w:rPr>
          <w:bCs/>
          <w:color w:val="222222"/>
        </w:rPr>
        <w:t xml:space="preserve">ou que o acumulo de </w:t>
      </w:r>
      <w:r w:rsidRPr="00A322DB">
        <w:rPr>
          <w:i/>
          <w:color w:val="333333"/>
          <w:shd w:val="clear" w:color="auto" w:fill="FFFFFF"/>
        </w:rPr>
        <w:t>DIO2</w:t>
      </w:r>
      <w:r w:rsidRPr="00D21434">
        <w:rPr>
          <w:color w:val="333333"/>
          <w:shd w:val="clear" w:color="auto" w:fill="FFFFFF"/>
        </w:rPr>
        <w:t xml:space="preserve">-Ala no aparelho de Golgi interrompa funções celulares importantes </w:t>
      </w:r>
      <w:r w:rsidRPr="00D21434">
        <w:rPr>
          <w:bCs/>
          <w:color w:val="222222"/>
        </w:rPr>
        <w:fldChar w:fldCharType="begin"/>
      </w:r>
      <w:r w:rsidR="00344DCD" w:rsidRPr="00D21434">
        <w:rPr>
          <w:bCs/>
          <w:color w:val="222222"/>
        </w:rPr>
        <w:instrText xml:space="preserve"> ADDIN ZOTERO_ITEM CSL_CITATION {"citationID":"Oo5PAG7F","properties":{"unsorted":true,"formattedCitation":"(112,110)","plainCitation":"(112,110)","noteIndex":0},"citationItems":[{"id":1980,"uris":["http://zotero.org/users/7110448/items/9T5SVCDU"],"itemData":{"id":1980,"type":"article-journal","abstract":"Single nucleotide polymorphisms (SNPs) in genes involved in thyroid hormone metabolism may affect thyroid hormone bioactivity. We investigated the occurrence and possible effects of SNPs in the deiodinases (D1–D3), the TSH receptor (TSHR), and the T3 receptor β (TRβ) genes.SNPs were identified in public databases or by sequencing of genomic DNA from 15 randomly selected subjects (30 alleles). Genotypes for the identified SNPs were determined in 156 healthy blood donors and related to plasma T4, free T4, T3, rT3, and TSH levels.Eight SNPs of interest were identified, four of which had not yet been published. Three are located in the 3′-untranslated region: D1a-C/T (allele frequencies, C = 66%, T = 34%), D1b-A/G (A = 89.7%, G = 10.3%), and D3-T/G (T = 85.5%, G = 14.2%). Four are missense SNPs: D2-A/G (Thr92Ala, Thr = 61.2%, Ala = 38.8%), TSHRa-G/C (Asp36His, Asp = 99.4%, His = 0.6%), TSHRb-C/A (Pro52Thr, Pro = 94.2%, Thr = 5.8%), and TSHRc-C/G (Asp727Glu, Asp = 90.7%, Glu = 9.3%). One is a silent SNP: TRβ-T/C (T = 96.8%, C = 3.2%). D1a-T was associated in a dose-dependent manner with a higher plasma rT3 [CC, 0.29 ± 0.01; CT, 0.32 ± 0.01; and TT, 0.34 ± 0.02 nmol/liter (mean ± se); P = 0.017], a higher plasma rT3/T4 (P = 0.01), and a lower T3/rT3 (P = 0.003) ratio. The D1b-G allele was associated with lower plasma rT3/T4 (P = 0.024) and with higher T3/rT3 (P = 0.08) ratios. TSHRc-G was associated with a lower plasma TSH (CC, 1.38 ± 0.07, vs. GC, 1.06 ± 0.14 mU/liter; P = 0.04), and with lower plasma TSH/free T4 (P = 0.06), TSH/T3 (P = 0.06), and TSH/T4 (P = 0.08) ratios. No associations with TSH and iodothyronine levels were found for the other SNPs.We have analyzed eight SNPs in five thyroid hormone pathway genes and found significant associations of three SNPs in two genes (D1, TSHR) with plasma TSH or iodothyronine levels in a normal population.","container-title":"The Journal of Clinical Endocrinology &amp; Metabolism","DOI":"10.1210/jc.2002-021592","ISSN":"0021-972X","issue":"6","journalAbbreviation":"The Journal of Clinical Endocrinology &amp; Metabolism","page":"2880-2888","source":"Silverchair","title":"Polymorphisms in Thyroid Hormone Pathway Genes Are Associated with Plasma TSH and Iodothyronine Levels in Healthy Subjects","volume":"88","author":[{"family":"Peeters","given":"Robin P."},{"family":"Toor","given":"Hans","non-dropping-particle":"van"},{"family":"Klootwijk","given":"Willem"},{"family":"Rijke","given":"Yolanda B.","non-dropping-particle":"de"},{"family":"Kuiper","given":"George G. J. M."},{"family":"Uitterlinden","given":"Andre G."},{"family":"Visser","given":"Theo J."}],"issued":{"date-parts":[["2003",6,1]]}},"label":"page"},{"id":560,"uris":["http://zotero.org/users/7110448/items/JAQDB2TV"],"itemData":{"id":560,"type":"article-journal","container-title":"The Journal of Clinical Endocrinology &amp; Metabolism","DOI":"10.1210/jc.2004-1977","ISSN":"0021-972X, 1945-7197","issue":"6","journalAbbreviation":"The Journal of Clinical Endocrinology &amp; Metabolism","language":"en","page":"3472-3478","source":"DOI.org (Crossref)","title":"The Type 2 Deiodinase A/G (Thr92Ala) Polymorphism Is Associated with Decreased Enzyme Velocity and Increased Insulin Resistance in Patients with Type 2 Diabetes Mellitus","volume":"90","author":[{"family":"Canani","given":"Luis Henrique"},{"family":"Capp","given":"Clarissa"},{"family":"Dora","given":"José Miguel"},{"family":"Meyer","given":"Erika L. Souza"},{"family":"Wagner","given":"Márcia S."},{"family":"Harney","given":"John W."},{"family":"Larsen","given":"P. Reed"},{"family":"Gross","given":"Jorge L."},{"family":"Bianco","given":"Antonio C."},{"family":"Maia","given":"Ana Luiza"}],"issued":{"date-parts":[["2005",6]]}},"label":"page"}],"schema":"https://github.com/citation-style-language/schema/raw/master/csl-citation.json"} </w:instrText>
      </w:r>
      <w:r w:rsidRPr="00D21434">
        <w:rPr>
          <w:bCs/>
          <w:color w:val="222222"/>
        </w:rPr>
        <w:fldChar w:fldCharType="separate"/>
      </w:r>
      <w:r w:rsidR="00993E16" w:rsidRPr="00D21434">
        <w:rPr>
          <w:bCs/>
          <w:noProof/>
          <w:color w:val="222222"/>
        </w:rPr>
        <w:t>(112,110)</w:t>
      </w:r>
      <w:r w:rsidRPr="00D21434">
        <w:rPr>
          <w:bCs/>
          <w:color w:val="222222"/>
        </w:rPr>
        <w:fldChar w:fldCharType="end"/>
      </w:r>
      <w:r w:rsidRPr="00D21434">
        <w:rPr>
          <w:color w:val="333333"/>
          <w:shd w:val="clear" w:color="auto" w:fill="FFFFFF"/>
        </w:rPr>
        <w:t xml:space="preserve">. Alguns estudos </w:t>
      </w:r>
      <w:r w:rsidRPr="00D21434">
        <w:rPr>
          <w:i/>
          <w:iCs/>
          <w:color w:val="333333"/>
          <w:shd w:val="clear" w:color="auto" w:fill="FFFFFF"/>
        </w:rPr>
        <w:t>in vitro</w:t>
      </w:r>
      <w:r w:rsidRPr="00D21434">
        <w:rPr>
          <w:color w:val="333333"/>
          <w:shd w:val="clear" w:color="auto" w:fill="FFFFFF"/>
        </w:rPr>
        <w:t xml:space="preserve"> demonstraram redução</w:t>
      </w:r>
      <w:r>
        <w:rPr>
          <w:color w:val="333333"/>
          <w:shd w:val="clear" w:color="auto" w:fill="FFFFFF"/>
        </w:rPr>
        <w:t xml:space="preserve"> da atividade de </w:t>
      </w:r>
      <w:r w:rsidRPr="00A322DB">
        <w:rPr>
          <w:i/>
          <w:color w:val="333333"/>
          <w:shd w:val="clear" w:color="auto" w:fill="FFFFFF"/>
        </w:rPr>
        <w:t>DIO2</w:t>
      </w:r>
      <w:r>
        <w:rPr>
          <w:color w:val="333333"/>
          <w:shd w:val="clear" w:color="auto" w:fill="FFFFFF"/>
        </w:rPr>
        <w:t xml:space="preserve"> na presença do alelo polimórfico, com menor conversão de T4 em T3, endossando potencial efeito funcional des</w:t>
      </w:r>
      <w:r w:rsidR="00D21434">
        <w:rPr>
          <w:color w:val="333333"/>
          <w:shd w:val="clear" w:color="auto" w:fill="FFFFFF"/>
        </w:rPr>
        <w:t>s</w:t>
      </w:r>
      <w:r>
        <w:rPr>
          <w:color w:val="333333"/>
          <w:shd w:val="clear" w:color="auto" w:fill="FFFFFF"/>
        </w:rPr>
        <w:t xml:space="preserve">a variante </w:t>
      </w:r>
      <w:r>
        <w:rPr>
          <w:color w:val="333333"/>
          <w:shd w:val="clear" w:color="auto" w:fill="FFFFFF"/>
        </w:rPr>
        <w:fldChar w:fldCharType="begin"/>
      </w:r>
      <w:r w:rsidR="00344DCD">
        <w:rPr>
          <w:color w:val="333333"/>
          <w:shd w:val="clear" w:color="auto" w:fill="FFFFFF"/>
        </w:rPr>
        <w:instrText xml:space="preserve"> ADDIN ZOTERO_ITEM CSL_CITATION {"citationID":"G23Euluq","properties":{"formattedCitation":"(110,113)","plainCitation":"(110,113)","noteIndex":0},"citationItems":[{"id":560,"uris":["http://zotero.org/users/7110448/items/JAQDB2TV"],"itemData":{"id":560,"type":"article-journal","container-title":"The Journal of Clinical Endocrinology &amp; Metabolism","DOI":"10.1210/jc.2004-1977","ISSN":"0021-972X, 1945-7197","issue":"6","journalAbbreviation":"The Journal of Clinical Endocrinology &amp; Metabolism","language":"en","page":"3472-3478","source":"DOI.org (Crossref)","title":"The Type 2 Deiodinase A/G (Thr92Ala) Polymorphism Is Associated with Decreased Enzyme Velocity and Increased Insulin Resistance in Patients with Type 2 Diabetes Mellitus","volume":"90","author":[{"family":"Canani","given":"Luis Henrique"},{"family":"Capp","given":"Clarissa"},{"family":"Dora","given":"José Miguel"},{"family":"Meyer","given":"Erika L. Souza"},{"family":"Wagner","given":"Márcia S."},{"family":"Harney","given":"John W."},{"family":"Larsen","given":"P. Reed"},{"family":"Gross","given":"Jorge L."},{"family":"Bianco","given":"Antonio C."},{"family":"Maia","given":"Ana Luiza"}],"issued":{"date-parts":[["2005",6]]}},"label":"page"},{"id":550,"uris":["http://zotero.org/users/7110448/items/APL3V5I9"],"itemData":{"id":550,"type":"article-journal","abstract":"Objectives: To investigate the effects of DIO2 polymorphisms in thyroid hormone homeostasis. Design: We compared the presurgical hormonal status of thyroidectomized LT4-treated patients who had a similar thyroid-stimulating hormone (TSH) level with their postsurgery status and analyzed their DIO2 genotype in a subgroup of 102/140 (72.8%) of patients. We measured the enzymatic properties of Thr92Ala in living cells and in relevant generated mouse models. Subjects and methods: A total of 140 thyroidectomized subjects were included. Serum free T3 (FT3), free thyroxine, and TSH levels were directly measured. Immunohistochemistry and immunoblotting were performed for D2 protein.\nResults: The DIO2 genotyping revealed an association between low FT3 values and Thr92Ala. Specifically, the mean postsurgery FT3 levels were significantly lower in patients carrying the mutated allele(s) than in wild-type patients, in whom FT3 postsurgical levels were similar to presurgery levels. The 2258 G/A variation was not associated with hormonal alteration. We found that endogenous wild-type D2 and Thr92Ala share the same subcellular localization but differ in protein stability. Importantly, Thr92Ala reduced D2-mediated thyroxine to T3 conversion.\nConclusions: Thyroidectomized patients carrying Thr92Ala are at increased risk of reduced intracellular and serum T3 concentrations that are not adequately compensated for by LT4, thus providing evidence in favor of customized treatment of hypothyroidism in athyreotic patients. (J Clin Endocrinol Metab 102: 1623–1630, 2017)","container-title":"The Journal of Clinical Endocrinology &amp; Metabolism","DOI":"10.1210/jc.2016-2587","ISSN":"0021-972X, 1945-7197","issue":"5","language":"en","page":"1623-1630","source":"DOI.org (Crossref)","title":"DIO2 Thr92Ala Reduces Deiodinase-2 Activity and Serum-T3 Levels in Thyroid-Deficient Patients","volume":"102","author":[{"family":"Castagna","given":"Maria Grazia"},{"family":"Dentice","given":"Monica"},{"family":"Cantara","given":"Silvia"},{"family":"Ambrosio","given":"Raffaele"},{"family":"Maino","given":"Fabio"},{"family":"Porcelli","given":"Tommaso"},{"family":"Marzocchi","given":"Carlotta"},{"family":"Garbi","given":"Corrado"},{"family":"Pacini","given":"Furio"},{"family":"Salvatore","given":"Domenico"}],"issued":{"date-parts":[["2017",5,1]]}},"label":"page"}],"schema":"https://github.com/citation-style-language/schema/raw/master/csl-citation.json"} </w:instrText>
      </w:r>
      <w:r>
        <w:rPr>
          <w:color w:val="333333"/>
          <w:shd w:val="clear" w:color="auto" w:fill="FFFFFF"/>
        </w:rPr>
        <w:fldChar w:fldCharType="separate"/>
      </w:r>
      <w:r w:rsidR="00993E16">
        <w:rPr>
          <w:noProof/>
          <w:color w:val="333333"/>
          <w:shd w:val="clear" w:color="auto" w:fill="FFFFFF"/>
        </w:rPr>
        <w:t>(110,113)</w:t>
      </w:r>
      <w:r>
        <w:rPr>
          <w:color w:val="333333"/>
          <w:shd w:val="clear" w:color="auto" w:fill="FFFFFF"/>
        </w:rPr>
        <w:fldChar w:fldCharType="end"/>
      </w:r>
      <w:r>
        <w:rPr>
          <w:bCs/>
          <w:color w:val="222222"/>
        </w:rPr>
        <w:t xml:space="preserve">. </w:t>
      </w:r>
    </w:p>
    <w:p w14:paraId="2282E244" w14:textId="429362A7" w:rsidR="004B4F5F" w:rsidRDefault="004F6688" w:rsidP="006548B5">
      <w:pPr>
        <w:pBdr>
          <w:top w:val="nil"/>
          <w:left w:val="nil"/>
          <w:bottom w:val="nil"/>
          <w:right w:val="nil"/>
          <w:between w:val="nil"/>
        </w:pBdr>
        <w:spacing w:before="30" w:line="360" w:lineRule="auto"/>
        <w:jc w:val="both"/>
        <w:rPr>
          <w:color w:val="1F1F1F"/>
          <w:shd w:val="clear" w:color="auto" w:fill="FFFFFF"/>
        </w:rPr>
      </w:pPr>
      <w:r>
        <w:rPr>
          <w:color w:val="333333"/>
          <w:shd w:val="clear" w:color="auto" w:fill="FFFFFF"/>
        </w:rPr>
        <w:lastRenderedPageBreak/>
        <w:t xml:space="preserve">     Estudos de genes candidatos</w:t>
      </w:r>
      <w:r w:rsidR="004B4F5F">
        <w:rPr>
          <w:color w:val="333333"/>
          <w:shd w:val="clear" w:color="auto" w:fill="FFFFFF"/>
        </w:rPr>
        <w:t xml:space="preserve"> </w:t>
      </w:r>
      <w:r w:rsidR="004B4F5F">
        <w:rPr>
          <w:color w:val="333333"/>
          <w:shd w:val="clear" w:color="auto" w:fill="FFFFFF"/>
        </w:rPr>
        <w:fldChar w:fldCharType="begin"/>
      </w:r>
      <w:r w:rsidR="00344DCD">
        <w:rPr>
          <w:color w:val="333333"/>
          <w:shd w:val="clear" w:color="auto" w:fill="FFFFFF"/>
        </w:rPr>
        <w:instrText xml:space="preserve"> ADDIN ZOTERO_ITEM CSL_CITATION {"citationID":"lpuUfiRW","properties":{"formattedCitation":"(110,112,114)","plainCitation":"(110,112,114)","noteIndex":0},"citationItems":[{"id":1980,"uris":["http://zotero.org/users/7110448/items/9T5SVCDU"],"itemData":{"id":1980,"type":"article-journal","abstract":"Single nucleotide polymorphisms (SNPs) in genes involved in thyroid hormone metabolism may affect thyroid hormone bioactivity. We investigated the occurrence and possible effects of SNPs in the deiodinases (D1–D3), the TSH receptor (TSHR), and the T3 receptor β (TRβ) genes.SNPs were identified in public databases or by sequencing of genomic DNA from 15 randomly selected subjects (30 alleles). Genotypes for the identified SNPs were determined in 156 healthy blood donors and related to plasma T4, free T4, T3, rT3, and TSH levels.Eight SNPs of interest were identified, four of which had not yet been published. Three are located in the 3′-untranslated region: D1a-C/T (allele frequencies, C = 66%, T = 34%), D1b-A/G (A = 89.7%, G = 10.3%), and D3-T/G (T = 85.5%, G = 14.2%). Four are missense SNPs: D2-A/G (Thr92Ala, Thr = 61.2%, Ala = 38.8%), TSHRa-G/C (Asp36His, Asp = 99.4%, His = 0.6%), TSHRb-C/A (Pro52Thr, Pro = 94.2%, Thr = 5.8%), and TSHRc-C/G (Asp727Glu, Asp = 90.7%, Glu = 9.3%). One is a silent SNP: TRβ-T/C (T = 96.8%, C = 3.2%). D1a-T was associated in a dose-dependent manner with a higher plasma rT3 [CC, 0.29 ± 0.01; CT, 0.32 ± 0.01; and TT, 0.34 ± 0.02 nmol/liter (mean ± se); P = 0.017], a higher plasma rT3/T4 (P = 0.01), and a lower T3/rT3 (P = 0.003) ratio. The D1b-G allele was associated with lower plasma rT3/T4 (P = 0.024) and with higher T3/rT3 (P = 0.08) ratios. TSHRc-G was associated with a lower plasma TSH (CC, 1.38 ± 0.07, vs. GC, 1.06 ± 0.14 mU/liter; P = 0.04), and with lower plasma TSH/free T4 (P = 0.06), TSH/T3 (P = 0.06), and TSH/T4 (P = 0.08) ratios. No associations with TSH and iodothyronine levels were found for the other SNPs.We have analyzed eight SNPs in five thyroid hormone pathway genes and found significant associations of three SNPs in two genes (D1, TSHR) with plasma TSH or iodothyronine levels in a normal population.","container-title":"The Journal of Clinical Endocrinology &amp; Metabolism","DOI":"10.1210/jc.2002-021592","ISSN":"0021-972X","issue":"6","journalAbbreviation":"The Journal of Clinical Endocrinology &amp; Metabolism","page":"2880-2888","source":"Silverchair","title":"Polymorphisms in Thyroid Hormone Pathway Genes Are Associated with Plasma TSH and Iodothyronine Levels in Healthy Subjects","volume":"88","author":[{"family":"Peeters","given":"Robin P."},{"family":"Toor","given":"Hans","non-dropping-particle":"van"},{"family":"Klootwijk","given":"Willem"},{"family":"Rijke","given":"Yolanda B.","non-dropping-particle":"de"},{"family":"Kuiper","given":"George G. J. M."},{"family":"Uitterlinden","given":"Andre G."},{"family":"Visser","given":"Theo J."}],"issued":{"date-parts":[["2003",6,1]]}},"label":"page"},{"id":2056,"uris":["http://zotero.org/users/7110448/items/D6DZP2TC"],"itemData":{"id":2056,"type":"article-journal","abstract":"BACKGROUND: Type 2 deiodinase plays a critical role in thyroid hormone homeostasis. A single nucleotide polymorphism in DIO2 gene (A/G) in humans has been associated with a approximately 20% lower glucose disposal rate and greater insulin resistance in type 2 diabetes (DM2) patients.\nOBJECTIVE: This study was designed to test whether homozygosity for the DIO2 A/G polymorphism would be associated with risk of DM2 or elevated levels of diabetes intermediate traits.\nDESIGN AND SETTING: Community-based, longitudinal study. Participants were withdrawn from a subset of unrelated individuals from the Offspring Cohort of the Framingham Heart Study who had DNA collected between 1995 and 1998.\nMETHODS: DNA samples from 1633 participants (mean age, 62 years) underwent genotyping of the DIO2 A/G polymorphism. Incident DM2 and diabetes-related traits (fasting plasma glucose, mean fasting plasma glucose, 2-hour glucose, hemoglobin A(1c), fasting insulin, insulin resistance) were measured.\nRESULTS: The minor allele (G) frequency was 0.37. Using multivariable regression for intermediate traits and Cox proportional hazards regression for DM2, p values were calculated for two models: Model 1: age, age-squared, sex, and smoking; Model 2: Model 1 + body mass index. There were no significant associations (all p &gt; 0.20) for any trait examined. For DM2 risk, the hazard ratios associated with A/G or G/G relative to the A/A genotype were 1.0 (95% confidence interval [CI] 0.7-1.3) and 1.2 (95% CI 0.7-1.9), respectively.\nCONCLUSIONS: Our results indicate that in this community-based sample, there is no association of the DIO2 A/G polymorphism with diabetes intermediate trait levels or DM2 risk.","container-title":"Thyroid: Official Journal of the American Thyroid Association","DOI":"10.1089/thy.2006.0298","ISSN":"1050-7256","issue":"3","journalAbbreviation":"Thyroid","language":"eng","note":"PMID: 17381351","page":"199-202","source":"PubMed","title":"The type 2 deiodinase (DIO2) A/G polymorphism is not associated with glycemic traits: the Framingham Heart Study","title-short":"The type 2 deiodinase (DIO2) A/G polymorphism is not associated with glycemic traits","volume":"17","author":[{"family":"Maia","given":"Ana Luiza"},{"family":"Dupuis","given":"Josée"},{"family":"Manning","given":"Alisa"},{"family":"Liu","given":"Chunyu"},{"family":"Meigs","given":"James B."},{"family":"Cupples","given":"L. Adrienne"},{"family":"Larsen","given":"P. Reed"},{"family":"Fox","given":"Caroline S."}],"issued":{"date-parts":[["2007",3]]}},"label":"page"},{"id":560,"uris":["http://zotero.org/users/7110448/items/JAQDB2TV"],"itemData":{"id":560,"type":"article-journal","container-title":"The Journal of Clinical Endocrinology &amp; Metabolism","DOI":"10.1210/jc.2004-1977","ISSN":"0021-972X, 1945-7197","issue":"6","journalAbbreviation":"The Journal of Clinical Endocrinology &amp; Metabolism","language":"en","page":"3472-3478","source":"DOI.org (Crossref)","title":"The Type 2 Deiodinase A/G (Thr92Ala) Polymorphism Is Associated with Decreased Enzyme Velocity and Increased Insulin Resistance in Patients with Type 2 Diabetes Mellitus","volume":"90","author":[{"family":"Canani","given":"Luis Henrique"},{"family":"Capp","given":"Clarissa"},{"family":"Dora","given":"José Miguel"},{"family":"Meyer","given":"Erika L. Souza"},{"family":"Wagner","given":"Márcia S."},{"family":"Harney","given":"John W."},{"family":"Larsen","given":"P. Reed"},{"family":"Gross","given":"Jorge L."},{"family":"Bianco","given":"Antonio C."},{"family":"Maia","given":"Ana Luiza"}],"issued":{"date-parts":[["2005",6]]}},"label":"page"}],"schema":"https://github.com/citation-style-language/schema/raw/master/csl-citation.json"} </w:instrText>
      </w:r>
      <w:r w:rsidR="004B4F5F">
        <w:rPr>
          <w:color w:val="333333"/>
          <w:shd w:val="clear" w:color="auto" w:fill="FFFFFF"/>
        </w:rPr>
        <w:fldChar w:fldCharType="separate"/>
      </w:r>
      <w:r w:rsidR="00993E16">
        <w:rPr>
          <w:noProof/>
          <w:color w:val="333333"/>
          <w:shd w:val="clear" w:color="auto" w:fill="FFFFFF"/>
        </w:rPr>
        <w:t>(110,112,114)</w:t>
      </w:r>
      <w:r w:rsidR="004B4F5F">
        <w:rPr>
          <w:color w:val="333333"/>
          <w:shd w:val="clear" w:color="auto" w:fill="FFFFFF"/>
        </w:rPr>
        <w:fldChar w:fldCharType="end"/>
      </w:r>
      <w:r w:rsidR="004B4F5F">
        <w:rPr>
          <w:color w:val="333333"/>
          <w:shd w:val="clear" w:color="auto" w:fill="FFFFFF"/>
        </w:rPr>
        <w:t xml:space="preserve"> </w:t>
      </w:r>
      <w:r>
        <w:rPr>
          <w:color w:val="333333"/>
          <w:shd w:val="clear" w:color="auto" w:fill="FFFFFF"/>
        </w:rPr>
        <w:t>e GWAS menores</w:t>
      </w:r>
      <w:r w:rsidR="003460CF">
        <w:rPr>
          <w:color w:val="333333"/>
          <w:shd w:val="clear" w:color="auto" w:fill="FFFFFF"/>
        </w:rPr>
        <w:t xml:space="preserve"> </w:t>
      </w:r>
      <w:r w:rsidR="003460CF">
        <w:rPr>
          <w:color w:val="333333"/>
          <w:shd w:val="clear" w:color="auto" w:fill="FFFFFF"/>
        </w:rPr>
        <w:fldChar w:fldCharType="begin"/>
      </w:r>
      <w:r w:rsidR="00344DCD">
        <w:rPr>
          <w:color w:val="333333"/>
          <w:shd w:val="clear" w:color="auto" w:fill="FFFFFF"/>
        </w:rPr>
        <w:instrText xml:space="preserve"> ADDIN ZOTERO_ITEM CSL_CITATION {"citationID":"3L3Iw6WM","properties":{"unsorted":true,"formattedCitation":"(115,116)","plainCitation":"(115,116)","noteIndex":0},"citationItems":[{"id":2060,"uris":["http://zotero.org/users/7110448/items/4IFRK5QI"],"itemData":{"id":2060,"type":"article-journal","abstract":"A common polymorphism of the type 2 deiodinase gene (Thr92Ala DIO2) was found to be associated with insulin resistance in a mixed Caucasian population. The aim of this study was to investigate the association of the Thr92Ala DIO2 variant to indices of insulin resistance in the Old Order Amish. A genotype–phenotype association study was performed at the research clinic in Strasburg, Pennsylvania, and the molecular genetics laboratory at the University of Maryland, Baltimore, Maryland, and the National Institutes of Health, Bethesda, Maryland. A total of 1,268 subjects participated in the Amish Family Diabetes Study. An association among the Thr92Ala DIO2 variant and type 2 diabetes, indices of insulin resistance (HOMA-IR), insulin secretion, free thyroid hormones, and thyrotropin (TSH) was found. No association was found among the Thr92Ala DIO2 variant and type 2 diabetes, impaired glucose tolerance, or body mass index (BMI) in the Amish. In nondiabetics (n = 747), the Ala92 allele tended to be associated with decreased rather then increased insulin secretion. No differences were observed in thyroid hormones or TSH. Contrary to prior findings, the Thr92Ala DIO2 variant tends to be associated with increased rather then decreased insulin sensitivity in the Amish. These findings could be secondary to a different genetic background or to environmental factors specific for this population.","container-title":"Thyroid","DOI":"10.1089/thy.2005.15.1223","ISSN":"1050-7256","issue":"11","note":"publisher: Mary Ann Liebert, Inc., publishers","page":"1223-1227","source":"liebertpub.com (Atypon)","title":"The Thr92Ala Deiodinase Type 2 (DIO2) Variant Is Not Associated with Type 2 Diabetes or Indices of Insulin Resistance in the Old Order of Amish","volume":"15","author":[{"family":"Mentuccia","given":"Daniela"},{"family":"Thomas","given":"Matthew J."},{"family":"Coppotelli","given":"Giuseppe"},{"family":"Reinhart","given":"Laurie J."},{"family":"Mitchell","given":"Braxton D."},{"family":"Shuldiner","given":"Alan R."},{"family":"Celi","given":"Francesco S."}],"issued":{"date-parts":[["2005",11]]}},"label":"page"},{"id":2179,"uris":["http://zotero.org/users/7110448/items/JH6CDAPY"],"itemData":{"id":2179,"type":"article-journal","abstract":"Thyroid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Genetics","language":"en","note":"publisher: Public Library of Science","page":"e1003266","source":"PLoS Journals","title":"A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M.","dropping-particle":"de"},{"family":"Davies","given":"Gail"},{"family":"Visser","given":"Marieke C. H.","dropping-particle":"de"},{"family":"Ford","given":"Ian"},{"family":"Forsen","given":"Tom"},{"family":"Frayling","given":"Timothy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M.","dropping-particle":"van der"},{"family":"Heemst","given":"Diana","dropping-particle":"van"},{"family":"Mullem","given":"Alies","dropping-particle":"van"},{"family":"H.Vermeulen","given":"Sita"},{"family":"Visser","given":"W.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P."},{"family":"Naitza","given":"Silvia"}],"issued":{"date-parts":[["2013",2,7]]}},"label":"page"}],"schema":"https://github.com/citation-style-language/schema/raw/master/csl-citation.json"} </w:instrText>
      </w:r>
      <w:r w:rsidR="003460CF">
        <w:rPr>
          <w:color w:val="333333"/>
          <w:shd w:val="clear" w:color="auto" w:fill="FFFFFF"/>
        </w:rPr>
        <w:fldChar w:fldCharType="separate"/>
      </w:r>
      <w:r w:rsidR="00993E16">
        <w:rPr>
          <w:noProof/>
          <w:color w:val="333333"/>
          <w:shd w:val="clear" w:color="auto" w:fill="FFFFFF"/>
        </w:rPr>
        <w:t>(115,116)</w:t>
      </w:r>
      <w:r w:rsidR="003460CF">
        <w:rPr>
          <w:color w:val="333333"/>
          <w:shd w:val="clear" w:color="auto" w:fill="FFFFFF"/>
        </w:rPr>
        <w:fldChar w:fldCharType="end"/>
      </w:r>
      <w:r>
        <w:rPr>
          <w:color w:val="333333"/>
          <w:shd w:val="clear" w:color="auto" w:fill="FFFFFF"/>
        </w:rPr>
        <w:t>, realizados em população adulta, não demonstraram associação des</w:t>
      </w:r>
      <w:r w:rsidR="00D21434">
        <w:rPr>
          <w:color w:val="333333"/>
          <w:shd w:val="clear" w:color="auto" w:fill="FFFFFF"/>
        </w:rPr>
        <w:t>s</w:t>
      </w:r>
      <w:r>
        <w:rPr>
          <w:color w:val="333333"/>
          <w:shd w:val="clear" w:color="auto" w:fill="FFFFFF"/>
        </w:rPr>
        <w:t xml:space="preserve">e polimorfismo com níveis de TSH ou T4. Peeters e colaboradores, num estudo de genes candidatos, avaliaram a associação entre o </w:t>
      </w:r>
      <w:r>
        <w:t>rs225014</w:t>
      </w:r>
      <w:r>
        <w:rPr>
          <w:bCs/>
          <w:color w:val="222222"/>
        </w:rPr>
        <w:t xml:space="preserve"> </w:t>
      </w:r>
      <w:r w:rsidR="009A2161">
        <w:rPr>
          <w:bCs/>
          <w:color w:val="222222"/>
        </w:rPr>
        <w:t xml:space="preserve">de gene </w:t>
      </w:r>
      <w:r w:rsidR="009A2161" w:rsidRPr="00A322DB">
        <w:rPr>
          <w:bCs/>
          <w:i/>
          <w:color w:val="222222"/>
        </w:rPr>
        <w:t>DIO2</w:t>
      </w:r>
      <w:r w:rsidR="009A2161">
        <w:rPr>
          <w:bCs/>
          <w:color w:val="222222"/>
        </w:rPr>
        <w:t xml:space="preserve"> </w:t>
      </w:r>
      <w:r>
        <w:rPr>
          <w:bCs/>
          <w:color w:val="222222"/>
        </w:rPr>
        <w:t>(</w:t>
      </w:r>
      <w:r w:rsidRPr="00404DA7">
        <w:rPr>
          <w:bCs/>
          <w:color w:val="222222"/>
        </w:rPr>
        <w:t>T</w:t>
      </w:r>
      <w:r>
        <w:rPr>
          <w:bCs/>
          <w:color w:val="222222"/>
        </w:rPr>
        <w:t>hr</w:t>
      </w:r>
      <w:r w:rsidRPr="00404DA7">
        <w:rPr>
          <w:bCs/>
          <w:color w:val="222222"/>
        </w:rPr>
        <w:t>92A</w:t>
      </w:r>
      <w:r>
        <w:rPr>
          <w:bCs/>
          <w:color w:val="222222"/>
        </w:rPr>
        <w:t>la-</w:t>
      </w:r>
      <w:r w:rsidRPr="00404DA7">
        <w:rPr>
          <w:bCs/>
          <w:color w:val="222222"/>
        </w:rPr>
        <w:t>D2</w:t>
      </w:r>
      <w:r>
        <w:rPr>
          <w:bCs/>
          <w:color w:val="222222"/>
        </w:rPr>
        <w:t>)</w:t>
      </w:r>
      <w:r>
        <w:rPr>
          <w:color w:val="333333"/>
          <w:shd w:val="clear" w:color="auto" w:fill="FFFFFF"/>
        </w:rPr>
        <w:t xml:space="preserve"> e níveis plasmáticos de TSH e T4</w:t>
      </w:r>
      <w:r w:rsidR="00D21434">
        <w:rPr>
          <w:color w:val="333333"/>
          <w:shd w:val="clear" w:color="auto" w:fill="FFFFFF"/>
        </w:rPr>
        <w:t>,</w:t>
      </w:r>
      <w:r>
        <w:rPr>
          <w:color w:val="333333"/>
          <w:shd w:val="clear" w:color="auto" w:fill="FFFFFF"/>
        </w:rPr>
        <w:t xml:space="preserve"> em 156 indivíduos saudáveis e doadores de sangue (100 homens, 55 mulheres, 1 sem gênero definido), com idade de </w:t>
      </w:r>
      <w:r w:rsidRPr="00DD4BEC">
        <w:rPr>
          <w:lang w:eastAsia="en-US"/>
        </w:rPr>
        <w:t xml:space="preserve">46,2 </w:t>
      </w:r>
      <w:r w:rsidRPr="00DD4BEC">
        <w:rPr>
          <w:color w:val="1F1F1F"/>
          <w:shd w:val="clear" w:color="auto" w:fill="FFFFFF"/>
        </w:rPr>
        <w:t>± </w:t>
      </w:r>
      <w:r w:rsidRPr="00DD4BEC">
        <w:rPr>
          <w:lang w:eastAsia="en-US"/>
        </w:rPr>
        <w:t xml:space="preserve">12 anos (média </w:t>
      </w:r>
      <w:r w:rsidRPr="00DD4BEC">
        <w:rPr>
          <w:color w:val="1F1F1F"/>
          <w:shd w:val="clear" w:color="auto" w:fill="FFFFFF"/>
        </w:rPr>
        <w:t>± DP)</w:t>
      </w:r>
      <w:r>
        <w:rPr>
          <w:color w:val="1F1F1F"/>
          <w:shd w:val="clear" w:color="auto" w:fill="FFFFFF"/>
        </w:rPr>
        <w:t xml:space="preserve"> </w:t>
      </w:r>
      <w:r>
        <w:rPr>
          <w:color w:val="1F1F1F"/>
          <w:shd w:val="clear" w:color="auto" w:fill="FFFFFF"/>
        </w:rPr>
        <w:fldChar w:fldCharType="begin"/>
      </w:r>
      <w:r w:rsidR="00344DCD">
        <w:rPr>
          <w:color w:val="1F1F1F"/>
          <w:shd w:val="clear" w:color="auto" w:fill="FFFFFF"/>
        </w:rPr>
        <w:instrText xml:space="preserve"> ADDIN ZOTERO_ITEM CSL_CITATION {"citationID":"sg9V7bhN","properties":{"formattedCitation":"(112)","plainCitation":"(112)","noteIndex":0},"citationItems":[{"id":1980,"uris":["http://zotero.org/users/7110448/items/9T5SVCDU"],"itemData":{"id":1980,"type":"article-journal","abstract":"Single nucleotide polymorphisms (SNPs) in genes involved in thyroid hormone metabolism may affect thyroid hormone bioactivity. We investigated the occurrence and possible effects of SNPs in the deiodinases (D1–D3), the TSH receptor (TSHR), and the T3 receptor β (TRβ) genes.SNPs were identified in public databases or by sequencing of genomic DNA from 15 randomly selected subjects (30 alleles). Genotypes for the identified SNPs were determined in 156 healthy blood donors and related to plasma T4, free T4, T3, rT3, and TSH levels.Eight SNPs of interest were identified, four of which had not yet been published. Three are located in the 3′-untranslated region: D1a-C/T (allele frequencies, C = 66%, T = 34%), D1b-A/G (A = 89.7%, G = 10.3%), and D3-T/G (T = 85.5%, G = 14.2%). Four are missense SNPs: D2-A/G (Thr92Ala, Thr = 61.2%, Ala = 38.8%), TSHRa-G/C (Asp36His, Asp = 99.4%, His = 0.6%), TSHRb-C/A (Pro52Thr, Pro = 94.2%, Thr = 5.8%), and TSHRc-C/G (Asp727Glu, Asp = 90.7%, Glu = 9.3%). One is a silent SNP: TRβ-T/C (T = 96.8%, C = 3.2%). D1a-T was associated in a dose-dependent manner with a higher plasma rT3 [CC, 0.29 ± 0.01; CT, 0.32 ± 0.01; and TT, 0.34 ± 0.02 nmol/liter (mean ± se); P = 0.017], a higher plasma rT3/T4 (P = 0.01), and a lower T3/rT3 (P = 0.003) ratio. The D1b-G allele was associated with lower plasma rT3/T4 (P = 0.024) and with higher T3/rT3 (P = 0.08) ratios. TSHRc-G was associated with a lower plasma TSH (CC, 1.38 ± 0.07, vs. GC, 1.06 ± 0.14 mU/liter; P = 0.04), and with lower plasma TSH/free T4 (P = 0.06), TSH/T3 (P = 0.06), and TSH/T4 (P = 0.08) ratios. No associations with TSH and iodothyronine levels were found for the other SNPs.We have analyzed eight SNPs in five thyroid hormone pathway genes and found significant associations of three SNPs in two genes (D1, TSHR) with plasma TSH or iodothyronine levels in a normal population.","container-title":"The Journal of Clinical Endocrinology &amp; Metabolism","DOI":"10.1210/jc.2002-021592","ISSN":"0021-972X","issue":"6","journalAbbreviation":"The Journal of Clinical Endocrinology &amp; Metabolism","page":"2880-2888","source":"Silverchair","title":"Polymorphisms in Thyroid Hormone Pathway Genes Are Associated with Plasma TSH and Iodothyronine Levels in Healthy Subjects","volume":"88","author":[{"family":"Peeters","given":"Robin P."},{"family":"Toor","given":"Hans","non-dropping-particle":"van"},{"family":"Klootwijk","given":"Willem"},{"family":"Rijke","given":"Yolanda B.","non-dropping-particle":"de"},{"family":"Kuiper","given":"George G. J. M."},{"family":"Uitterlinden","given":"Andre G."},{"family":"Visser","given":"Theo J."}],"issued":{"date-parts":[["2003",6,1]]}}}],"schema":"https://github.com/citation-style-language/schema/raw/master/csl-citation.json"} </w:instrText>
      </w:r>
      <w:r>
        <w:rPr>
          <w:color w:val="1F1F1F"/>
          <w:shd w:val="clear" w:color="auto" w:fill="FFFFFF"/>
        </w:rPr>
        <w:fldChar w:fldCharType="separate"/>
      </w:r>
      <w:r w:rsidR="00993E16">
        <w:rPr>
          <w:noProof/>
          <w:color w:val="1F1F1F"/>
          <w:shd w:val="clear" w:color="auto" w:fill="FFFFFF"/>
        </w:rPr>
        <w:t>(112)</w:t>
      </w:r>
      <w:r>
        <w:rPr>
          <w:color w:val="1F1F1F"/>
          <w:shd w:val="clear" w:color="auto" w:fill="FFFFFF"/>
        </w:rPr>
        <w:fldChar w:fldCharType="end"/>
      </w:r>
      <w:r>
        <w:rPr>
          <w:color w:val="1F1F1F"/>
          <w:shd w:val="clear" w:color="auto" w:fill="FFFFFF"/>
        </w:rPr>
        <w:t xml:space="preserve">. As frequências alélicas foram de 61% para o alelo selvagem (T) e 39% para o alelo polimórfico (C), em congruência com dados globais e </w:t>
      </w:r>
      <w:r w:rsidR="00D21434">
        <w:rPr>
          <w:color w:val="1F1F1F"/>
          <w:shd w:val="clear" w:color="auto" w:fill="FFFFFF"/>
        </w:rPr>
        <w:t xml:space="preserve">com o presente </w:t>
      </w:r>
      <w:r>
        <w:rPr>
          <w:color w:val="1F1F1F"/>
          <w:shd w:val="clear" w:color="auto" w:fill="FFFFFF"/>
        </w:rPr>
        <w:t xml:space="preserve">estudo. Não </w:t>
      </w:r>
      <w:r w:rsidR="009919B5">
        <w:rPr>
          <w:color w:val="1F1F1F"/>
          <w:shd w:val="clear" w:color="auto" w:fill="FFFFFF"/>
        </w:rPr>
        <w:t xml:space="preserve">encontraram </w:t>
      </w:r>
      <w:r>
        <w:rPr>
          <w:color w:val="1F1F1F"/>
          <w:shd w:val="clear" w:color="auto" w:fill="FFFFFF"/>
        </w:rPr>
        <w:t>associações com níveis de TSH e hormônios tireoidianos para es</w:t>
      </w:r>
      <w:r w:rsidR="00D21434">
        <w:rPr>
          <w:color w:val="1F1F1F"/>
          <w:shd w:val="clear" w:color="auto" w:fill="FFFFFF"/>
        </w:rPr>
        <w:t>s</w:t>
      </w:r>
      <w:r>
        <w:rPr>
          <w:color w:val="1F1F1F"/>
          <w:shd w:val="clear" w:color="auto" w:fill="FFFFFF"/>
        </w:rPr>
        <w:t>e polimorfismo.</w:t>
      </w:r>
      <w:r w:rsidR="009919B5">
        <w:rPr>
          <w:color w:val="1F1F1F"/>
          <w:shd w:val="clear" w:color="auto" w:fill="FFFFFF"/>
        </w:rPr>
        <w:t xml:space="preserve"> Em um estudo de associação genótipo-</w:t>
      </w:r>
      <w:r w:rsidR="00D21434">
        <w:rPr>
          <w:color w:val="1F1F1F"/>
          <w:shd w:val="clear" w:color="auto" w:fill="FFFFFF"/>
        </w:rPr>
        <w:t xml:space="preserve">, </w:t>
      </w:r>
      <w:r w:rsidR="009919B5">
        <w:rPr>
          <w:color w:val="1F1F1F"/>
          <w:shd w:val="clear" w:color="auto" w:fill="FFFFFF"/>
        </w:rPr>
        <w:t xml:space="preserve">realizado na clínica de pesquisa </w:t>
      </w:r>
      <w:r w:rsidR="00C96685">
        <w:rPr>
          <w:color w:val="1F1F1F"/>
          <w:shd w:val="clear" w:color="auto" w:fill="FFFFFF"/>
        </w:rPr>
        <w:t>Strasbourg</w:t>
      </w:r>
      <w:r w:rsidR="009919B5">
        <w:rPr>
          <w:color w:val="1F1F1F"/>
          <w:shd w:val="clear" w:color="auto" w:fill="FFFFFF"/>
        </w:rPr>
        <w:t>, Pensilvânia, em parceria com laboratório de genética molecular da Universidade de Maryland, investigaram a associação des</w:t>
      </w:r>
      <w:r w:rsidR="00D21434">
        <w:rPr>
          <w:color w:val="1F1F1F"/>
          <w:shd w:val="clear" w:color="auto" w:fill="FFFFFF"/>
        </w:rPr>
        <w:t>s</w:t>
      </w:r>
      <w:r w:rsidR="009919B5">
        <w:rPr>
          <w:color w:val="1F1F1F"/>
          <w:shd w:val="clear" w:color="auto" w:fill="FFFFFF"/>
        </w:rPr>
        <w:t xml:space="preserve">e polimorfismo </w:t>
      </w:r>
      <w:r w:rsidR="009A2161">
        <w:rPr>
          <w:color w:val="1F1F1F"/>
          <w:shd w:val="clear" w:color="auto" w:fill="FFFFFF"/>
        </w:rPr>
        <w:t>com</w:t>
      </w:r>
      <w:r w:rsidR="009919B5">
        <w:rPr>
          <w:color w:val="1F1F1F"/>
          <w:shd w:val="clear" w:color="auto" w:fill="FFFFFF"/>
        </w:rPr>
        <w:t xml:space="preserve"> resistências a insulina</w:t>
      </w:r>
      <w:r w:rsidR="009A2161">
        <w:rPr>
          <w:color w:val="1F1F1F"/>
          <w:shd w:val="clear" w:color="auto" w:fill="FFFFFF"/>
        </w:rPr>
        <w:t>,</w:t>
      </w:r>
      <w:r w:rsidR="009919B5">
        <w:rPr>
          <w:color w:val="1F1F1F"/>
          <w:shd w:val="clear" w:color="auto" w:fill="FFFFFF"/>
        </w:rPr>
        <w:t xml:space="preserve"> </w:t>
      </w:r>
      <w:r w:rsidR="00D21434">
        <w:rPr>
          <w:color w:val="1F1F1F"/>
          <w:shd w:val="clear" w:color="auto" w:fill="FFFFFF"/>
        </w:rPr>
        <w:t xml:space="preserve">a </w:t>
      </w:r>
      <w:r w:rsidR="00DA241E">
        <w:rPr>
          <w:color w:val="1F1F1F"/>
          <w:shd w:val="clear" w:color="auto" w:fill="FFFFFF"/>
        </w:rPr>
        <w:t xml:space="preserve">níveis séricos de TSH e </w:t>
      </w:r>
      <w:r w:rsidR="00D21434">
        <w:rPr>
          <w:color w:val="1F1F1F"/>
          <w:shd w:val="clear" w:color="auto" w:fill="FFFFFF"/>
        </w:rPr>
        <w:t xml:space="preserve">a </w:t>
      </w:r>
      <w:r w:rsidR="00DA241E">
        <w:rPr>
          <w:color w:val="1F1F1F"/>
          <w:shd w:val="clear" w:color="auto" w:fill="FFFFFF"/>
        </w:rPr>
        <w:t>hormônios tireoidianos</w:t>
      </w:r>
      <w:r w:rsidR="004B4F5F">
        <w:rPr>
          <w:color w:val="1F1F1F"/>
          <w:shd w:val="clear" w:color="auto" w:fill="FFFFFF"/>
        </w:rPr>
        <w:t xml:space="preserve"> </w:t>
      </w:r>
      <w:r w:rsidR="004B4F5F">
        <w:rPr>
          <w:color w:val="1F1F1F"/>
          <w:shd w:val="clear" w:color="auto" w:fill="FFFFFF"/>
        </w:rPr>
        <w:fldChar w:fldCharType="begin"/>
      </w:r>
      <w:r w:rsidR="00344DCD">
        <w:rPr>
          <w:color w:val="1F1F1F"/>
          <w:shd w:val="clear" w:color="auto" w:fill="FFFFFF"/>
        </w:rPr>
        <w:instrText xml:space="preserve"> ADDIN ZOTERO_ITEM CSL_CITATION {"citationID":"c2A7OHGq","properties":{"formattedCitation":"(115)","plainCitation":"(115)","noteIndex":0},"citationItems":[{"id":2060,"uris":["http://zotero.org/users/7110448/items/4IFRK5QI"],"itemData":{"id":2060,"type":"article-journal","abstract":"A common polymorphism of the type 2 deiodinase gene (Thr92Ala DIO2) was found to be associated with insulin resistance in a mixed Caucasian population. The aim of this study was to investigate the association of the Thr92Ala DIO2 variant to indices of insulin resistance in the Old Order Amish. A genotype–phenotype association study was performed at the research clinic in Strasburg, Pennsylvania, and the molecular genetics laboratory at the University of Maryland, Baltimore, Maryland, and the National Institutes of Health, Bethesda, Maryland. A total of 1,268 subjects participated in the Amish Family Diabetes Study. An association among the Thr92Ala DIO2 variant and type 2 diabetes, indices of insulin resistance (HOMA-IR), insulin secretion, free thyroid hormones, and thyrotropin (TSH) was found. No association was found among the Thr92Ala DIO2 variant and type 2 diabetes, impaired glucose tolerance, or body mass index (BMI) in the Amish. In nondiabetics (n = 747), the Ala92 allele tended to be associated with decreased rather then increased insulin secretion. No differences were observed in thyroid hormones or TSH. Contrary to prior findings, the Thr92Ala DIO2 variant tends to be associated with increased rather then decreased insulin sensitivity in the Amish. These findings could be secondary to a different genetic background or to environmental factors specific for this population.","container-title":"Thyroid","DOI":"10.1089/thy.2005.15.1223","ISSN":"1050-7256","issue":"11","note":"publisher: Mary Ann Liebert, Inc., publishers","page":"1223-1227","source":"liebertpub.com (Atypon)","title":"The Thr92Ala Deiodinase Type 2 (DIO2) Variant Is Not Associated with Type 2 Diabetes or Indices of Insulin Resistance in the Old Order of Amish","volume":"15","author":[{"family":"Mentuccia","given":"Daniela"},{"family":"Thomas","given":"Matthew J."},{"family":"Coppotelli","given":"Giuseppe"},{"family":"Reinhart","given":"Laurie J."},{"family":"Mitchell","given":"Braxton D."},{"family":"Shuldiner","given":"Alan R."},{"family":"Celi","given":"Francesco S."}],"issued":{"date-parts":[["2005",11]]}}}],"schema":"https://github.com/citation-style-language/schema/raw/master/csl-citation.json"} </w:instrText>
      </w:r>
      <w:r w:rsidR="004B4F5F">
        <w:rPr>
          <w:color w:val="1F1F1F"/>
          <w:shd w:val="clear" w:color="auto" w:fill="FFFFFF"/>
        </w:rPr>
        <w:fldChar w:fldCharType="separate"/>
      </w:r>
      <w:r w:rsidR="00993E16">
        <w:rPr>
          <w:noProof/>
          <w:color w:val="1F1F1F"/>
          <w:shd w:val="clear" w:color="auto" w:fill="FFFFFF"/>
        </w:rPr>
        <w:t>(115)</w:t>
      </w:r>
      <w:r w:rsidR="004B4F5F">
        <w:rPr>
          <w:color w:val="1F1F1F"/>
          <w:shd w:val="clear" w:color="auto" w:fill="FFFFFF"/>
        </w:rPr>
        <w:fldChar w:fldCharType="end"/>
      </w:r>
      <w:r w:rsidR="00DA241E">
        <w:rPr>
          <w:color w:val="1F1F1F"/>
          <w:shd w:val="clear" w:color="auto" w:fill="FFFFFF"/>
        </w:rPr>
        <w:t xml:space="preserve">. </w:t>
      </w:r>
      <w:r w:rsidR="009919B5">
        <w:rPr>
          <w:color w:val="1F1F1F"/>
          <w:shd w:val="clear" w:color="auto" w:fill="FFFFFF"/>
        </w:rPr>
        <w:t xml:space="preserve"> </w:t>
      </w:r>
      <w:r w:rsidR="00DA241E">
        <w:rPr>
          <w:color w:val="1F1F1F"/>
          <w:shd w:val="clear" w:color="auto" w:fill="FFFFFF"/>
        </w:rPr>
        <w:t xml:space="preserve">A população estudada </w:t>
      </w:r>
      <w:r w:rsidR="00135273">
        <w:rPr>
          <w:color w:val="1F1F1F"/>
          <w:shd w:val="clear" w:color="auto" w:fill="FFFFFF"/>
        </w:rPr>
        <w:t>(n=1.268; 561</w:t>
      </w:r>
      <w:r w:rsidR="009A2161">
        <w:rPr>
          <w:color w:val="1F1F1F"/>
          <w:shd w:val="clear" w:color="auto" w:fill="FFFFFF"/>
        </w:rPr>
        <w:t xml:space="preserve"> </w:t>
      </w:r>
      <w:r w:rsidR="00135273">
        <w:rPr>
          <w:color w:val="1F1F1F"/>
          <w:shd w:val="clear" w:color="auto" w:fill="FFFFFF"/>
        </w:rPr>
        <w:t>homens e 707</w:t>
      </w:r>
      <w:r w:rsidR="009A2161">
        <w:rPr>
          <w:color w:val="1F1F1F"/>
          <w:shd w:val="clear" w:color="auto" w:fill="FFFFFF"/>
        </w:rPr>
        <w:t xml:space="preserve"> </w:t>
      </w:r>
      <w:r w:rsidR="00135273">
        <w:rPr>
          <w:color w:val="1F1F1F"/>
          <w:shd w:val="clear" w:color="auto" w:fill="FFFFFF"/>
        </w:rPr>
        <w:t xml:space="preserve">mulheres) foi composta por participantes do </w:t>
      </w:r>
      <w:r w:rsidR="00135273" w:rsidRPr="00135273">
        <w:rPr>
          <w:i/>
          <w:iCs/>
          <w:color w:val="1F1F1F"/>
          <w:shd w:val="clear" w:color="auto" w:fill="FFFFFF"/>
        </w:rPr>
        <w:t>Amish Family Diabetes Study</w:t>
      </w:r>
      <w:r w:rsidR="00135273">
        <w:rPr>
          <w:i/>
          <w:iCs/>
          <w:color w:val="1F1F1F"/>
          <w:shd w:val="clear" w:color="auto" w:fill="FFFFFF"/>
        </w:rPr>
        <w:t xml:space="preserve">, </w:t>
      </w:r>
      <w:r w:rsidR="00135273">
        <w:rPr>
          <w:color w:val="1F1F1F"/>
          <w:shd w:val="clear" w:color="auto" w:fill="FFFFFF"/>
        </w:rPr>
        <w:t xml:space="preserve">idade de </w:t>
      </w:r>
      <w:r w:rsidR="00135273" w:rsidRPr="00DD4BEC">
        <w:rPr>
          <w:lang w:eastAsia="en-US"/>
        </w:rPr>
        <w:t>4</w:t>
      </w:r>
      <w:r w:rsidR="00135273">
        <w:rPr>
          <w:lang w:eastAsia="en-US"/>
        </w:rPr>
        <w:t>5,5</w:t>
      </w:r>
      <w:r w:rsidR="00135273" w:rsidRPr="00DD4BEC">
        <w:rPr>
          <w:lang w:eastAsia="en-US"/>
        </w:rPr>
        <w:t xml:space="preserve"> </w:t>
      </w:r>
      <w:r w:rsidR="00135273" w:rsidRPr="00DD4BEC">
        <w:rPr>
          <w:color w:val="1F1F1F"/>
          <w:shd w:val="clear" w:color="auto" w:fill="FFFFFF"/>
        </w:rPr>
        <w:t>± </w:t>
      </w:r>
      <w:r w:rsidR="00135273">
        <w:rPr>
          <w:lang w:eastAsia="en-US"/>
        </w:rPr>
        <w:t>0,6</w:t>
      </w:r>
      <w:r w:rsidR="00135273" w:rsidRPr="00DD4BEC">
        <w:rPr>
          <w:lang w:eastAsia="en-US"/>
        </w:rPr>
        <w:t xml:space="preserve"> anos (média </w:t>
      </w:r>
      <w:r w:rsidR="00135273" w:rsidRPr="00DD4BEC">
        <w:rPr>
          <w:color w:val="1F1F1F"/>
          <w:shd w:val="clear" w:color="auto" w:fill="FFFFFF"/>
        </w:rPr>
        <w:t>± DP)</w:t>
      </w:r>
      <w:r w:rsidR="004B4F5F">
        <w:rPr>
          <w:color w:val="1F1F1F"/>
          <w:shd w:val="clear" w:color="auto" w:fill="FFFFFF"/>
        </w:rPr>
        <w:t>. N</w:t>
      </w:r>
      <w:r w:rsidR="009A2161">
        <w:rPr>
          <w:color w:val="1F1F1F"/>
          <w:shd w:val="clear" w:color="auto" w:fill="FFFFFF"/>
        </w:rPr>
        <w:t xml:space="preserve">ão foi encontrada </w:t>
      </w:r>
      <w:r w:rsidR="004B4F5F">
        <w:rPr>
          <w:color w:val="1F1F1F"/>
          <w:shd w:val="clear" w:color="auto" w:fill="FFFFFF"/>
        </w:rPr>
        <w:t>associação entre este polimorfismo e</w:t>
      </w:r>
      <w:r w:rsidR="009A2161">
        <w:rPr>
          <w:color w:val="1F1F1F"/>
          <w:shd w:val="clear" w:color="auto" w:fill="FFFFFF"/>
        </w:rPr>
        <w:t xml:space="preserve"> </w:t>
      </w:r>
      <w:r w:rsidR="00D21434">
        <w:rPr>
          <w:color w:val="1F1F1F"/>
          <w:shd w:val="clear" w:color="auto" w:fill="FFFFFF"/>
        </w:rPr>
        <w:t xml:space="preserve">a </w:t>
      </w:r>
      <w:r w:rsidR="004B4F5F">
        <w:rPr>
          <w:color w:val="1F1F1F"/>
          <w:shd w:val="clear" w:color="auto" w:fill="FFFFFF"/>
        </w:rPr>
        <w:t>função tireoidiana</w:t>
      </w:r>
      <w:r w:rsidR="009A2161">
        <w:rPr>
          <w:color w:val="1F1F1F"/>
          <w:shd w:val="clear" w:color="auto" w:fill="FFFFFF"/>
        </w:rPr>
        <w:t>.</w:t>
      </w:r>
    </w:p>
    <w:p w14:paraId="7E5D7BFB" w14:textId="5572B0FD" w:rsidR="0047348A" w:rsidRPr="004B4F5F" w:rsidRDefault="009919B5" w:rsidP="006548B5">
      <w:pPr>
        <w:pBdr>
          <w:top w:val="nil"/>
          <w:left w:val="nil"/>
          <w:bottom w:val="nil"/>
          <w:right w:val="nil"/>
          <w:between w:val="nil"/>
        </w:pBdr>
        <w:spacing w:before="30" w:line="360" w:lineRule="auto"/>
        <w:jc w:val="both"/>
        <w:rPr>
          <w:color w:val="1F1F1F"/>
          <w:shd w:val="clear" w:color="auto" w:fill="FFFFFF"/>
        </w:rPr>
      </w:pPr>
      <w:r>
        <w:rPr>
          <w:color w:val="333333"/>
          <w:shd w:val="clear" w:color="auto" w:fill="FFFFFF"/>
        </w:rPr>
        <w:t xml:space="preserve">     </w:t>
      </w:r>
      <w:r w:rsidR="0019584E">
        <w:rPr>
          <w:color w:val="333333"/>
          <w:shd w:val="clear" w:color="auto" w:fill="FFFFFF"/>
        </w:rPr>
        <w:t>Já n</w:t>
      </w:r>
      <w:r w:rsidR="006325C8">
        <w:rPr>
          <w:color w:val="333333"/>
          <w:shd w:val="clear" w:color="auto" w:fill="FFFFFF"/>
        </w:rPr>
        <w:t xml:space="preserve">uma </w:t>
      </w:r>
      <w:r w:rsidR="00FF2605">
        <w:rPr>
          <w:color w:val="333333"/>
          <w:shd w:val="clear" w:color="auto" w:fill="FFFFFF"/>
        </w:rPr>
        <w:t>grande metan</w:t>
      </w:r>
      <w:r w:rsidR="00445C30">
        <w:rPr>
          <w:color w:val="333333"/>
          <w:shd w:val="clear" w:color="auto" w:fill="FFFFFF"/>
        </w:rPr>
        <w:t>á</w:t>
      </w:r>
      <w:r w:rsidR="00FF2605">
        <w:rPr>
          <w:color w:val="333333"/>
          <w:shd w:val="clear" w:color="auto" w:fill="FFFFFF"/>
        </w:rPr>
        <w:t>lise de estudos de associação do genoma para função tireoidiana</w:t>
      </w:r>
      <w:r w:rsidR="00AA1EF5">
        <w:rPr>
          <w:color w:val="333333"/>
          <w:shd w:val="clear" w:color="auto" w:fill="FFFFFF"/>
        </w:rPr>
        <w:t>,</w:t>
      </w:r>
      <w:r w:rsidR="00FF2605">
        <w:rPr>
          <w:color w:val="333333"/>
          <w:shd w:val="clear" w:color="auto" w:fill="FFFFFF"/>
        </w:rPr>
        <w:t xml:space="preserve"> realizada com 72.167 indivíduos</w:t>
      </w:r>
      <w:r w:rsidR="00AA1EF5">
        <w:rPr>
          <w:color w:val="333333"/>
          <w:shd w:val="clear" w:color="auto" w:fill="FFFFFF"/>
        </w:rPr>
        <w:t xml:space="preserve"> </w:t>
      </w:r>
      <w:r w:rsidR="00445C30">
        <w:rPr>
          <w:color w:val="333333"/>
          <w:shd w:val="clear" w:color="auto" w:fill="FFFFFF"/>
        </w:rPr>
        <w:t>entre 35 e 75 anos</w:t>
      </w:r>
      <w:r w:rsidR="00FF2605">
        <w:rPr>
          <w:color w:val="333333"/>
          <w:shd w:val="clear" w:color="auto" w:fill="FFFFFF"/>
        </w:rPr>
        <w:t>, foi encontrada associação des</w:t>
      </w:r>
      <w:r w:rsidR="00D21434">
        <w:rPr>
          <w:color w:val="333333"/>
          <w:shd w:val="clear" w:color="auto" w:fill="FFFFFF"/>
        </w:rPr>
        <w:t>s</w:t>
      </w:r>
      <w:r w:rsidR="00FF2605">
        <w:rPr>
          <w:color w:val="333333"/>
          <w:shd w:val="clear" w:color="auto" w:fill="FFFFFF"/>
        </w:rPr>
        <w:t xml:space="preserve">e polimorfismo com </w:t>
      </w:r>
      <w:r w:rsidR="006F6196">
        <w:rPr>
          <w:color w:val="333333"/>
          <w:shd w:val="clear" w:color="auto" w:fill="FFFFFF"/>
        </w:rPr>
        <w:t xml:space="preserve">incremento no nível </w:t>
      </w:r>
      <w:r w:rsidR="00FF2605">
        <w:rPr>
          <w:color w:val="333333"/>
          <w:shd w:val="clear" w:color="auto" w:fill="FFFFFF"/>
        </w:rPr>
        <w:t>de T4</w:t>
      </w:r>
      <w:r w:rsidR="00445C30">
        <w:rPr>
          <w:color w:val="333333"/>
          <w:shd w:val="clear" w:color="auto" w:fill="FFFFFF"/>
        </w:rPr>
        <w:t>l</w:t>
      </w:r>
      <w:r w:rsidR="00FF2605">
        <w:rPr>
          <w:color w:val="333333"/>
          <w:shd w:val="clear" w:color="auto" w:fill="FFFFFF"/>
        </w:rPr>
        <w:t xml:space="preserve"> </w:t>
      </w:r>
      <w:r w:rsidR="00FF2605">
        <w:rPr>
          <w:color w:val="333333"/>
          <w:shd w:val="clear" w:color="auto" w:fill="FFFFFF"/>
        </w:rPr>
        <w:fldChar w:fldCharType="begin"/>
      </w:r>
      <w:r w:rsidR="00344DCD">
        <w:rPr>
          <w:color w:val="333333"/>
          <w:shd w:val="clear" w:color="auto" w:fill="FFFFFF"/>
        </w:rPr>
        <w:instrText xml:space="preserve"> ADDIN ZOTERO_ITEM CSL_CITATION {"citationID":"ttW2MGzB","properties":{"formattedCitation":"(18)","plainCitation":"(18)","noteIndex":0},"citationItems":[{"id":99,"uris":["http://zotero.org/users/7110448/items/3VVWNZR7"],"itemData":{"id":99,"type":"article-journal","container-title":"Nature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J."},{"family":"Medici","given":"Marco"}],"issued":{"date-parts":[["2018",12]]}}}],"schema":"https://github.com/citation-style-language/schema/raw/master/csl-citation.json"} </w:instrText>
      </w:r>
      <w:r w:rsidR="00FF2605">
        <w:rPr>
          <w:color w:val="333333"/>
          <w:shd w:val="clear" w:color="auto" w:fill="FFFFFF"/>
        </w:rPr>
        <w:fldChar w:fldCharType="separate"/>
      </w:r>
      <w:r w:rsidR="00FF2605">
        <w:rPr>
          <w:noProof/>
          <w:color w:val="333333"/>
          <w:shd w:val="clear" w:color="auto" w:fill="FFFFFF"/>
        </w:rPr>
        <w:t>(18)</w:t>
      </w:r>
      <w:r w:rsidR="00FF2605">
        <w:rPr>
          <w:color w:val="333333"/>
          <w:shd w:val="clear" w:color="auto" w:fill="FFFFFF"/>
        </w:rPr>
        <w:fldChar w:fldCharType="end"/>
      </w:r>
      <w:r w:rsidR="00FF2605">
        <w:rPr>
          <w:color w:val="333333"/>
          <w:shd w:val="clear" w:color="auto" w:fill="FFFFFF"/>
        </w:rPr>
        <w:t>.</w:t>
      </w:r>
      <w:r w:rsidR="00AA1EF5">
        <w:rPr>
          <w:color w:val="333333"/>
          <w:shd w:val="clear" w:color="auto" w:fill="FFFFFF"/>
        </w:rPr>
        <w:t xml:space="preserve"> As frequências alélicas foram semelhantes àquelas encontradas no </w:t>
      </w:r>
      <w:r w:rsidR="00D21434">
        <w:rPr>
          <w:color w:val="333333"/>
          <w:shd w:val="clear" w:color="auto" w:fill="FFFFFF"/>
        </w:rPr>
        <w:t xml:space="preserve">presente </w:t>
      </w:r>
      <w:r w:rsidR="00AA1EF5">
        <w:rPr>
          <w:color w:val="333333"/>
          <w:shd w:val="clear" w:color="auto" w:fill="FFFFFF"/>
        </w:rPr>
        <w:t>estudo e em bancos de dados internacionais (alelo selvagem “T” 64% e alelo polimórfico “C” 36%)</w:t>
      </w:r>
      <w:r w:rsidR="007F62CD">
        <w:rPr>
          <w:color w:val="333333"/>
          <w:shd w:val="clear" w:color="auto" w:fill="FFFFFF"/>
        </w:rPr>
        <w:t xml:space="preserve"> </w:t>
      </w:r>
      <w:r w:rsidR="00445C30">
        <w:rPr>
          <w:color w:val="333333"/>
          <w:shd w:val="clear" w:color="auto" w:fill="FFFFFF"/>
        </w:rPr>
        <w:fldChar w:fldCharType="begin"/>
      </w:r>
      <w:r w:rsidR="00344DCD">
        <w:rPr>
          <w:color w:val="333333"/>
          <w:shd w:val="clear" w:color="auto" w:fill="FFFFFF"/>
        </w:rPr>
        <w:instrText xml:space="preserve"> ADDIN ZOTERO_ITEM CSL_CITATION {"citationID":"IoZf9XlC","properties":{"formattedCitation":"(18)","plainCitation":"(18)","noteIndex":0},"citationItems":[{"id":99,"uris":["http://zotero.org/users/7110448/items/3VVWNZR7"],"itemData":{"id":99,"type":"article-journal","container-title":"Nature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J."},{"family":"Medici","given":"Marco"}],"issued":{"date-parts":[["2018",12]]}}}],"schema":"https://github.com/citation-style-language/schema/raw/master/csl-citation.json"} </w:instrText>
      </w:r>
      <w:r w:rsidR="00445C30">
        <w:rPr>
          <w:color w:val="333333"/>
          <w:shd w:val="clear" w:color="auto" w:fill="FFFFFF"/>
        </w:rPr>
        <w:fldChar w:fldCharType="separate"/>
      </w:r>
      <w:r w:rsidR="00445C30">
        <w:rPr>
          <w:noProof/>
          <w:color w:val="333333"/>
          <w:shd w:val="clear" w:color="auto" w:fill="FFFFFF"/>
        </w:rPr>
        <w:t>(18)</w:t>
      </w:r>
      <w:r w:rsidR="00445C30">
        <w:rPr>
          <w:color w:val="333333"/>
          <w:shd w:val="clear" w:color="auto" w:fill="FFFFFF"/>
        </w:rPr>
        <w:fldChar w:fldCharType="end"/>
      </w:r>
      <w:r w:rsidR="00445C30">
        <w:rPr>
          <w:color w:val="333333"/>
          <w:shd w:val="clear" w:color="auto" w:fill="FFFFFF"/>
        </w:rPr>
        <w:t>.</w:t>
      </w:r>
      <w:r w:rsidR="006325C8">
        <w:rPr>
          <w:color w:val="333333"/>
          <w:shd w:val="clear" w:color="auto" w:fill="FFFFFF"/>
        </w:rPr>
        <w:t xml:space="preserve"> No </w:t>
      </w:r>
      <w:r w:rsidR="00D21434">
        <w:rPr>
          <w:color w:val="333333"/>
          <w:shd w:val="clear" w:color="auto" w:fill="FFFFFF"/>
        </w:rPr>
        <w:t xml:space="preserve">presente </w:t>
      </w:r>
      <w:r w:rsidR="006325C8">
        <w:rPr>
          <w:color w:val="333333"/>
          <w:shd w:val="clear" w:color="auto" w:fill="FFFFFF"/>
        </w:rPr>
        <w:t xml:space="preserve">estudo, </w:t>
      </w:r>
      <w:r w:rsidR="006F6196">
        <w:rPr>
          <w:color w:val="333333"/>
          <w:shd w:val="clear" w:color="auto" w:fill="FFFFFF"/>
        </w:rPr>
        <w:t>divergindo des</w:t>
      </w:r>
      <w:r w:rsidR="00D21434">
        <w:rPr>
          <w:color w:val="333333"/>
          <w:shd w:val="clear" w:color="auto" w:fill="FFFFFF"/>
        </w:rPr>
        <w:t>s</w:t>
      </w:r>
      <w:r w:rsidR="006F6196">
        <w:rPr>
          <w:color w:val="333333"/>
          <w:shd w:val="clear" w:color="auto" w:fill="FFFFFF"/>
        </w:rPr>
        <w:t xml:space="preserve">e resultado, a </w:t>
      </w:r>
      <w:r w:rsidR="006325C8">
        <w:rPr>
          <w:color w:val="333333"/>
          <w:shd w:val="clear" w:color="auto" w:fill="FFFFFF"/>
        </w:rPr>
        <w:t>presença do alelo polimórfico</w:t>
      </w:r>
      <w:r w:rsidR="006F6196">
        <w:rPr>
          <w:color w:val="333333"/>
          <w:shd w:val="clear" w:color="auto" w:fill="FFFFFF"/>
        </w:rPr>
        <w:t xml:space="preserve"> está associada a nível mais baixo de T4l. </w:t>
      </w:r>
    </w:p>
    <w:p w14:paraId="21071EB1" w14:textId="42683F6C" w:rsidR="0047348A" w:rsidRPr="00A52B40" w:rsidRDefault="00FF2605" w:rsidP="00A26C58">
      <w:pPr>
        <w:pBdr>
          <w:top w:val="nil"/>
          <w:left w:val="nil"/>
          <w:bottom w:val="nil"/>
          <w:right w:val="nil"/>
          <w:between w:val="nil"/>
        </w:pBdr>
        <w:spacing w:before="30" w:line="360" w:lineRule="auto"/>
        <w:jc w:val="both"/>
        <w:rPr>
          <w:bCs/>
          <w:color w:val="222222"/>
        </w:rPr>
      </w:pPr>
      <w:r>
        <w:rPr>
          <w:bCs/>
          <w:color w:val="222222"/>
        </w:rPr>
        <w:t xml:space="preserve">     </w:t>
      </w:r>
      <w:r w:rsidR="00A52B40">
        <w:rPr>
          <w:bCs/>
          <w:color w:val="222222"/>
        </w:rPr>
        <w:t xml:space="preserve">O polimorfismo </w:t>
      </w:r>
      <w:r w:rsidR="00A52B40">
        <w:t>rs225014</w:t>
      </w:r>
      <w:r w:rsidR="00A52B40">
        <w:rPr>
          <w:bCs/>
          <w:color w:val="222222"/>
        </w:rPr>
        <w:t xml:space="preserve"> também já foi </w:t>
      </w:r>
      <w:r w:rsidR="00A52B40" w:rsidRPr="00ED322D">
        <w:rPr>
          <w:bCs/>
          <w:color w:val="222222"/>
        </w:rPr>
        <w:t xml:space="preserve">associado a desfechos clínicos negativos, como hipertensão arterial </w:t>
      </w:r>
      <w:r w:rsidR="00A52B40" w:rsidRPr="00ED322D">
        <w:rPr>
          <w:bCs/>
          <w:color w:val="222222"/>
        </w:rPr>
        <w:fldChar w:fldCharType="begin"/>
      </w:r>
      <w:r w:rsidR="00993E16">
        <w:rPr>
          <w:bCs/>
          <w:color w:val="222222"/>
        </w:rPr>
        <w:instrText xml:space="preserve"> ADDIN ZOTERO_ITEM CSL_CITATION {"citationID":"Nf4q5RZm","properties":{"unsorted":true,"formattedCitation":"(117,114)","plainCitation":"(117,114)","noteIndex":0},"citationItems":[{"id":2081,"uris":["http://zotero.org/users/7110448/items/UCDUHWKG"],"itemData":{"id":2081,"type":"article-journal","abstract":"INTRODUCTION: Thyroid function and genetic variation in the hypothalamus-pituitary-thyroid axis have been implicated in blood pressure regulation and susceptibility to hypertension. However studies conducted thus far were small with controversial results.\nOBJECTIVE: To examine whether serum thyroid parameters and polymorphisms in the type 2 deiodinase and the TSH receptor are associated with blood pressure and the presence of hypertension in two large cohorts of elderly subjects.\nDESIGN AND PARTICIPANTS: We studied a random sample of 1444 subjects of the Rotterdam study, and 997 subjects of the Rotterdam Scan study, two population-based cohort studies among elderly individuals aged 55-90 years. Outcome measurements Data on blood pressure and hypertension were obtained, and serum thyroid parameters, D2-Thr92Ala, D2-ORFa-Gly3Asp and TSHR-Asp727Glu polymorphisms were determined.\nRESULTS: In contrast to previous findings, no consistent and/or significant associations were found between serum TSH and FT4 and blood pressure in both cohorts. In addition, the D2-Thr92Ala, D2-ORFa-Gly3Asp and TSHR-Asp727Glu polymorphisms were not associated with blood pressure or the risk of hypertension.\nCONCLUSIONS: In two large populations of elderly subjects, neither serum thyroid parameters nor polymorphisms in the type 2 deiodinase and the TSH receptor, were associated with blood pressure or the presence of hypertension. Our data suggest that thyroid function is not an important determinant of hypertension in elderly Dutch subjects.","container-title":"Clinical Endocrinology","DOI":"10.1111/j.1365-2265.2008.03447.x","ISSN":"1365-2265","issue":"1","journalAbbreviation":"Clin Endocrinol (Oxf)","language":"eng","note":"PMID: 19178511","page":"137-144","source":"PubMed","title":"Impact of thyroid function and polymorphisms in the type 2 deiodinase on blood pressure: the Rotterdam Study and the Rotterdam Scan Study","title-short":"Impact of thyroid function and polymorphisms in the type 2 deiodinase on blood pressure","volume":"71","author":[{"family":"Deure","given":"Wendy M.","non-dropping-particle":"van der"},{"family":"Peeters","given":"Robin P."},{"family":"Uitterlinden","given":"André G."},{"family":"Hofman","given":"Albert"},{"family":"Breteler","given":"Monique M. B."},{"family":"Witteman","given":"Jacqueline"},{"family":"Visser","given":"Theo J."}],"issued":{"date-parts":[["2009",7]]}},"label":"page"},{"id":2056,"uris":["http://zotero.org/users/7110448/items/D6DZP2TC"],"itemData":{"id":2056,"type":"article-journal","abstract":"BACKGROUND: Type 2 deiodinase plays a critical role in thyroid hormone homeostasis. A single nucleotide polymorphism in DIO2 gene (A/G) in humans has been associated with a approximately 20% lower glucose disposal rate and greater insulin resistance in type 2 diabetes (DM2) patients.\nOBJECTIVE: This study was designed to test whether homozygosity for the DIO2 A/G polymorphism would be associated with risk of DM2 or elevated levels of diabetes intermediate traits.\nDESIGN AND SETTING: Community-based, longitudinal study. Participants were withdrawn from a subset of unrelated individuals from the Offspring Cohort of the Framingham Heart Study who had DNA collected between 1995 and 1998.\nMETHODS: DNA samples from 1633 participants (mean age, 62 years) underwent genotyping of the DIO2 A/G polymorphism. Incident DM2 and diabetes-related traits (fasting plasma glucose, mean fasting plasma glucose, 2-hour glucose, hemoglobin A(1c), fasting insulin, insulin resistance) were measured.\nRESULTS: The minor allele (G) frequency was 0.37. Using multivariable regression for intermediate traits and Cox proportional hazards regression for DM2, p values were calculated for two models: Model 1: age, age-squared, sex, and smoking; Model 2: Model 1 + body mass index. There were no significant associations (all p &gt; 0.20) for any trait examined. For DM2 risk, the hazard ratios associated with A/G or G/G relative to the A/A genotype were 1.0 (95% confidence interval [CI] 0.7-1.3) and 1.2 (95% CI 0.7-1.9), respectively.\nCONCLUSIONS: Our results indicate that in this community-based sample, there is no association of the DIO2 A/G polymorphism with diabetes intermediate trait levels or DM2 risk.","container-title":"Thyroid: Official Journal of the American Thyroid Association","DOI":"10.1089/thy.2006.0298","ISSN":"1050-7256","issue":"3","journalAbbreviation":"Thyroid","language":"eng","note":"PMID: 17381351","page":"199-202","source":"PubMed","title":"The type 2 deiodinase (DIO2) A/G polymorphism is not associated with glycemic traits: the Framingham Heart Study","title-short":"The type 2 deiodinase (DIO2) A/G polymorphism is not associated with glycemic traits","volume":"17","author":[{"family":"Maia","given":"Ana Luiza"},{"family":"Dupuis","given":"Josée"},{"family":"Manning","given":"Alisa"},{"family":"Liu","given":"Chunyu"},{"family":"Meigs","given":"James B."},{"family":"Cupples","given":"L. Adrienne"},{"family":"Larsen","given":"P. Reed"},{"family":"Fox","given":"Caroline S."}],"issued":{"date-parts":[["2007",3]]}},"label":"page"}],"schema":"https://github.com/citation-style-language/schema/raw/master/csl-citation.json"} </w:instrText>
      </w:r>
      <w:r w:rsidR="00A52B40" w:rsidRPr="00ED322D">
        <w:rPr>
          <w:bCs/>
          <w:color w:val="222222"/>
        </w:rPr>
        <w:fldChar w:fldCharType="separate"/>
      </w:r>
      <w:r w:rsidR="00993E16">
        <w:rPr>
          <w:bCs/>
          <w:noProof/>
          <w:color w:val="222222"/>
        </w:rPr>
        <w:t>(117,114)</w:t>
      </w:r>
      <w:r w:rsidR="00A52B40" w:rsidRPr="00ED322D">
        <w:rPr>
          <w:bCs/>
          <w:color w:val="222222"/>
        </w:rPr>
        <w:fldChar w:fldCharType="end"/>
      </w:r>
      <w:r w:rsidR="00A52B40" w:rsidRPr="00ED322D">
        <w:rPr>
          <w:bCs/>
          <w:color w:val="222222"/>
        </w:rPr>
        <w:t xml:space="preserve">, resistência </w:t>
      </w:r>
      <w:r w:rsidR="00D21434">
        <w:rPr>
          <w:bCs/>
          <w:color w:val="222222"/>
        </w:rPr>
        <w:t>à</w:t>
      </w:r>
      <w:r w:rsidR="00D21434" w:rsidRPr="00ED322D">
        <w:rPr>
          <w:bCs/>
          <w:color w:val="222222"/>
        </w:rPr>
        <w:t xml:space="preserve"> </w:t>
      </w:r>
      <w:r w:rsidR="00A52B40" w:rsidRPr="00ED322D">
        <w:rPr>
          <w:bCs/>
          <w:color w:val="222222"/>
        </w:rPr>
        <w:t xml:space="preserve">insulina e DM2 </w:t>
      </w:r>
      <w:r w:rsidR="00A52B40" w:rsidRPr="00ED322D">
        <w:rPr>
          <w:bCs/>
          <w:color w:val="222222"/>
        </w:rPr>
        <w:fldChar w:fldCharType="begin"/>
      </w:r>
      <w:r w:rsidR="00344DCD">
        <w:rPr>
          <w:bCs/>
          <w:color w:val="222222"/>
        </w:rPr>
        <w:instrText xml:space="preserve"> ADDIN ZOTERO_ITEM CSL_CITATION {"citationID":"coKJDWzB","properties":{"unsorted":true,"formattedCitation":"(87,110,115)","plainCitation":"(87,110,115)","noteIndex":0},"citationItems":[{"id":1974,"uris":["http://zotero.org/users/7110448/items/V7E62LY2"],"itemData":{"id":1974,"type":"article-journal","abstract":"Thyroid hormone action is an important determinant of energy and glucose metabolism. T4 metabolism is regulated by the deiodinases of which type 2 is expressed in humans in skeletal muscle and brown adipose tissue, where its transcription is stimulated by the beta-3 adrenergic pathway. We performed molecular scanning of the human type 2 deiodinase (DIO2) gene and evaluated a novel variant for associations with obesity and insulin resistance, assessing both the main effect and interaction with the Trp64Arg beta-3--adrenergic receptor (ADRB3) variant. Molecular scanning of DIO2 in 50 obese Caucasians demonstrated a Thr92Ala variant. Association studies in 972 nondiabetic patients, 135 of whom underwent euglycemic-hyperinsulinemic clamps, showed that subjects with the Thr92Ala variant had lower glucose disposal rate (0.54 plus minus 0.02 mg center dot min(-1) center dot kg(-1) fat-free mass Ala92 homozygotes vs. 0.44 plus minus 0.02 Ala92 heterozygotes vs. 0.42 plus minus 0.04 Thr92 homozygotes, P = 0.0088). Association analysis of the entire group showed significant evidence for a synergistic effect between the Thr92Ala DIO2 and Trp64Arg ADRB3 variants on BMI (both variants 34.3 plus minus 0.9 kg/m(2) vs. neither variant 33.1 plus minus 0.4 kg/m(2), P = 0.04 for interaction). To our knowledge, Thr92Ala is the first description of a missense mutation of DIO2. This variant strongly associates with insulin resistance and, in subjects with the Trp64Arg ADRB3 variant, an increased BMI, suggesting an interaction between these two common gene variants.","container-title":"Diabetes","DOI":"10.2337/diabetes.51.3.880","ISSN":"0012-1797","issue":"3","journalAbbreviation":"Diabetes","language":"eng","note":"PMID: 11872697","page":"880-883","source":"PubMed","title":"Association between a novel variant of the human type 2 deiodinase gene Thr92Ala and insulin resistance: evidence of interaction with the Trp64Arg variant of the beta-3-adrenergic receptor","title-short":"Association between a novel variant of the human type 2 deiodinase gene Thr92Ala and insulin resistance","volume":"51","author":[{"family":"Mentuccia","given":"Daniela"},{"family":"Proietti-Pannunzi","given":"Laura"},{"family":"Tanner","given":"Keith"},{"family":"Bacci","given":"Vincenzo"},{"family":"Pollin","given":"Toni I."},{"family":"Poehlman","given":"Eric T."},{"family":"Shuldiner","given":"Alan R."},{"family":"Celi","given":"Francesco S."}],"issued":{"date-parts":[["2002",3]]}},"label":"page"},{"id":560,"uris":["http://zotero.org/users/7110448/items/JAQDB2TV"],"itemData":{"id":560,"type":"article-journal","container-title":"The Journal of Clinical Endocrinology &amp; Metabolism","DOI":"10.1210/jc.2004-1977","ISSN":"0021-972X, 1945-7197","issue":"6","journalAbbreviation":"The Journal of Clinical Endocrinology &amp; Metabolism","language":"en","page":"3472-3478","source":"DOI.org (Crossref)","title":"The Type 2 Deiodinase A/G (Thr92Ala) Polymorphism Is Associated with Decreased Enzyme Velocity and Increased Insulin Resistance in Patients with Type 2 Diabetes Mellitus","volume":"90","author":[{"family":"Canani","given":"Luis Henrique"},{"family":"Capp","given":"Clarissa"},{"family":"Dora","given":"José Miguel"},{"family":"Meyer","given":"Erika L. Souza"},{"family":"Wagner","given":"Márcia S."},{"family":"Harney","given":"John W."},{"family":"Larsen","given":"P. Reed"},{"family":"Gross","given":"Jorge L."},{"family":"Bianco","given":"Antonio C."},{"family":"Maia","given":"Ana Luiza"}],"issued":{"date-parts":[["2005",6]]}},"label":"page"},{"id":2060,"uris":["http://zotero.org/users/7110448/items/4IFRK5QI"],"itemData":{"id":2060,"type":"article-journal","abstract":"A common polymorphism of the type 2 deiodinase gene (Thr92Ala DIO2) was found to be associated with insulin resistance in a mixed Caucasian population. The aim of this study was to investigate the association of the Thr92Ala DIO2 variant to indices of insulin resistance in the Old Order Amish. A genotype–phenotype association study was performed at the research clinic in Strasburg, Pennsylvania, and the molecular genetics laboratory at the University of Maryland, Baltimore, Maryland, and the National Institutes of Health, Bethesda, Maryland. A total of 1,268 subjects participated in the Amish Family Diabetes Study. An association among the Thr92Ala DIO2 variant and type 2 diabetes, indices of insulin resistance (HOMA-IR), insulin secretion, free thyroid hormones, and thyrotropin (TSH) was found. No association was found among the Thr92Ala DIO2 variant and type 2 diabetes, impaired glucose tolerance, or body mass index (BMI) in the Amish. In nondiabetics (n = 747), the Ala92 allele tended to be associated with decreased rather then increased insulin secretion. No differences were observed in thyroid hormones or TSH. Contrary to prior findings, the Thr92Ala DIO2 variant tends to be associated with increased rather then decreased insulin sensitivity in the Amish. These findings could be secondary to a different genetic background or to environmental factors specific for this population.","container-title":"Thyroid","DOI":"10.1089/thy.2005.15.1223","ISSN":"1050-7256","issue":"11","note":"publisher: Mary Ann Liebert, Inc., publishers","page":"1223-1227","source":"liebertpub.com (Atypon)","title":"The Thr92Ala Deiodinase Type 2 (DIO2) Variant Is Not Associated with Type 2 Diabetes or Indices of Insulin Resistance in the Old Order of Amish","volume":"15","author":[{"family":"Mentuccia","given":"Daniela"},{"family":"Thomas","given":"Matthew J."},{"family":"Coppotelli","given":"Giuseppe"},{"family":"Reinhart","given":"Laurie J."},{"family":"Mitchell","given":"Braxton D."},{"family":"Shuldiner","given":"Alan R."},{"family":"Celi","given":"Francesco S."}],"issued":{"date-parts":[["2005",11]]}},"label":"page"}],"schema":"https://github.com/citation-style-language/schema/raw/master/csl-citation.json"} </w:instrText>
      </w:r>
      <w:r w:rsidR="00A52B40" w:rsidRPr="00ED322D">
        <w:rPr>
          <w:bCs/>
          <w:color w:val="222222"/>
        </w:rPr>
        <w:fldChar w:fldCharType="separate"/>
      </w:r>
      <w:r w:rsidR="00993E16">
        <w:rPr>
          <w:bCs/>
          <w:noProof/>
          <w:color w:val="222222"/>
        </w:rPr>
        <w:t>(87,110,115)</w:t>
      </w:r>
      <w:r w:rsidR="00A52B40" w:rsidRPr="00ED322D">
        <w:rPr>
          <w:bCs/>
          <w:color w:val="222222"/>
        </w:rPr>
        <w:fldChar w:fldCharType="end"/>
      </w:r>
      <w:r w:rsidR="00A52B40" w:rsidRPr="00ED322D">
        <w:rPr>
          <w:bCs/>
          <w:color w:val="222222"/>
        </w:rPr>
        <w:t xml:space="preserve">, osteoartrite </w:t>
      </w:r>
      <w:r w:rsidR="00A52B40" w:rsidRPr="00ED322D">
        <w:rPr>
          <w:bCs/>
          <w:color w:val="222222"/>
        </w:rPr>
        <w:fldChar w:fldCharType="begin"/>
      </w:r>
      <w:r w:rsidR="00344DCD">
        <w:rPr>
          <w:bCs/>
          <w:color w:val="222222"/>
        </w:rPr>
        <w:instrText xml:space="preserve"> ADDIN ZOTERO_ITEM CSL_CITATION {"citationID":"q16efKJW","properties":{"formattedCitation":"(118)","plainCitation":"(118)","noteIndex":0},"citationItems":[{"id":2215,"uris":["http://zotero.org/users/7110448/items/F29FDD5D"],"itemData":{"id":2215,"type":"article-journal","abstract":"Osteoarthritis [MIM 165720] is a common late-onset articular joint disease for which no pharmaceutical intervention is available to attenuate the cartilage degeneration. To identify a new osteoarthritis susceptibility locus, a genome-wide linkage scan and combined linkage association analysis were applied to 179 affected siblings and four trios with generalized osteoarthritis (The GARP study). We tested, for confirmation by association, 1478 subjects who required joint replacement and 734 controls in a UK population. Additional replication was tested in 1582 population-based females from the Rotterdam study that contained 94 cases with defined hip osteoarthritis and in 267 Japanese females with symptomatic hip osteoarthritis and 465 controls. Suggested evidence for linkage in the GARP study was observed on chromosome 14q32.11 (log of odds = 3.03, P = 1.9×10−4). Genotyping tagging single-nucleotide polymorphisms covering three important candidate genes revealed a common coding variant (rs225014; Thr92Ala) in the iodothyronine-deiodinase enzyme type 2 (D2) gene (DIO2 [MIM 601413]) which significantly explained the linkage signal (P = 0.006). Confirmation and replication by association in the additional osteoarthritis studies indicated a common DIO2 haplotype, exclusively containing the minor allele of rs225014 and common allele of rs12885300, with a combined recessive odds ratio of 1.79, 95% confidence interval (CI) 1.37–2.34 with P = 2.02×10−5 in female cases with advanced/symptomatic hip osteoarthritis. The gene product of this DIO2 converts intracellular pro-hormone-3,3′,5,5′-tetraiodothyronine (T4) into the active thyroid hormone 3,3′,5-triiodothyronine (T3) thereby regulating intracellular levels of active T3 in target tissues such as the growth plate. Our results indicate a new susceptibility gene (DIO2) conferring risk to osteoarthritis.","container-title":"Human Molecular Genetics","DOI":"10.1093/hmg/ddn082","ISSN":"0964-6906","issue":"12","journalAbbreviation":"Human Molecular Genetics","page":"1867-1875","source":"Silverchair","title":"Identification of DIO2 as a new susceptibility locus for symptomatic osteoarthritis","volume":"17","author":[{"family":"Meulenbelt","given":"Ingrid"},{"family":"Min","given":"Josine L."},{"family":"Bos","given":"Steffan"},{"family":"Riyazi","given":"Naghmeh"},{"family":"Houwing-Duistermaat","given":"Jeanine J."},{"family":"Wijk","given":"Henk-Jan","non-dropping-particle":"van der"},{"family":"Kroon","given":"Herman M."},{"family":"Nakajima","given":"Masahiro"},{"family":"Ikegawa","given":"Shiro"},{"family":"Uitterlinden","given":"André G."},{"family":"Meurs","given":"Joyce B.J.","non-dropping-particle":"van"},{"family":"Deure","given":"Wendy M.","non-dropping-particle":"van der"},{"family":"Visser","given":"Theo J."},{"family":"Seymour","given":"Albert B."},{"family":"Lakenberg","given":"Nico"},{"family":"Breggen","given":"Ruud","non-dropping-particle":"van der"},{"family":"Kremer","given":"Dennis"},{"family":"Duijn","given":"Cornelia M.","non-dropping-particle":"van"},{"family":"Kloppenburg","given":"Margreet"},{"family":"Loughlin","given":"John"},{"family":"Slagboom","given":"P. Eline"}],"issued":{"date-parts":[["2008",6,15]]}}}],"schema":"https://github.com/citation-style-language/schema/raw/master/csl-citation.json"} </w:instrText>
      </w:r>
      <w:r w:rsidR="00A52B40" w:rsidRPr="00ED322D">
        <w:rPr>
          <w:bCs/>
          <w:color w:val="222222"/>
        </w:rPr>
        <w:fldChar w:fldCharType="separate"/>
      </w:r>
      <w:r w:rsidR="00993E16">
        <w:rPr>
          <w:bCs/>
          <w:noProof/>
          <w:color w:val="222222"/>
        </w:rPr>
        <w:t>(118)</w:t>
      </w:r>
      <w:r w:rsidR="00A52B40" w:rsidRPr="00ED322D">
        <w:rPr>
          <w:bCs/>
          <w:color w:val="222222"/>
        </w:rPr>
        <w:fldChar w:fldCharType="end"/>
      </w:r>
      <w:r w:rsidR="00A52B40" w:rsidRPr="00ED322D">
        <w:rPr>
          <w:bCs/>
          <w:color w:val="222222"/>
        </w:rPr>
        <w:t xml:space="preserve"> e transtorno bipolar </w:t>
      </w:r>
      <w:r w:rsidR="00A52B40" w:rsidRPr="00ED322D">
        <w:rPr>
          <w:bCs/>
          <w:color w:val="222222"/>
        </w:rPr>
        <w:fldChar w:fldCharType="begin"/>
      </w:r>
      <w:r w:rsidR="00993E16">
        <w:rPr>
          <w:bCs/>
          <w:color w:val="222222"/>
        </w:rPr>
        <w:instrText xml:space="preserve"> ADDIN ZOTERO_ITEM CSL_CITATION {"citationID":"D42namvA","properties":{"formattedCitation":"(119)","plainCitation":"(119)","noteIndex":0},"citationItems":[{"id":1791,"uris":["http://zotero.org/users/7110448/items/6AAWNSNC"],"itemData":{"id":1791,"type":"article-journal","abstract":"OBJECTIVE: Genetic factors play a critical role in the etiology of bipolar disorder (BPAD). Previous studies suggested an association between thyroid dysfunction and BPAD. We hypothesize that genetic variations in the type II deiodinase (DIO2) gene that possibly alter the bioactivity of thyroid hormones are associated with BPAD.\nMETHOD: A case-control association study was conducted in a subset of Chinese Han population. Two single nucleotide polymorphisms (SNP), open reading frame a (ORFa)-Gly3Asp (rs12885300) and Thr92Ala (rs225014) with potential functions on the activity of DIO2, were selected. The frequencies of allele, genotype and haplotype of the two SNPs were compared between the BPAD patients and the control group.\nRESULTS: Statistical significance between the BPAD patients and the control group was observed for the allele (chi(2)=7.746, P=0.005, df=1) and genotype frequencies (chi(2)=8.158, P=0.017, df=2) at the locus of ORFa-Gly3Asp, and for the allele (chi(2)=15.838, P=7.00e-005, df=1) and genotype frequencies (chi(2)=17.236, P=0.0002, df=2) at Thr92Ala. Distribution of allele 3Gly and 92Ala were significantly higher in the BPAD patients, with odds ratios of 1.489 [95% confidence interval (CI)=1.124-1.973] and 1.616 [95% CI=1.275-2.048], respectively. Individuals with two copies of the variant 3Gly or 92Ala were at greater risk of BPAD than individuals with one copy (dose-response manner). Haplotypes ORFa-3Asp-92Ala and ORFa-3Gly-92Ala indicated higher susceptibility for BPAD with odds ratios of 3.759 (95% CI=2.013-7.020) and 1.292 (95% CI=1.017-1.642), respectively, while ORFa-3Asp-92Thr probably played a protective role with an odds ratio of 0.395 (95% CI=0.284-0.549).\nCONCLUSION: Data generated from this study supported our hypothesis that genetic variations of the DIO2 gene were associated with BPAD and suggested further consideration on the possible involvement of these functionally active variants in the pathophysiology of BPAD.","container-title":"Progress in Neuro-Psychopharmacology &amp; Biological Psychiatry","DOI":"10.1016/j.pnpbp.2009.05.003","ISSN":"1878-4216","issue":"6","journalAbbreviation":"Prog Neuropsychopharmacol Biol Psychiatry","language":"eng","note":"PMID: 19427350","page":"986-990","source":"PubMed","title":"Association of genetic polymorphisms in the type II deiodinase gene with bipolar disorder in a subset of Chinese population","volume":"33","author":[{"family":"He","given":"Bing"},{"family":"Li","given":"Junyan"},{"family":"Wang","given":"Gang"},{"family":"Ju","given":"Weina"},{"family":"Lu","given":"Yadong"},{"family":"Shi","given":"Yongyong"},{"family":"He","given":"Lin"},{"family":"Zhong","given":"Nanbert"}],"issued":{"date-parts":[["2009",8,31]]}}}],"schema":"https://github.com/citation-style-language/schema/raw/master/csl-citation.json"} </w:instrText>
      </w:r>
      <w:r w:rsidR="00A52B40" w:rsidRPr="00ED322D">
        <w:rPr>
          <w:bCs/>
          <w:color w:val="222222"/>
        </w:rPr>
        <w:fldChar w:fldCharType="separate"/>
      </w:r>
      <w:r w:rsidR="00993E16">
        <w:rPr>
          <w:bCs/>
          <w:noProof/>
          <w:color w:val="222222"/>
        </w:rPr>
        <w:t>(119)</w:t>
      </w:r>
      <w:r w:rsidR="00A52B40" w:rsidRPr="00ED322D">
        <w:rPr>
          <w:bCs/>
          <w:color w:val="222222"/>
        </w:rPr>
        <w:fldChar w:fldCharType="end"/>
      </w:r>
      <w:r w:rsidR="00A52B40" w:rsidRPr="00ED322D">
        <w:rPr>
          <w:bCs/>
          <w:color w:val="222222"/>
        </w:rPr>
        <w:t>.</w:t>
      </w:r>
      <w:r w:rsidR="00A52B40">
        <w:rPr>
          <w:bCs/>
          <w:color w:val="222222"/>
        </w:rPr>
        <w:t xml:space="preserve"> No entanto</w:t>
      </w:r>
      <w:r w:rsidR="00D21434">
        <w:rPr>
          <w:bCs/>
          <w:color w:val="222222"/>
        </w:rPr>
        <w:t>,</w:t>
      </w:r>
      <w:r w:rsidR="00A52B40">
        <w:rPr>
          <w:bCs/>
          <w:color w:val="222222"/>
        </w:rPr>
        <w:t xml:space="preserve"> parece haver vantagem heterozigótica em algumas situações.</w:t>
      </w:r>
      <w:r w:rsidR="00090571">
        <w:rPr>
          <w:bCs/>
          <w:color w:val="222222"/>
        </w:rPr>
        <w:t xml:space="preserve"> Beltrão e colaboradores realizaram uma coorte para investigar possível associação entre es</w:t>
      </w:r>
      <w:r w:rsidR="00D21434">
        <w:rPr>
          <w:bCs/>
          <w:color w:val="222222"/>
        </w:rPr>
        <w:t>s</w:t>
      </w:r>
      <w:r w:rsidR="00090571">
        <w:rPr>
          <w:bCs/>
          <w:color w:val="222222"/>
        </w:rPr>
        <w:t>e polimorfismo e mortalidade intra-hospitalar por COVID-19</w:t>
      </w:r>
      <w:r w:rsidR="00D21434">
        <w:rPr>
          <w:bCs/>
          <w:color w:val="222222"/>
        </w:rPr>
        <w:t>,</w:t>
      </w:r>
      <w:r w:rsidR="00090571">
        <w:rPr>
          <w:bCs/>
          <w:color w:val="222222"/>
        </w:rPr>
        <w:t xml:space="preserve"> em pacientes adultos (idade mediana 62; 48-74 anos)</w:t>
      </w:r>
      <w:r w:rsidR="00D21434">
        <w:rPr>
          <w:bCs/>
          <w:color w:val="222222"/>
        </w:rPr>
        <w:t>,</w:t>
      </w:r>
      <w:r w:rsidR="00090571">
        <w:rPr>
          <w:bCs/>
          <w:color w:val="222222"/>
        </w:rPr>
        <w:t xml:space="preserve"> admitidos entre junho e agosto de 2020 </w:t>
      </w:r>
      <w:r w:rsidR="00090571">
        <w:rPr>
          <w:bCs/>
          <w:color w:val="222222"/>
        </w:rPr>
        <w:fldChar w:fldCharType="begin"/>
      </w:r>
      <w:r w:rsidR="00344DCD">
        <w:rPr>
          <w:bCs/>
          <w:color w:val="222222"/>
        </w:rPr>
        <w:instrText xml:space="preserve"> ADDIN ZOTERO_ITEM CSL_CITATION {"citationID":"sdRn9otd","properties":{"formattedCitation":"(120)","plainCitation":"(120)","noteIndex":0},"citationItems":[{"id":2285,"uris":["http://zotero.org/users/7110448/items/NBTDWZ8X"],"itemData":{"id":2285,"type":"article-journal","abstract":"Context\nThe type 2 deiodinase and its Thr92Ala-DIO2 polymorphism have been linked to clinical outcomes in acute lung injury and pulmonary fibrosis.\n\nObjective\nOur objectives were to evaluate were cumulative mortality during admission according to Thr92Ala-DIO2 polymorphism.\n\nMethods\nHere we conducted an observational, longitudinal, and prospective cohort study to investigate a possible association between the Thr92Ala-DIO2 polymorphism and intrahospital mortality from COVID-19 in adult patients admitted between June and August 2020. Blood biochemistry, thyroid function tests, length of stay, comorbidities, complications, and severity scores were also studied according to Thr92Ala-DIO2 polymorphism.\n\nResults\nIn total, 220 consecutive patients (median age 62; 48-74 years) were stratified into 3 subgroups: Thr/Thr (n = 79), Thr/Ala (n = 119), and Ala/Ala (n = 23). While the overall mortality was 17.3%, the lethality was lower in Ala/Thr patients (12.6%) than in Thr/Thr patients (21.7%) or Ala/Ala patients (23%). The heterozygous genotype (Thr/Ala) was associated with a 47% reduced risk of intrahospital mortality whereas univariate and multivariate logistic regression adjusted for multiple covariates revealed a reduction that ranged from 51% to 66%. The association of the Thr/Ala genotype with better clinical outcomes was confirmed in a metanalysis of 5 studies, including the present one.\n\nConclusion\nHere we provide evidence for a protective role played by Thr92Ala-DIO2 heterozygosity in patients with COVID-19. This protective effect follows an inheritance model known as overdominance, in which the phenotype of the heterozygote lies outside the phenotypical range of both homozygous.","container-title":"The Journal of Clinical Endocrinology and Metabolism","DOI":"10.1210/clinem/dgac075","ISSN":"0021-972X","journalAbbreviation":"J Clin Endocrinol Metab","note":"PMID: 35137147\nPMCID: PMC8903419","page":"dgac075","source":"PubMed Central","title":"Heterozygote Advantage of the Type II Deiodinase Thr92Ala Polymorphism on Intrahospital Mortality of COVID-19","author":[{"family":"Lima Beltrão","given":"Fabyan Esberard","non-dropping-particle":"de"},{"family":"Almeida Beltrão","given":"Daniele Carvalhal","non-dropping-particle":"de"},{"family":"Carvalhal","given":"Giulia"},{"family":"Lima Beltrão","given":"Fabricia Elizabeth","non-dropping-particle":"de"},{"family":"Souza Braga Filho","given":"Jair","non-dropping-particle":"de"},{"family":"Brito Oliveira","given":"Jocyel","non-dropping-particle":"de"},{"family":"Jesus","given":"Joice dos Santos","non-dropping-particle":"de"},{"family":"Machado","given":"Gabriel Jeferson Rodríguez"},{"family":"Santos Silva","given":"Hatilla","non-dropping-particle":"dos"},{"family":"Teixeira","given":"Helena Mariana Pitangueira"},{"family":"Rodrigues","given":"Juliana Lopes"},{"family":"Figueiredo","given":"Camila Alexandrina Viana","non-dropping-particle":"de"},{"family":"Santos Costa","given":"Ryan","non-dropping-particle":"dos"},{"family":"Hecht","given":"Fabio"},{"family":"Bianco","given":"Antonio C"},{"family":"Conceição Rodrigues Gonçalves","given":"Maria","non-dropping-particle":"da"},{"family":"Ramos","given":"Helton Estrela"}],"issued":{"date-parts":[["2022",2,9]]}}}],"schema":"https://github.com/citation-style-language/schema/raw/master/csl-citation.json"} </w:instrText>
      </w:r>
      <w:r w:rsidR="00090571">
        <w:rPr>
          <w:bCs/>
          <w:color w:val="222222"/>
        </w:rPr>
        <w:fldChar w:fldCharType="separate"/>
      </w:r>
      <w:r w:rsidR="00993E16">
        <w:rPr>
          <w:bCs/>
          <w:noProof/>
          <w:color w:val="222222"/>
        </w:rPr>
        <w:t>(120)</w:t>
      </w:r>
      <w:r w:rsidR="00090571">
        <w:rPr>
          <w:bCs/>
          <w:color w:val="222222"/>
        </w:rPr>
        <w:fldChar w:fldCharType="end"/>
      </w:r>
      <w:r w:rsidR="00090571">
        <w:rPr>
          <w:bCs/>
          <w:color w:val="222222"/>
        </w:rPr>
        <w:t xml:space="preserve">. Parâmetros bioquímicos, função tireoidiana, comorbidades e escore de gravidade foram também estudados. </w:t>
      </w:r>
      <w:r w:rsidR="00767DF2">
        <w:rPr>
          <w:bCs/>
          <w:color w:val="222222"/>
        </w:rPr>
        <w:t>No total, 220 pacientes</w:t>
      </w:r>
      <w:r w:rsidR="009E2C47">
        <w:rPr>
          <w:bCs/>
          <w:color w:val="222222"/>
        </w:rPr>
        <w:t xml:space="preserve"> (130 do sexo masculino e 90 do sexo feminino)</w:t>
      </w:r>
      <w:r w:rsidR="00767DF2">
        <w:rPr>
          <w:bCs/>
          <w:color w:val="222222"/>
        </w:rPr>
        <w:t xml:space="preserve"> foram agrupados de acordo com </w:t>
      </w:r>
      <w:r w:rsidR="00D21434">
        <w:rPr>
          <w:bCs/>
          <w:color w:val="222222"/>
        </w:rPr>
        <w:t xml:space="preserve">o </w:t>
      </w:r>
      <w:r w:rsidR="00767DF2">
        <w:rPr>
          <w:bCs/>
          <w:color w:val="222222"/>
        </w:rPr>
        <w:t>genótipo: alelo selvagem em homozigose (n=79)</w:t>
      </w:r>
      <w:r w:rsidR="009E2C47">
        <w:rPr>
          <w:bCs/>
          <w:color w:val="222222"/>
        </w:rPr>
        <w:t>,</w:t>
      </w:r>
      <w:r w:rsidR="00767DF2">
        <w:rPr>
          <w:bCs/>
          <w:color w:val="222222"/>
        </w:rPr>
        <w:t xml:space="preserve"> alelos em heterozigose (n=119)</w:t>
      </w:r>
      <w:r w:rsidR="009E2C47">
        <w:rPr>
          <w:bCs/>
          <w:color w:val="222222"/>
        </w:rPr>
        <w:t xml:space="preserve"> e </w:t>
      </w:r>
      <w:r w:rsidR="00767DF2">
        <w:rPr>
          <w:bCs/>
          <w:color w:val="222222"/>
        </w:rPr>
        <w:t xml:space="preserve">alelo polimórfico em homozigose (n=23). O genótipo heterozigoto foi associado a uma redução de 47% no risco de mortalidade intra-hospitalar </w:t>
      </w:r>
      <w:r w:rsidR="00767DF2">
        <w:rPr>
          <w:bCs/>
          <w:color w:val="222222"/>
        </w:rPr>
        <w:fldChar w:fldCharType="begin"/>
      </w:r>
      <w:r w:rsidR="00344DCD">
        <w:rPr>
          <w:bCs/>
          <w:color w:val="222222"/>
        </w:rPr>
        <w:instrText xml:space="preserve"> ADDIN ZOTERO_ITEM CSL_CITATION {"citationID":"Y9YyRGw7","properties":{"formattedCitation":"(120)","plainCitation":"(120)","noteIndex":0},"citationItems":[{"id":2285,"uris":["http://zotero.org/users/7110448/items/NBTDWZ8X"],"itemData":{"id":2285,"type":"article-journal","abstract":"Context\nThe type 2 deiodinase and its Thr92Ala-DIO2 polymorphism have been linked to clinical outcomes in acute lung injury and pulmonary fibrosis.\n\nObjective\nOur objectives were to evaluate were cumulative mortality during admission according to Thr92Ala-DIO2 polymorphism.\n\nMethods\nHere we conducted an observational, longitudinal, and prospective cohort study to investigate a possible association between the Thr92Ala-DIO2 polymorphism and intrahospital mortality from COVID-19 in adult patients admitted between June and August 2020. Blood biochemistry, thyroid function tests, length of stay, comorbidities, complications, and severity scores were also studied according to Thr92Ala-DIO2 polymorphism.\n\nResults\nIn total, 220 consecutive patients (median age 62; 48-74 years) were stratified into 3 subgroups: Thr/Thr (n = 79), Thr/Ala (n = 119), and Ala/Ala (n = 23). While the overall mortality was 17.3%, the lethality was lower in Ala/Thr patients (12.6%) than in Thr/Thr patients (21.7%) or Ala/Ala patients (23%). The heterozygous genotype (Thr/Ala) was associated with a 47% reduced risk of intrahospital mortality whereas univariate and multivariate logistic regression adjusted for multiple covariates revealed a reduction that ranged from 51% to 66%. The association of the Thr/Ala genotype with better clinical outcomes was confirmed in a metanalysis of 5 studies, including the present one.\n\nConclusion\nHere we provide evidence for a protective role played by Thr92Ala-DIO2 heterozygosity in patients with COVID-19. This protective effect follows an inheritance model known as overdominance, in which the phenotype of the heterozygote lies outside the phenotypical range of both homozygous.","container-title":"The Journal of Clinical Endocrinology and Metabolism","DOI":"10.1210/clinem/dgac075","ISSN":"0021-972X","journalAbbreviation":"J Clin Endocrinol Metab","note":"PMID: 35137147\nPMCID: PMC8903419","page":"dgac075","source":"PubMed Central","title":"Heterozygote Advantage of the Type II Deiodinase Thr92Ala Polymorphism on Intrahospital Mortality of COVID-19","author":[{"family":"Lima Beltrão","given":"Fabyan Esberard","non-dropping-particle":"de"},{"family":"Almeida Beltrão","given":"Daniele Carvalhal","non-dropping-particle":"de"},{"family":"Carvalhal","given":"Giulia"},{"family":"Lima Beltrão","given":"Fabricia Elizabeth","non-dropping-particle":"de"},{"family":"Souza Braga Filho","given":"Jair","non-dropping-particle":"de"},{"family":"Brito Oliveira","given":"Jocyel","non-dropping-particle":"de"},{"family":"Jesus","given":"Joice dos Santos","non-dropping-particle":"de"},{"family":"Machado","given":"Gabriel Jeferson Rodríguez"},{"family":"Santos Silva","given":"Hatilla","non-dropping-particle":"dos"},{"family":"Teixeira","given":"Helena Mariana Pitangueira"},{"family":"Rodrigues","given":"Juliana Lopes"},{"family":"Figueiredo","given":"Camila Alexandrina Viana","non-dropping-particle":"de"},{"family":"Santos Costa","given":"Ryan","non-dropping-particle":"dos"},{"family":"Hecht","given":"Fabio"},{"family":"Bianco","given":"Antonio C"},{"family":"Conceição Rodrigues Gonçalves","given":"Maria","non-dropping-particle":"da"},{"family":"Ramos","given":"Helton Estrela"}],"issued":{"date-parts":[["2022",2,9]]}}}],"schema":"https://github.com/citation-style-language/schema/raw/master/csl-citation.json"} </w:instrText>
      </w:r>
      <w:r w:rsidR="00767DF2">
        <w:rPr>
          <w:bCs/>
          <w:color w:val="222222"/>
        </w:rPr>
        <w:fldChar w:fldCharType="separate"/>
      </w:r>
      <w:r w:rsidR="00993E16">
        <w:rPr>
          <w:bCs/>
          <w:noProof/>
          <w:color w:val="222222"/>
        </w:rPr>
        <w:t>(120)</w:t>
      </w:r>
      <w:r w:rsidR="00767DF2">
        <w:rPr>
          <w:bCs/>
          <w:color w:val="222222"/>
        </w:rPr>
        <w:fldChar w:fldCharType="end"/>
      </w:r>
      <w:r w:rsidR="00767DF2">
        <w:rPr>
          <w:bCs/>
          <w:color w:val="222222"/>
        </w:rPr>
        <w:t>.</w:t>
      </w:r>
      <w:r w:rsidR="009E2C47">
        <w:rPr>
          <w:bCs/>
          <w:color w:val="222222"/>
        </w:rPr>
        <w:t xml:space="preserve"> </w:t>
      </w:r>
      <w:r w:rsidR="00A52B40">
        <w:rPr>
          <w:bCs/>
          <w:color w:val="222222"/>
        </w:rPr>
        <w:t xml:space="preserve">Na população </w:t>
      </w:r>
      <w:r w:rsidR="00D21434">
        <w:rPr>
          <w:bCs/>
          <w:color w:val="222222"/>
        </w:rPr>
        <w:t xml:space="preserve">do presente estudo </w:t>
      </w:r>
      <w:r w:rsidR="00A52B40">
        <w:rPr>
          <w:bCs/>
          <w:color w:val="222222"/>
        </w:rPr>
        <w:t>de mulheres idosas eutireoidianas</w:t>
      </w:r>
      <w:r w:rsidR="00D21434">
        <w:rPr>
          <w:bCs/>
          <w:color w:val="222222"/>
        </w:rPr>
        <w:t>,</w:t>
      </w:r>
      <w:r w:rsidR="00A52B40">
        <w:rPr>
          <w:bCs/>
          <w:color w:val="222222"/>
        </w:rPr>
        <w:t xml:space="preserve"> não </w:t>
      </w:r>
      <w:r w:rsidR="00D21434">
        <w:rPr>
          <w:bCs/>
          <w:color w:val="222222"/>
        </w:rPr>
        <w:t>foi enco</w:t>
      </w:r>
      <w:r w:rsidR="00A322DB">
        <w:rPr>
          <w:bCs/>
          <w:color w:val="222222"/>
        </w:rPr>
        <w:t>n</w:t>
      </w:r>
      <w:r w:rsidR="00D21434">
        <w:rPr>
          <w:bCs/>
          <w:color w:val="222222"/>
        </w:rPr>
        <w:t>trada</w:t>
      </w:r>
      <w:r w:rsidR="00A52B40">
        <w:rPr>
          <w:bCs/>
          <w:color w:val="222222"/>
        </w:rPr>
        <w:t xml:space="preserve"> associação des</w:t>
      </w:r>
      <w:r w:rsidR="00D21434">
        <w:rPr>
          <w:bCs/>
          <w:color w:val="222222"/>
        </w:rPr>
        <w:t>s</w:t>
      </w:r>
      <w:r w:rsidR="00A52B40">
        <w:rPr>
          <w:bCs/>
          <w:color w:val="222222"/>
        </w:rPr>
        <w:t xml:space="preserve">e polimorfismo com </w:t>
      </w:r>
      <w:r w:rsidR="00DA241E">
        <w:rPr>
          <w:bCs/>
          <w:color w:val="222222"/>
        </w:rPr>
        <w:t xml:space="preserve">as seguintes </w:t>
      </w:r>
      <w:r w:rsidR="00A52B40">
        <w:rPr>
          <w:bCs/>
          <w:color w:val="222222"/>
        </w:rPr>
        <w:t>comorbidades</w:t>
      </w:r>
      <w:r w:rsidR="00DA241E">
        <w:rPr>
          <w:bCs/>
          <w:color w:val="222222"/>
        </w:rPr>
        <w:t xml:space="preserve">: </w:t>
      </w:r>
      <w:r w:rsidR="00D21434">
        <w:rPr>
          <w:bCs/>
          <w:color w:val="222222"/>
        </w:rPr>
        <w:t>d</w:t>
      </w:r>
      <w:r w:rsidR="00A52B40">
        <w:rPr>
          <w:bCs/>
          <w:color w:val="222222"/>
        </w:rPr>
        <w:t>iabete</w:t>
      </w:r>
      <w:r w:rsidR="00D21434">
        <w:rPr>
          <w:bCs/>
          <w:color w:val="222222"/>
        </w:rPr>
        <w:t>s</w:t>
      </w:r>
      <w:r w:rsidR="00A52B40">
        <w:rPr>
          <w:bCs/>
          <w:color w:val="222222"/>
        </w:rPr>
        <w:t xml:space="preserve"> </w:t>
      </w:r>
      <w:r w:rsidR="00D21434" w:rsidRPr="00A322DB">
        <w:rPr>
          <w:bCs/>
          <w:i/>
          <w:color w:val="222222"/>
        </w:rPr>
        <w:t>m</w:t>
      </w:r>
      <w:r w:rsidR="00A52B40" w:rsidRPr="00A322DB">
        <w:rPr>
          <w:bCs/>
          <w:i/>
          <w:color w:val="222222"/>
        </w:rPr>
        <w:t>e</w:t>
      </w:r>
      <w:r w:rsidR="00D21434" w:rsidRPr="00A322DB">
        <w:rPr>
          <w:bCs/>
          <w:i/>
          <w:color w:val="222222"/>
        </w:rPr>
        <w:t>l</w:t>
      </w:r>
      <w:r w:rsidR="00A52B40" w:rsidRPr="00A322DB">
        <w:rPr>
          <w:bCs/>
          <w:i/>
          <w:color w:val="222222"/>
        </w:rPr>
        <w:t>lit</w:t>
      </w:r>
      <w:r w:rsidR="00D21434" w:rsidRPr="00A322DB">
        <w:rPr>
          <w:bCs/>
          <w:i/>
          <w:color w:val="222222"/>
        </w:rPr>
        <w:t>us</w:t>
      </w:r>
      <w:r w:rsidR="00A52B40">
        <w:rPr>
          <w:bCs/>
          <w:color w:val="222222"/>
        </w:rPr>
        <w:t xml:space="preserve"> tipo 2, </w:t>
      </w:r>
      <w:r w:rsidR="00D21434">
        <w:rPr>
          <w:bCs/>
          <w:color w:val="222222"/>
        </w:rPr>
        <w:t>hipertensão arterial sistêmica e dislipidemia</w:t>
      </w:r>
      <w:r w:rsidR="00DA241E">
        <w:rPr>
          <w:bCs/>
          <w:color w:val="222222"/>
        </w:rPr>
        <w:t>.</w:t>
      </w:r>
      <w:r w:rsidR="00A52B40" w:rsidRPr="00A52B40">
        <w:rPr>
          <w:bCs/>
          <w:color w:val="FF0000"/>
        </w:rPr>
        <w:t xml:space="preserve"> </w:t>
      </w:r>
    </w:p>
    <w:p w14:paraId="5A990AE9" w14:textId="3D880970" w:rsidR="006925FE" w:rsidRPr="006925FE" w:rsidRDefault="00A26C58" w:rsidP="00FE2BCF">
      <w:pPr>
        <w:pBdr>
          <w:top w:val="nil"/>
          <w:left w:val="nil"/>
          <w:bottom w:val="nil"/>
          <w:right w:val="nil"/>
          <w:between w:val="nil"/>
        </w:pBdr>
        <w:spacing w:before="30" w:line="360" w:lineRule="auto"/>
        <w:jc w:val="both"/>
        <w:rPr>
          <w:color w:val="000000" w:themeColor="text1"/>
          <w:shd w:val="clear" w:color="auto" w:fill="FFFFFF"/>
        </w:rPr>
      </w:pPr>
      <w:r>
        <w:rPr>
          <w:color w:val="333333"/>
          <w:shd w:val="clear" w:color="auto" w:fill="FFFFFF"/>
        </w:rPr>
        <w:lastRenderedPageBreak/>
        <w:t xml:space="preserve">     No </w:t>
      </w:r>
      <w:r w:rsidR="00D21434">
        <w:rPr>
          <w:color w:val="333333"/>
          <w:shd w:val="clear" w:color="auto" w:fill="FFFFFF"/>
        </w:rPr>
        <w:t xml:space="preserve">presente </w:t>
      </w:r>
      <w:r>
        <w:rPr>
          <w:color w:val="333333"/>
          <w:shd w:val="clear" w:color="auto" w:fill="FFFFFF"/>
        </w:rPr>
        <w:t xml:space="preserve">estudo, não </w:t>
      </w:r>
      <w:r w:rsidR="00D21434">
        <w:rPr>
          <w:color w:val="333333"/>
          <w:shd w:val="clear" w:color="auto" w:fill="FFFFFF"/>
        </w:rPr>
        <w:t xml:space="preserve">foi encontrada </w:t>
      </w:r>
      <w:r>
        <w:rPr>
          <w:color w:val="333333"/>
          <w:shd w:val="clear" w:color="auto" w:fill="FFFFFF"/>
        </w:rPr>
        <w:t xml:space="preserve">associação entre </w:t>
      </w:r>
      <w:r w:rsidRPr="00A30C7C">
        <w:rPr>
          <w:color w:val="000000" w:themeColor="text1"/>
          <w:shd w:val="clear" w:color="auto" w:fill="FFFFFF"/>
        </w:rPr>
        <w:t xml:space="preserve">o polimorfismo rs2235544 do </w:t>
      </w:r>
      <w:r>
        <w:rPr>
          <w:color w:val="333333"/>
          <w:shd w:val="clear" w:color="auto" w:fill="FFFFFF"/>
        </w:rPr>
        <w:t xml:space="preserve">gene </w:t>
      </w:r>
      <w:r w:rsidRPr="00A26C58">
        <w:rPr>
          <w:i/>
          <w:iCs/>
          <w:color w:val="333333"/>
          <w:shd w:val="clear" w:color="auto" w:fill="FFFFFF"/>
        </w:rPr>
        <w:t xml:space="preserve">DIO1 </w:t>
      </w:r>
      <w:r>
        <w:rPr>
          <w:color w:val="333333"/>
          <w:shd w:val="clear" w:color="auto" w:fill="FFFFFF"/>
        </w:rPr>
        <w:t xml:space="preserve">e </w:t>
      </w:r>
      <w:r w:rsidR="009E2C47">
        <w:rPr>
          <w:color w:val="333333"/>
          <w:shd w:val="clear" w:color="auto" w:fill="FFFFFF"/>
        </w:rPr>
        <w:t xml:space="preserve">níveis </w:t>
      </w:r>
      <w:r>
        <w:rPr>
          <w:color w:val="333333"/>
          <w:shd w:val="clear" w:color="auto" w:fill="FFFFFF"/>
        </w:rPr>
        <w:t xml:space="preserve">séricos </w:t>
      </w:r>
      <w:r w:rsidR="009E2C47">
        <w:rPr>
          <w:color w:val="333333"/>
          <w:shd w:val="clear" w:color="auto" w:fill="FFFFFF"/>
        </w:rPr>
        <w:t>hormonais relacionados à f</w:t>
      </w:r>
      <w:r>
        <w:rPr>
          <w:color w:val="333333"/>
          <w:shd w:val="clear" w:color="auto" w:fill="FFFFFF"/>
        </w:rPr>
        <w:t>unção tireoidiana</w:t>
      </w:r>
      <w:r w:rsidR="009E2C47">
        <w:rPr>
          <w:color w:val="333333"/>
          <w:shd w:val="clear" w:color="auto" w:fill="FFFFFF"/>
        </w:rPr>
        <w:t>,</w:t>
      </w:r>
      <w:r>
        <w:rPr>
          <w:color w:val="333333"/>
          <w:shd w:val="clear" w:color="auto" w:fill="FFFFFF"/>
        </w:rPr>
        <w:t xml:space="preserve"> divergindo de algu</w:t>
      </w:r>
      <w:r w:rsidR="00362186">
        <w:rPr>
          <w:color w:val="333333"/>
          <w:shd w:val="clear" w:color="auto" w:fill="FFFFFF"/>
        </w:rPr>
        <w:t>ns estudos previamente publicados</w:t>
      </w:r>
      <w:r w:rsidR="006925FE">
        <w:rPr>
          <w:color w:val="333333"/>
          <w:shd w:val="clear" w:color="auto" w:fill="FFFFFF"/>
        </w:rPr>
        <w:t xml:space="preserve"> </w:t>
      </w:r>
      <w:r w:rsidR="006925FE">
        <w:rPr>
          <w:color w:val="333333"/>
          <w:shd w:val="clear" w:color="auto" w:fill="FFFFFF"/>
        </w:rPr>
        <w:fldChar w:fldCharType="begin"/>
      </w:r>
      <w:r w:rsidR="00344DCD">
        <w:rPr>
          <w:color w:val="333333"/>
          <w:shd w:val="clear" w:color="auto" w:fill="FFFFFF"/>
        </w:rPr>
        <w:instrText xml:space="preserve"> ADDIN ZOTERO_ITEM CSL_CITATION {"citationID":"Yuc9QrKx","properties":{"unsorted":true,"formattedCitation":"(121,122,102)","plainCitation":"(121,122,102)","noteIndex":0},"citationItems":[{"id":910,"uris":["http://zotero.org/users/7110448/items/GT5FZTCY"],"itemData":{"id":910,"type":"article-journal","abstract":"INTRODUCTION: Genetic factors influence circulating thyroid hormone levels, but the common gene variants involved have not been conclusively identified. The genes encoding the iodothyronine deiodinases are good candidates because they alter the balance of thyroid hormones. We aimed to thoroughly examine the role of common variation across the three deiodinase genes in relation to thyroid hormones.\nMETHODS: We used HapMap data to select single-nucleotide polymorphisms (SNPs) that captured a large proportion of the common genetic variation across the three deiodinase genes. We analyzed these initially in a cohort of 552 people on T(4) replacement. Suggestive findings were taken forward into three additional studies in people not on T(4) (total n = 2513) and metaanalyzed for confirmation.\nRESULTS: A SNP in the DIO1 gene, rs2235544, was associated with the free T(3) to free T(4) ratio with genome-wide levels of significance (P = 3.6 x 10(-13)). The C-allele of this SNP was associated with increased deiodinase 1 (D1) function with resulting increase in free T(3)/T(4) ratio and free T(3) and decrease in free T(4) and rT(3). There was no effect on serum TSH levels. None of the SNPs in the genes coding for D2 or D3 had any influence on hormone levels.\nCONCLUSIONS: This study provides convincing evidence that common genetic variation in DIO1 alters deiodinase function, resulting in an alteration in the balance of circulating free T(3) to free T(4). This should prove a valuable tool to assess the relative effects of circulating free T(3) vs. free T(4) on a wide range of biological parameters.","container-title":"The Journal of Clinical Endocrinology and Metabolism","DOI":"10.1210/jc.2008-0397","ISSN":"0021-972X","issue":"8","journalAbbreviation":"J Clin Endocrinol Metab","language":"eng","note":"PMID: 18492748\nPMCID: PMC2515080","page":"3075-3081","source":"PubMed","title":"A common variation in deiodinase 1 gene DIO1 is associated with the relative levels of free thyroxine and triiodothyronine","volume":"93","author":[{"family":"Panicker","given":"Vijay"},{"family":"Cluett","given":"Christie"},{"family":"Shields","given":"Beverley"},{"family":"Murray","given":"Anna"},{"family":"Parnell","given":"Kirstie S."},{"family":"Perry","given":"John R. B."},{"family":"Weedon","given":"Michael N."},{"family":"Singleton","given":"Andrew"},{"family":"Hernandez","given":"Dena"},{"family":"Evans","given":"Jonathan"},{"family":"Durant","given":"Claire"},{"family":"Ferrucci","given":"Luigi"},{"family":"Melzer","given":"David"},{"family":"Saravanan","given":"Ponnusamy"},{"family":"Visser","given":"Theo J."},{"family":"Ceresini","given":"Graziano"},{"family":"Hattersley","given":"Andrew T."},{"family":"Vaidya","given":"Bijay"},{"family":"Dayan","given":"Colin M."},{"family":"Frayling","given":"Timothy M."}],"issued":{"date-parts":[["2008",8]]}},"label":"page"},{"id":2235,"uris":["http://zotero.org/users/7110448/items/3W29LLKC"],"itemData":{"id":2235,"type":"article-journal","abstract":"Objective Minor variation in serum thyroid hormone (TH) levels can have important effects on various clinical endpoints. Although 45–65% of the inter-individual variation in serum TH levels is due to genetic factors, the causative genes are not well established. We therefore studied the effects of genetic variation in 68 TH pathway genes on serum TSH and free thyroxine (FT4) levels. Design and methods Sixty-eight genes (1512 polymorphisms) were studied in relation to serum TSH and FT4 levels in 1121 Caucasian subjects. Promising hits (P&lt;0.01) were studied in three independent Caucasian populations (2656 subjects) for confirmation. A meta-analysis of all four studies was performed. Results For TSH, eight PDE8B polymorphisms (P=4×10−17) remained significant in the meta-analysis. For FT4, two DIO1 (P=8×10−12) and one FOXE1 (P=0.0003) polymorphisms remained significant in the meta-analysis. Suggestive associations were detected for one FOXE1 (P=0.0028) and three THRB (P=0.0045) polymorphisms with TSH, and one SLC16A10 polymorphism (P=0.0110) with FT4, but failed to reach the significant multiple-testing corrected P value (P&lt;0.0022 and P&lt;0.0033 respectively). Conclusions Using a large-scale association analysis, we replicated previously reported associations with genetic variation in PDE8B, THRB, and DIO1. We demonstrate effects of genetic variation in FOXE1 on serum FT4 levels, and borderline significant effects on serum TSH levels. A suggestive association of genetic variation in SLC16A10 with serum FT4 levels was found. These data provide insight into the molecular basis of inter-individual variation in TH serum levels.","container-title":"European Journal of Endocrinology","DOI":"10.1530/EJE-10-1130","ISSN":"0804-4643, 1479-683X","issue":"5","language":"en_US","note":"publisher: BioScientifica\nsection: European Journal of Endocrinology","page":"781-788","source":"eje.bioscientifica.com","title":"A large-scale association analysis of 68 thyroid hormone pathway genes with serum TSH and FT4 levels","volume":"164","author":[{"family":"Medici","given":"Marco"},{"family":"Deure","given":"Wendy M.","dropping-particle":"van der"},{"family":"Verbiest","given":"Michael"},{"family":"Vermeulen","given":"Sita H."},{"family":"Hansen","given":"Pia S."},{"family":"Kiemeney","given":"Lambertus A."},{"family":"Hermus","given":"Ad R. M. M."},{"family":"Breteler","given":"Monique M."},{"family":"Hofman","given":"Albert"},{"family":"Hegedüs","given":"Laszlo"},{"family":"Kyvik","given":"Kirsten Ohm"},{"family":"Heijer","given":"Martin","dropping-particle":"den"},{"family":"Uitterlinden","given":"André G."},{"family":"Visser","given":"Theo J."},{"family":"Peeters","given":"Robin P."}],"issued":{"date-parts":[["2011",5,1]]}},"label":"page"},{"id":1965,"uris":["http://zotero.org/users/7110448/items/2745FTZ6"],"itemData":{"id":1965,"type":"article-journal","abstract":"Normal thyroid function is essential for health, but its genetic architecture remains poorly understood. Here, for the heritable thyroid traits thyrotropin (TSH) and free thyroxine (FT4), we analyse whole-genome sequence data from the UK10K project (N=2,287). Using additional whole-genome sequence and deeply imputed data sets, we report meta-analysis results for common variants (MAF≥1%) associated with TSH and FT4 (N=16,335). For TSH, we identify a novel variant in SYN2 (MAF=23.5%, P=6.15 × 10(-9)) and a new independent variant in PDE8B (MAF=10.4%, P=5.94 × 10(-14)). For FT4, we report a low-frequency variant near B4GALT6/SLC25A52 (MAF=3.2%, P=1.27 × 10(-9)) tagging a rare TTR variant (MAF=0.4%, P=2.14 × 10(-11)). All common variants explain ≥20% of the variance in TSH and FT4. Analysis of rare variants (MAF&lt;1%) using sequence kernel association testing reveals a novel association with FT4 in NRG1. Our results demonstrate that increased coverage in whole-genome sequence association studies identifies novel variants associated with thyroid function.","container-title":"Nature Communications","DOI":"10.1038/ncomms6681","ISSN":"2041-1723","journalAbbreviation":"Nat Commun","language":"eng","note":"PMID: 25743335\nPMCID: PMC4366514","page":"5681","source":"PubMed","title":"Whole-genome sequence-based analysis of thyroid function","volume":"6","author":[{"family":"Taylor","given":"Peter N."},{"family":"Porcu","given":"Eleonora"},{"family":"Chew","given":"Shelby"},{"family":"Campbell","given":"Purdey J."},{"family":"Traglia","given":"Michela"},{"family":"Brown","given":"Suzanne J."},{"family":"Mullin","given":"Benjamin H."},{"family":"Shihab","given":"Hashem A."},{"family":"Min","given":"Josine"},{"family":"Walter","given":"Klaudia"},{"family":"Memari","given":"Yasin"},{"family":"Huang","given":"Jie"},{"family":"Barnes","given":"Michael R."},{"family":"Beilby","given":"John P."},{"family":"Charoen","given":"Pimphen"},{"family":"Danecek","given":"Petr"},{"family":"Dudbridge","given":"Frank"},{"family":"Forgetta","given":"Vincenzo"},{"family":"Greenwood","given":"Celia"},{"family":"Grundberg","given":"Elin"},{"family":"Johnson","given":"Andrew D."},{"family":"Hui","given":"Jennie"},{"family":"Lim","given":"Ee M."},{"family":"McCarthy","given":"Shane"},{"family":"Muddyman","given":"Dawn"},{"family":"Panicker","given":"Vijay"},{"family":"Perry","given":"John R. B."},{"family":"Bell","given":"Jordana T."},{"family":"Yuan","given":"Wei"},{"family":"Relton","given":"Caroline"},{"family":"Gaunt","given":"Tom"},{"family":"Schlessinger","given":"David"},{"family":"Abecasis","given":"Goncalo"},{"family":"Cucca","given":"Francesco"},{"family":"Surdulescu","given":"Gabriela L."},{"family":"Woltersdorf","given":"Wolfram"},{"family":"Zeggini","given":"Eleftheria"},{"family":"Zheng","given":"Hou-Feng"},{"family":"Toniolo","given":"Daniela"},{"family":"Dayan","given":"Colin M."},{"family":"Naitza","given":"Silvia"},{"family":"Walsh","given":"John P."},{"family":"Spector","given":"Tim"},{"family":"Davey Smith","given":"George"},{"family":"Durbin","given":"Richard"},{"family":"Richards","given":"J. Brent"},{"family":"Sanna","given":"Serena"},{"family":"Soranzo","given":"Nicole"},{"family":"Timpson","given":"Nicholas J."},{"family":"Wilson","given":"Scott G."},{"literal":"UK0K Consortium"}],"issued":{"date-parts":[["2015",3,6]]}},"label":"page"}],"schema":"https://github.com/citation-style-language/schema/raw/master/csl-citation.json"} </w:instrText>
      </w:r>
      <w:r w:rsidR="006925FE">
        <w:rPr>
          <w:color w:val="333333"/>
          <w:shd w:val="clear" w:color="auto" w:fill="FFFFFF"/>
        </w:rPr>
        <w:fldChar w:fldCharType="separate"/>
      </w:r>
      <w:r w:rsidR="00993E16">
        <w:rPr>
          <w:noProof/>
          <w:color w:val="333333"/>
          <w:shd w:val="clear" w:color="auto" w:fill="FFFFFF"/>
        </w:rPr>
        <w:t>(121,122,102)</w:t>
      </w:r>
      <w:r w:rsidR="006925FE">
        <w:rPr>
          <w:color w:val="333333"/>
          <w:shd w:val="clear" w:color="auto" w:fill="FFFFFF"/>
        </w:rPr>
        <w:fldChar w:fldCharType="end"/>
      </w:r>
      <w:r w:rsidR="00AE4857">
        <w:rPr>
          <w:color w:val="333333"/>
          <w:shd w:val="clear" w:color="auto" w:fill="FFFFFF"/>
        </w:rPr>
        <w:t xml:space="preserve">. </w:t>
      </w:r>
      <w:proofErr w:type="spellStart"/>
      <w:r>
        <w:rPr>
          <w:color w:val="000000" w:themeColor="text1"/>
          <w:shd w:val="clear" w:color="auto" w:fill="FFFFFF"/>
        </w:rPr>
        <w:t>Panicker</w:t>
      </w:r>
      <w:proofErr w:type="spellEnd"/>
      <w:r>
        <w:rPr>
          <w:color w:val="000000" w:themeColor="text1"/>
          <w:shd w:val="clear" w:color="auto" w:fill="FFFFFF"/>
        </w:rPr>
        <w:t xml:space="preserve"> e </w:t>
      </w:r>
      <w:r w:rsidRPr="00A30C7C">
        <w:rPr>
          <w:color w:val="000000" w:themeColor="text1"/>
          <w:shd w:val="clear" w:color="auto" w:fill="FFFFFF"/>
        </w:rPr>
        <w:t>colaboradores</w:t>
      </w:r>
      <w:r w:rsidR="007F2F98" w:rsidRPr="00A30C7C">
        <w:rPr>
          <w:color w:val="000000" w:themeColor="text1"/>
          <w:shd w:val="clear" w:color="auto" w:fill="FFFFFF"/>
        </w:rPr>
        <w:t xml:space="preserve"> </w:t>
      </w:r>
      <w:r w:rsidR="006925FE">
        <w:rPr>
          <w:color w:val="000000" w:themeColor="text1"/>
          <w:shd w:val="clear" w:color="auto" w:fill="FFFFFF"/>
        </w:rPr>
        <w:t xml:space="preserve">demonstraram que este polimorfismo está associado </w:t>
      </w:r>
      <w:r w:rsidR="00D21434">
        <w:rPr>
          <w:color w:val="000000" w:themeColor="text1"/>
          <w:shd w:val="clear" w:color="auto" w:fill="FFFFFF"/>
        </w:rPr>
        <w:t xml:space="preserve">à </w:t>
      </w:r>
      <w:r w:rsidR="006925FE">
        <w:rPr>
          <w:color w:val="000000" w:themeColor="text1"/>
          <w:shd w:val="clear" w:color="auto" w:fill="FFFFFF"/>
        </w:rPr>
        <w:t>relação T3l : T4l circulante tanto na população de pessoas em reposição hormonal da tireoide</w:t>
      </w:r>
      <w:r w:rsidR="00D21434">
        <w:rPr>
          <w:color w:val="000000" w:themeColor="text1"/>
          <w:shd w:val="clear" w:color="auto" w:fill="FFFFFF"/>
        </w:rPr>
        <w:t>,</w:t>
      </w:r>
      <w:r w:rsidR="006925FE">
        <w:rPr>
          <w:color w:val="000000" w:themeColor="text1"/>
          <w:shd w:val="clear" w:color="auto" w:fill="FFFFFF"/>
        </w:rPr>
        <w:t xml:space="preserve"> quanto na população </w:t>
      </w:r>
      <w:r w:rsidR="00D21434">
        <w:rPr>
          <w:color w:val="000000" w:themeColor="text1"/>
          <w:shd w:val="clear" w:color="auto" w:fill="FFFFFF"/>
        </w:rPr>
        <w:t xml:space="preserve">em </w:t>
      </w:r>
      <w:r w:rsidR="006925FE">
        <w:rPr>
          <w:color w:val="000000" w:themeColor="text1"/>
          <w:shd w:val="clear" w:color="auto" w:fill="FFFFFF"/>
        </w:rPr>
        <w:t xml:space="preserve">geral </w:t>
      </w:r>
      <w:r w:rsidR="006925FE">
        <w:rPr>
          <w:color w:val="000000" w:themeColor="text1"/>
          <w:shd w:val="clear" w:color="auto" w:fill="FFFFFF"/>
        </w:rPr>
        <w:fldChar w:fldCharType="begin"/>
      </w:r>
      <w:r w:rsidR="00993E16">
        <w:rPr>
          <w:color w:val="000000" w:themeColor="text1"/>
          <w:shd w:val="clear" w:color="auto" w:fill="FFFFFF"/>
        </w:rPr>
        <w:instrText xml:space="preserve"> ADDIN ZOTERO_ITEM CSL_CITATION {"citationID":"P9U5TNAQ","properties":{"formattedCitation":"(121)","plainCitation":"(121)","noteIndex":0},"citationItems":[{"id":910,"uris":["http://zotero.org/users/7110448/items/GT5FZTCY"],"itemData":{"id":910,"type":"article-journal","abstract":"INTRODUCTION: Genetic factors influence circulating thyroid hormone levels, but the common gene variants involved have not been conclusively identified. The genes encoding the iodothyronine deiodinases are good candidates because they alter the balance of thyroid hormones. We aimed to thoroughly examine the role of common variation across the three deiodinase genes in relation to thyroid hormones.\nMETHODS: We used HapMap data to select single-nucleotide polymorphisms (SNPs) that captured a large proportion of the common genetic variation across the three deiodinase genes. We analyzed these initially in a cohort of 552 people on T(4) replacement. Suggestive findings were taken forward into three additional studies in people not on T(4) (total n = 2513) and metaanalyzed for confirmation.\nRESULTS: A SNP in the DIO1 gene, rs2235544, was associated with the free T(3) to free T(4) ratio with genome-wide levels of significance (P = 3.6 x 10(-13)). The C-allele of this SNP was associated with increased deiodinase 1 (D1) function with resulting increase in free T(3)/T(4) ratio and free T(3) and decrease in free T(4) and rT(3). There was no effect on serum TSH levels. None of the SNPs in the genes coding for D2 or D3 had any influence on hormone levels.\nCONCLUSIONS: This study provides convincing evidence that common genetic variation in DIO1 alters deiodinase function, resulting in an alteration in the balance of circulating free T(3) to free T(4). This should prove a valuable tool to assess the relative effects of circulating free T(3) vs. free T(4) on a wide range of biological parameters.","container-title":"The Journal of Clinical Endocrinology and Metabolism","DOI":"10.1210/jc.2008-0397","ISSN":"0021-972X","issue":"8","journalAbbreviation":"J Clin Endocrinol Metab","language":"eng","note":"PMID: 18492748\nPMCID: PMC2515080","page":"3075-3081","source":"PubMed","title":"A common variation in deiodinase 1 gene DIO1 is associated with the relative levels of free thyroxine and triiodothyronine","volume":"93","author":[{"family":"Panicker","given":"Vijay"},{"family":"Cluett","given":"Christie"},{"family":"Shields","given":"Beverley"},{"family":"Murray","given":"Anna"},{"family":"Parnell","given":"Kirstie S."},{"family":"Perry","given":"John R. B."},{"family":"Weedon","given":"Michael N."},{"family":"Singleton","given":"Andrew"},{"family":"Hernandez","given":"Dena"},{"family":"Evans","given":"Jonathan"},{"family":"Durant","given":"Claire"},{"family":"Ferrucci","given":"Luigi"},{"family":"Melzer","given":"David"},{"family":"Saravanan","given":"Ponnusamy"},{"family":"Visser","given":"Theo J."},{"family":"Ceresini","given":"Graziano"},{"family":"Hattersley","given":"Andrew T."},{"family":"Vaidya","given":"Bijay"},{"family":"Dayan","given":"Colin M."},{"family":"Frayling","given":"Timothy M."}],"issued":{"date-parts":[["2008",8]]}}}],"schema":"https://github.com/citation-style-language/schema/raw/master/csl-citation.json"} </w:instrText>
      </w:r>
      <w:r w:rsidR="006925FE">
        <w:rPr>
          <w:color w:val="000000" w:themeColor="text1"/>
          <w:shd w:val="clear" w:color="auto" w:fill="FFFFFF"/>
        </w:rPr>
        <w:fldChar w:fldCharType="separate"/>
      </w:r>
      <w:r w:rsidR="00993E16">
        <w:rPr>
          <w:noProof/>
          <w:color w:val="000000" w:themeColor="text1"/>
          <w:shd w:val="clear" w:color="auto" w:fill="FFFFFF"/>
        </w:rPr>
        <w:t>(121)</w:t>
      </w:r>
      <w:r w:rsidR="006925FE">
        <w:rPr>
          <w:color w:val="000000" w:themeColor="text1"/>
          <w:shd w:val="clear" w:color="auto" w:fill="FFFFFF"/>
        </w:rPr>
        <w:fldChar w:fldCharType="end"/>
      </w:r>
      <w:r w:rsidR="006925FE">
        <w:rPr>
          <w:color w:val="000000" w:themeColor="text1"/>
          <w:shd w:val="clear" w:color="auto" w:fill="FFFFFF"/>
        </w:rPr>
        <w:t>. A</w:t>
      </w:r>
      <w:r w:rsidR="007F2F98" w:rsidRPr="00A30C7C">
        <w:rPr>
          <w:color w:val="000000" w:themeColor="text1"/>
          <w:shd w:val="clear" w:color="auto" w:fill="FFFFFF"/>
        </w:rPr>
        <w:t xml:space="preserve">nalisaram </w:t>
      </w:r>
      <w:r w:rsidR="00A30C7C">
        <w:rPr>
          <w:color w:val="000000" w:themeColor="text1"/>
          <w:shd w:val="clear" w:color="auto" w:fill="FFFFFF"/>
        </w:rPr>
        <w:t xml:space="preserve">inicialmente </w:t>
      </w:r>
      <w:r w:rsidR="007F2F98" w:rsidRPr="00A30C7C">
        <w:rPr>
          <w:color w:val="000000" w:themeColor="text1"/>
          <w:shd w:val="clear" w:color="auto" w:fill="FFFFFF"/>
        </w:rPr>
        <w:t>uma coorte com 552 indivíduos</w:t>
      </w:r>
      <w:r w:rsidR="009B52AC">
        <w:rPr>
          <w:color w:val="000000" w:themeColor="text1"/>
          <w:shd w:val="clear" w:color="auto" w:fill="FFFFFF"/>
        </w:rPr>
        <w:t xml:space="preserve"> (460 do sexo feminino, 92 do sexo masculino), com idade de 57,2 </w:t>
      </w:r>
      <w:r w:rsidR="009B52AC" w:rsidRPr="00DD4BEC">
        <w:rPr>
          <w:color w:val="1F1F1F"/>
          <w:shd w:val="clear" w:color="auto" w:fill="FFFFFF"/>
        </w:rPr>
        <w:t>± </w:t>
      </w:r>
      <w:r w:rsidR="009B52AC">
        <w:rPr>
          <w:lang w:eastAsia="en-US"/>
        </w:rPr>
        <w:t>10,8</w:t>
      </w:r>
      <w:r w:rsidR="009B52AC" w:rsidRPr="00DD4BEC">
        <w:rPr>
          <w:lang w:eastAsia="en-US"/>
        </w:rPr>
        <w:t xml:space="preserve"> anos (média </w:t>
      </w:r>
      <w:r w:rsidR="009B52AC" w:rsidRPr="00DD4BEC">
        <w:rPr>
          <w:color w:val="1F1F1F"/>
          <w:shd w:val="clear" w:color="auto" w:fill="FFFFFF"/>
        </w:rPr>
        <w:t>± DP)</w:t>
      </w:r>
      <w:r w:rsidR="00D454C0">
        <w:rPr>
          <w:color w:val="1F1F1F"/>
          <w:shd w:val="clear" w:color="auto" w:fill="FFFFFF"/>
        </w:rPr>
        <w:t xml:space="preserve"> </w:t>
      </w:r>
      <w:r w:rsidR="00A30C7C">
        <w:rPr>
          <w:color w:val="000000" w:themeColor="text1"/>
          <w:shd w:val="clear" w:color="auto" w:fill="FFFFFF"/>
        </w:rPr>
        <w:t xml:space="preserve">em terapia substitutiva de T4 </w:t>
      </w:r>
      <w:r w:rsidR="00FE2BCF">
        <w:rPr>
          <w:color w:val="000000" w:themeColor="text1"/>
          <w:shd w:val="clear" w:color="auto" w:fill="FFFFFF"/>
        </w:rPr>
        <w:fldChar w:fldCharType="begin"/>
      </w:r>
      <w:r w:rsidR="00993E16">
        <w:rPr>
          <w:color w:val="000000" w:themeColor="text1"/>
          <w:shd w:val="clear" w:color="auto" w:fill="FFFFFF"/>
        </w:rPr>
        <w:instrText xml:space="preserve"> ADDIN ZOTERO_ITEM CSL_CITATION {"citationID":"Xa4ALSLx","properties":{"formattedCitation":"(121)","plainCitation":"(121)","noteIndex":0},"citationItems":[{"id":910,"uris":["http://zotero.org/users/7110448/items/GT5FZTCY"],"itemData":{"id":910,"type":"article-journal","abstract":"INTRODUCTION: Genetic factors influence circulating thyroid hormone levels, but the common gene variants involved have not been conclusively identified. The genes encoding the iodothyronine deiodinases are good candidates because they alter the balance of thyroid hormones. We aimed to thoroughly examine the role of common variation across the three deiodinase genes in relation to thyroid hormones.\nMETHODS: We used HapMap data to select single-nucleotide polymorphisms (SNPs) that captured a large proportion of the common genetic variation across the three deiodinase genes. We analyzed these initially in a cohort of 552 people on T(4) replacement. Suggestive findings were taken forward into three additional studies in people not on T(4) (total n = 2513) and metaanalyzed for confirmation.\nRESULTS: A SNP in the DIO1 gene, rs2235544, was associated with the free T(3) to free T(4) ratio with genome-wide levels of significance (P = 3.6 x 10(-13)). The C-allele of this SNP was associated with increased deiodinase 1 (D1) function with resulting increase in free T(3)/T(4) ratio and free T(3) and decrease in free T(4) and rT(3). There was no effect on serum TSH levels. None of the SNPs in the genes coding for D2 or D3 had any influence on hormone levels.\nCONCLUSIONS: This study provides convincing evidence that common genetic variation in DIO1 alters deiodinase function, resulting in an alteration in the balance of circulating free T(3) to free T(4). This should prove a valuable tool to assess the relative effects of circulating free T(3) vs. free T(4) on a wide range of biological parameters.","container-title":"The Journal of Clinical Endocrinology and Metabolism","DOI":"10.1210/jc.2008-0397","ISSN":"0021-972X","issue":"8","journalAbbreviation":"J Clin Endocrinol Metab","language":"eng","note":"PMID: 18492748\nPMCID: PMC2515080","page":"3075-3081","source":"PubMed","title":"A common variation in deiodinase 1 gene DIO1 is associated with the relative levels of free thyroxine and triiodothyronine","volume":"93","author":[{"family":"Panicker","given":"Vijay"},{"family":"Cluett","given":"Christie"},{"family":"Shields","given":"Beverley"},{"family":"Murray","given":"Anna"},{"family":"Parnell","given":"Kirstie S."},{"family":"Perry","given":"John R. B."},{"family":"Weedon","given":"Michael N."},{"family":"Singleton","given":"Andrew"},{"family":"Hernandez","given":"Dena"},{"family":"Evans","given":"Jonathan"},{"family":"Durant","given":"Claire"},{"family":"Ferrucci","given":"Luigi"},{"family":"Melzer","given":"David"},{"family":"Saravanan","given":"Ponnusamy"},{"family":"Visser","given":"Theo J."},{"family":"Ceresini","given":"Graziano"},{"family":"Hattersley","given":"Andrew T."},{"family":"Vaidya","given":"Bijay"},{"family":"Dayan","given":"Colin M."},{"family":"Frayling","given":"Timothy M."}],"issued":{"date-parts":[["2008",8]]}}}],"schema":"https://github.com/citation-style-language/schema/raw/master/csl-citation.json"} </w:instrText>
      </w:r>
      <w:r w:rsidR="00FE2BCF">
        <w:rPr>
          <w:color w:val="000000" w:themeColor="text1"/>
          <w:shd w:val="clear" w:color="auto" w:fill="FFFFFF"/>
        </w:rPr>
        <w:fldChar w:fldCharType="separate"/>
      </w:r>
      <w:r w:rsidR="00993E16">
        <w:rPr>
          <w:noProof/>
          <w:color w:val="000000" w:themeColor="text1"/>
          <w:shd w:val="clear" w:color="auto" w:fill="FFFFFF"/>
        </w:rPr>
        <w:t>(121)</w:t>
      </w:r>
      <w:r w:rsidR="00FE2BCF">
        <w:rPr>
          <w:color w:val="000000" w:themeColor="text1"/>
          <w:shd w:val="clear" w:color="auto" w:fill="FFFFFF"/>
        </w:rPr>
        <w:fldChar w:fldCharType="end"/>
      </w:r>
      <w:r w:rsidR="00A30C7C">
        <w:rPr>
          <w:color w:val="000000" w:themeColor="text1"/>
          <w:shd w:val="clear" w:color="auto" w:fill="FFFFFF"/>
        </w:rPr>
        <w:t>.</w:t>
      </w:r>
      <w:r w:rsidR="00FE2BCF">
        <w:rPr>
          <w:color w:val="000000" w:themeColor="text1"/>
          <w:shd w:val="clear" w:color="auto" w:fill="FFFFFF"/>
        </w:rPr>
        <w:t xml:space="preserve"> </w:t>
      </w:r>
      <w:r w:rsidR="00A30C7C">
        <w:rPr>
          <w:color w:val="000000" w:themeColor="text1"/>
          <w:shd w:val="clear" w:color="auto" w:fill="FFFFFF"/>
        </w:rPr>
        <w:t>D</w:t>
      </w:r>
      <w:r w:rsidRPr="00A30C7C">
        <w:rPr>
          <w:color w:val="000000" w:themeColor="text1"/>
          <w:shd w:val="clear" w:color="auto" w:fill="FFFFFF"/>
        </w:rPr>
        <w:t xml:space="preserve">emonstraram </w:t>
      </w:r>
      <w:r w:rsidR="008F2EAC" w:rsidRPr="00A30C7C">
        <w:rPr>
          <w:color w:val="000000" w:themeColor="text1"/>
          <w:shd w:val="clear" w:color="auto" w:fill="FFFFFF"/>
        </w:rPr>
        <w:t xml:space="preserve">associação entre </w:t>
      </w:r>
      <w:r w:rsidR="00F05BDA" w:rsidRPr="00A30C7C">
        <w:rPr>
          <w:color w:val="000000" w:themeColor="text1"/>
          <w:shd w:val="clear" w:color="auto" w:fill="FFFFFF"/>
        </w:rPr>
        <w:t xml:space="preserve">alelo </w:t>
      </w:r>
      <w:r w:rsidR="008F2EAC" w:rsidRPr="00A30C7C">
        <w:rPr>
          <w:color w:val="000000" w:themeColor="text1"/>
          <w:shd w:val="clear" w:color="auto" w:fill="FFFFFF"/>
        </w:rPr>
        <w:t>selvagem deste polimorfismo</w:t>
      </w:r>
      <w:r w:rsidR="00A30C7C">
        <w:rPr>
          <w:color w:val="000000" w:themeColor="text1"/>
          <w:shd w:val="clear" w:color="auto" w:fill="FFFFFF"/>
        </w:rPr>
        <w:t xml:space="preserve"> (“C”)</w:t>
      </w:r>
      <w:r w:rsidR="002A0074" w:rsidRPr="00A30C7C">
        <w:rPr>
          <w:color w:val="000000" w:themeColor="text1"/>
          <w:shd w:val="clear" w:color="auto" w:fill="FFFFFF"/>
        </w:rPr>
        <w:t xml:space="preserve"> </w:t>
      </w:r>
      <w:r w:rsidR="00A30C7C">
        <w:rPr>
          <w:color w:val="000000" w:themeColor="text1"/>
          <w:shd w:val="clear" w:color="auto" w:fill="FFFFFF"/>
        </w:rPr>
        <w:t xml:space="preserve">e ganho de função da DIO1 com </w:t>
      </w:r>
      <w:r w:rsidR="00FE2BCF">
        <w:rPr>
          <w:color w:val="000000" w:themeColor="text1"/>
          <w:shd w:val="clear" w:color="auto" w:fill="FFFFFF"/>
        </w:rPr>
        <w:t xml:space="preserve">consequente </w:t>
      </w:r>
      <w:r w:rsidR="00FE2BCF" w:rsidRPr="00A30C7C">
        <w:rPr>
          <w:color w:val="000000" w:themeColor="text1"/>
          <w:shd w:val="clear" w:color="auto" w:fill="FFFFFF"/>
        </w:rPr>
        <w:t>aumento</w:t>
      </w:r>
      <w:r w:rsidR="00A30C7C">
        <w:rPr>
          <w:color w:val="000000" w:themeColor="text1"/>
          <w:shd w:val="clear" w:color="auto" w:fill="FFFFFF"/>
        </w:rPr>
        <w:t xml:space="preserve"> da relação T3l : T4l e diminuição de T4l, sem efeito sobre TSH</w:t>
      </w:r>
      <w:r w:rsidR="001C17F9">
        <w:rPr>
          <w:color w:val="000000" w:themeColor="text1"/>
          <w:shd w:val="clear" w:color="auto" w:fill="FFFFFF"/>
        </w:rPr>
        <w:t xml:space="preserve"> </w:t>
      </w:r>
      <w:r w:rsidR="00FE2BCF">
        <w:rPr>
          <w:color w:val="000000" w:themeColor="text1"/>
          <w:shd w:val="clear" w:color="auto" w:fill="FFFFFF"/>
        </w:rPr>
        <w:fldChar w:fldCharType="begin"/>
      </w:r>
      <w:r w:rsidR="00993E16">
        <w:rPr>
          <w:color w:val="000000" w:themeColor="text1"/>
          <w:shd w:val="clear" w:color="auto" w:fill="FFFFFF"/>
        </w:rPr>
        <w:instrText xml:space="preserve"> ADDIN ZOTERO_ITEM CSL_CITATION {"citationID":"iUSP9JN3","properties":{"formattedCitation":"(121)","plainCitation":"(121)","noteIndex":0},"citationItems":[{"id":910,"uris":["http://zotero.org/users/7110448/items/GT5FZTCY"],"itemData":{"id":910,"type":"article-journal","abstract":"INTRODUCTION: Genetic factors influence circulating thyroid hormone levels, but the common gene variants involved have not been conclusively identified. The genes encoding the iodothyronine deiodinases are good candidates because they alter the balance of thyroid hormones. We aimed to thoroughly examine the role of common variation across the three deiodinase genes in relation to thyroid hormones.\nMETHODS: We used HapMap data to select single-nucleotide polymorphisms (SNPs) that captured a large proportion of the common genetic variation across the three deiodinase genes. We analyzed these initially in a cohort of 552 people on T(4) replacement. Suggestive findings were taken forward into three additional studies in people not on T(4) (total n = 2513) and metaanalyzed for confirmation.\nRESULTS: A SNP in the DIO1 gene, rs2235544, was associated with the free T(3) to free T(4) ratio with genome-wide levels of significance (P = 3.6 x 10(-13)). The C-allele of this SNP was associated with increased deiodinase 1 (D1) function with resulting increase in free T(3)/T(4) ratio and free T(3) and decrease in free T(4) and rT(3). There was no effect on serum TSH levels. None of the SNPs in the genes coding for D2 or D3 had any influence on hormone levels.\nCONCLUSIONS: This study provides convincing evidence that common genetic variation in DIO1 alters deiodinase function, resulting in an alteration in the balance of circulating free T(3) to free T(4). This should prove a valuable tool to assess the relative effects of circulating free T(3) vs. free T(4) on a wide range of biological parameters.","container-title":"The Journal of Clinical Endocrinology and Metabolism","DOI":"10.1210/jc.2008-0397","ISSN":"0021-972X","issue":"8","journalAbbreviation":"J Clin Endocrinol Metab","language":"eng","note":"PMID: 18492748\nPMCID: PMC2515080","page":"3075-3081","source":"PubMed","title":"A common variation in deiodinase 1 gene DIO1 is associated with the relative levels of free thyroxine and triiodothyronine","volume":"93","author":[{"family":"Panicker","given":"Vijay"},{"family":"Cluett","given":"Christie"},{"family":"Shields","given":"Beverley"},{"family":"Murray","given":"Anna"},{"family":"Parnell","given":"Kirstie S."},{"family":"Perry","given":"John R. B."},{"family":"Weedon","given":"Michael N."},{"family":"Singleton","given":"Andrew"},{"family":"Hernandez","given":"Dena"},{"family":"Evans","given":"Jonathan"},{"family":"Durant","given":"Claire"},{"family":"Ferrucci","given":"Luigi"},{"family":"Melzer","given":"David"},{"family":"Saravanan","given":"Ponnusamy"},{"family":"Visser","given":"Theo J."},{"family":"Ceresini","given":"Graziano"},{"family":"Hattersley","given":"Andrew T."},{"family":"Vaidya","given":"Bijay"},{"family":"Dayan","given":"Colin M."},{"family":"Frayling","given":"Timothy M."}],"issued":{"date-parts":[["2008",8]]}}}],"schema":"https://github.com/citation-style-language/schema/raw/master/csl-citation.json"} </w:instrText>
      </w:r>
      <w:r w:rsidR="00FE2BCF">
        <w:rPr>
          <w:color w:val="000000" w:themeColor="text1"/>
          <w:shd w:val="clear" w:color="auto" w:fill="FFFFFF"/>
        </w:rPr>
        <w:fldChar w:fldCharType="separate"/>
      </w:r>
      <w:r w:rsidR="00993E16">
        <w:rPr>
          <w:noProof/>
          <w:color w:val="000000" w:themeColor="text1"/>
          <w:shd w:val="clear" w:color="auto" w:fill="FFFFFF"/>
        </w:rPr>
        <w:t>(121)</w:t>
      </w:r>
      <w:r w:rsidR="00FE2BCF">
        <w:rPr>
          <w:color w:val="000000" w:themeColor="text1"/>
          <w:shd w:val="clear" w:color="auto" w:fill="FFFFFF"/>
        </w:rPr>
        <w:fldChar w:fldCharType="end"/>
      </w:r>
      <w:r w:rsidR="00161799">
        <w:rPr>
          <w:color w:val="000000" w:themeColor="text1"/>
          <w:shd w:val="clear" w:color="auto" w:fill="FFFFFF"/>
        </w:rPr>
        <w:t xml:space="preserve">. Tais associações foram confirmadas </w:t>
      </w:r>
      <w:r w:rsidR="00D454C0">
        <w:rPr>
          <w:color w:val="000000" w:themeColor="text1"/>
          <w:shd w:val="clear" w:color="auto" w:fill="FFFFFF"/>
        </w:rPr>
        <w:t>por metan</w:t>
      </w:r>
      <w:r w:rsidR="00D21434">
        <w:rPr>
          <w:color w:val="000000" w:themeColor="text1"/>
          <w:shd w:val="clear" w:color="auto" w:fill="FFFFFF"/>
        </w:rPr>
        <w:t>á</w:t>
      </w:r>
      <w:r w:rsidR="00D454C0">
        <w:rPr>
          <w:color w:val="000000" w:themeColor="text1"/>
          <w:shd w:val="clear" w:color="auto" w:fill="FFFFFF"/>
        </w:rPr>
        <w:t xml:space="preserve">lise de dados de </w:t>
      </w:r>
      <w:r w:rsidR="00161799">
        <w:rPr>
          <w:color w:val="000000" w:themeColor="text1"/>
          <w:shd w:val="clear" w:color="auto" w:fill="FFFFFF"/>
        </w:rPr>
        <w:t>estudos adicionais</w:t>
      </w:r>
      <w:r w:rsidR="00D454C0">
        <w:rPr>
          <w:color w:val="000000" w:themeColor="text1"/>
          <w:shd w:val="clear" w:color="auto" w:fill="FFFFFF"/>
        </w:rPr>
        <w:t xml:space="preserve"> </w:t>
      </w:r>
      <w:r w:rsidR="00161799">
        <w:rPr>
          <w:color w:val="000000" w:themeColor="text1"/>
          <w:shd w:val="clear" w:color="auto" w:fill="FFFFFF"/>
        </w:rPr>
        <w:t>com amostras de base populacional</w:t>
      </w:r>
      <w:r w:rsidR="00D454C0">
        <w:rPr>
          <w:color w:val="000000" w:themeColor="text1"/>
          <w:shd w:val="clear" w:color="auto" w:fill="FFFFFF"/>
        </w:rPr>
        <w:t xml:space="preserve"> pelos autores,</w:t>
      </w:r>
      <w:r w:rsidR="004D7946">
        <w:rPr>
          <w:color w:val="000000" w:themeColor="text1"/>
          <w:shd w:val="clear" w:color="auto" w:fill="FFFFFF"/>
        </w:rPr>
        <w:t xml:space="preserve"> após exclusão de indivíduos com doença tireoidiana</w:t>
      </w:r>
      <w:r w:rsidR="00D454C0">
        <w:rPr>
          <w:color w:val="000000" w:themeColor="text1"/>
          <w:shd w:val="clear" w:color="auto" w:fill="FFFFFF"/>
        </w:rPr>
        <w:t xml:space="preserve">: </w:t>
      </w:r>
      <w:r w:rsidR="004D7946" w:rsidRPr="00A322DB">
        <w:rPr>
          <w:i/>
          <w:color w:val="000000"/>
          <w:shd w:val="clear" w:color="auto" w:fill="FFFFFF"/>
        </w:rPr>
        <w:t xml:space="preserve">Exeter Family Study </w:t>
      </w:r>
      <w:proofErr w:type="spellStart"/>
      <w:r w:rsidR="004D7946" w:rsidRPr="00A322DB">
        <w:rPr>
          <w:i/>
          <w:color w:val="000000"/>
          <w:shd w:val="clear" w:color="auto" w:fill="FFFFFF"/>
        </w:rPr>
        <w:t>of</w:t>
      </w:r>
      <w:proofErr w:type="spellEnd"/>
      <w:r w:rsidR="004D7946" w:rsidRPr="00A322DB">
        <w:rPr>
          <w:i/>
          <w:color w:val="000000"/>
          <w:shd w:val="clear" w:color="auto" w:fill="FFFFFF"/>
        </w:rPr>
        <w:t xml:space="preserve"> </w:t>
      </w:r>
      <w:proofErr w:type="spellStart"/>
      <w:r w:rsidR="004D7946" w:rsidRPr="00A322DB">
        <w:rPr>
          <w:i/>
          <w:color w:val="000000"/>
          <w:shd w:val="clear" w:color="auto" w:fill="FFFFFF"/>
        </w:rPr>
        <w:t>Childhood</w:t>
      </w:r>
      <w:proofErr w:type="spellEnd"/>
      <w:r w:rsidR="004D7946" w:rsidRPr="00A322DB">
        <w:rPr>
          <w:i/>
          <w:color w:val="000000"/>
          <w:shd w:val="clear" w:color="auto" w:fill="FFFFFF"/>
        </w:rPr>
        <w:t xml:space="preserve"> Health</w:t>
      </w:r>
      <w:r w:rsidR="004D7946">
        <w:rPr>
          <w:color w:val="000000"/>
          <w:sz w:val="28"/>
          <w:szCs w:val="28"/>
          <w:shd w:val="clear" w:color="auto" w:fill="FFFFFF"/>
        </w:rPr>
        <w:t xml:space="preserve"> (</w:t>
      </w:r>
      <w:r w:rsidR="00161799">
        <w:rPr>
          <w:color w:val="000000" w:themeColor="text1"/>
          <w:shd w:val="clear" w:color="auto" w:fill="FFFFFF"/>
        </w:rPr>
        <w:t>EFSOCH</w:t>
      </w:r>
      <w:r w:rsidR="004D7946">
        <w:rPr>
          <w:color w:val="000000" w:themeColor="text1"/>
          <w:shd w:val="clear" w:color="auto" w:fill="FFFFFF"/>
        </w:rPr>
        <w:t>),</w:t>
      </w:r>
      <w:r w:rsidR="00161799">
        <w:rPr>
          <w:color w:val="000000" w:themeColor="text1"/>
          <w:shd w:val="clear" w:color="auto" w:fill="FFFFFF"/>
        </w:rPr>
        <w:t xml:space="preserve"> n=877, 100% homens, idade </w:t>
      </w:r>
      <w:r w:rsidR="004D7946">
        <w:rPr>
          <w:color w:val="000000" w:themeColor="text1"/>
          <w:shd w:val="clear" w:color="auto" w:fill="FFFFFF"/>
        </w:rPr>
        <w:t xml:space="preserve">média </w:t>
      </w:r>
      <w:r w:rsidR="00161799">
        <w:rPr>
          <w:color w:val="000000" w:themeColor="text1"/>
          <w:shd w:val="clear" w:color="auto" w:fill="FFFFFF"/>
        </w:rPr>
        <w:t xml:space="preserve">32,7 </w:t>
      </w:r>
      <w:r w:rsidR="00161799" w:rsidRPr="00DD4BEC">
        <w:rPr>
          <w:color w:val="1F1F1F"/>
          <w:shd w:val="clear" w:color="auto" w:fill="FFFFFF"/>
        </w:rPr>
        <w:t>± </w:t>
      </w:r>
      <w:r w:rsidR="00161799" w:rsidRPr="004D7946">
        <w:rPr>
          <w:lang w:eastAsia="en-US"/>
        </w:rPr>
        <w:t>5,9 anos</w:t>
      </w:r>
      <w:r w:rsidR="004D7946" w:rsidRPr="004D7946">
        <w:rPr>
          <w:lang w:eastAsia="en-US"/>
        </w:rPr>
        <w:t xml:space="preserve">; </w:t>
      </w:r>
      <w:proofErr w:type="spellStart"/>
      <w:r w:rsidR="004D7946" w:rsidRPr="00A322DB">
        <w:rPr>
          <w:i/>
          <w:color w:val="000000"/>
          <w:shd w:val="clear" w:color="auto" w:fill="FFFFFF"/>
        </w:rPr>
        <w:t>Invecchiare</w:t>
      </w:r>
      <w:proofErr w:type="spellEnd"/>
      <w:r w:rsidR="004D7946" w:rsidRPr="00A322DB">
        <w:rPr>
          <w:i/>
          <w:color w:val="000000"/>
          <w:shd w:val="clear" w:color="auto" w:fill="FFFFFF"/>
        </w:rPr>
        <w:t xml:space="preserve"> in </w:t>
      </w:r>
      <w:proofErr w:type="spellStart"/>
      <w:r w:rsidR="004D7946" w:rsidRPr="00A322DB">
        <w:rPr>
          <w:i/>
          <w:color w:val="000000"/>
          <w:shd w:val="clear" w:color="auto" w:fill="FFFFFF"/>
        </w:rPr>
        <w:t>Chianti</w:t>
      </w:r>
      <w:proofErr w:type="spellEnd"/>
      <w:r w:rsidR="004D7946" w:rsidRPr="004D7946">
        <w:rPr>
          <w:lang w:eastAsia="en-US"/>
        </w:rPr>
        <w:t xml:space="preserve"> </w:t>
      </w:r>
      <w:r w:rsidR="004D7946">
        <w:rPr>
          <w:lang w:eastAsia="en-US"/>
        </w:rPr>
        <w:t>(</w:t>
      </w:r>
      <w:proofErr w:type="spellStart"/>
      <w:r w:rsidR="00161799">
        <w:rPr>
          <w:color w:val="000000" w:themeColor="text1"/>
          <w:shd w:val="clear" w:color="auto" w:fill="FFFFFF"/>
        </w:rPr>
        <w:t>InCHIANTI</w:t>
      </w:r>
      <w:proofErr w:type="spellEnd"/>
      <w:r w:rsidR="004D7946">
        <w:rPr>
          <w:color w:val="000000" w:themeColor="text1"/>
          <w:shd w:val="clear" w:color="auto" w:fill="FFFFFF"/>
        </w:rPr>
        <w:t xml:space="preserve">), </w:t>
      </w:r>
      <w:r w:rsidR="00161799">
        <w:rPr>
          <w:color w:val="000000" w:themeColor="text1"/>
          <w:shd w:val="clear" w:color="auto" w:fill="FFFFFF"/>
        </w:rPr>
        <w:t>n=1200,</w:t>
      </w:r>
      <w:r w:rsidR="004D7946">
        <w:rPr>
          <w:color w:val="000000" w:themeColor="text1"/>
          <w:shd w:val="clear" w:color="auto" w:fill="FFFFFF"/>
        </w:rPr>
        <w:t xml:space="preserve"> 55,2% mulheres e 44,8% homens, idade média 68,4 </w:t>
      </w:r>
      <w:r w:rsidR="004D7946" w:rsidRPr="00DD4BEC">
        <w:rPr>
          <w:color w:val="1F1F1F"/>
          <w:shd w:val="clear" w:color="auto" w:fill="FFFFFF"/>
        </w:rPr>
        <w:t>± </w:t>
      </w:r>
      <w:r w:rsidR="004D7946">
        <w:rPr>
          <w:lang w:eastAsia="en-US"/>
        </w:rPr>
        <w:t>15,5</w:t>
      </w:r>
      <w:r w:rsidR="004D7946" w:rsidRPr="00DD4BEC">
        <w:rPr>
          <w:lang w:eastAsia="en-US"/>
        </w:rPr>
        <w:t xml:space="preserve"> anos</w:t>
      </w:r>
      <w:r w:rsidR="004D7946">
        <w:rPr>
          <w:lang w:eastAsia="en-US"/>
        </w:rPr>
        <w:t>;</w:t>
      </w:r>
      <w:r w:rsidR="00D454C0">
        <w:rPr>
          <w:lang w:eastAsia="en-US"/>
        </w:rPr>
        <w:t xml:space="preserve"> </w:t>
      </w:r>
      <w:r w:rsidR="004D7946" w:rsidRPr="00A322DB">
        <w:rPr>
          <w:i/>
          <w:color w:val="000000"/>
          <w:shd w:val="clear" w:color="auto" w:fill="FFFFFF"/>
        </w:rPr>
        <w:t xml:space="preserve">Depressão e Doença da </w:t>
      </w:r>
      <w:r w:rsidR="00D454C0" w:rsidRPr="00A322DB">
        <w:rPr>
          <w:i/>
          <w:color w:val="000000"/>
          <w:shd w:val="clear" w:color="auto" w:fill="FFFFFF"/>
        </w:rPr>
        <w:t>Tireoide</w:t>
      </w:r>
      <w:r w:rsidR="004D7946" w:rsidRPr="004D7946">
        <w:rPr>
          <w:color w:val="000000"/>
          <w:shd w:val="clear" w:color="auto" w:fill="FFFFFF"/>
        </w:rPr>
        <w:t xml:space="preserve"> (DEPTH)</w:t>
      </w:r>
      <w:r w:rsidR="00D454C0">
        <w:rPr>
          <w:color w:val="000000"/>
          <w:shd w:val="clear" w:color="auto" w:fill="FFFFFF"/>
        </w:rPr>
        <w:t>,</w:t>
      </w:r>
      <w:r w:rsidR="004D7946">
        <w:rPr>
          <w:lang w:eastAsia="en-US"/>
        </w:rPr>
        <w:t xml:space="preserve"> n=436, 76,8% mulheres e 23,2% homens, idade média 43,6 </w:t>
      </w:r>
      <w:r w:rsidR="004D7946">
        <w:rPr>
          <w:color w:val="000000" w:themeColor="text1"/>
          <w:shd w:val="clear" w:color="auto" w:fill="FFFFFF"/>
        </w:rPr>
        <w:t xml:space="preserve"> </w:t>
      </w:r>
      <w:r w:rsidR="004D7946" w:rsidRPr="00DD4BEC">
        <w:rPr>
          <w:color w:val="1F1F1F"/>
          <w:shd w:val="clear" w:color="auto" w:fill="FFFFFF"/>
        </w:rPr>
        <w:t>± </w:t>
      </w:r>
      <w:r w:rsidR="004D7946">
        <w:rPr>
          <w:lang w:eastAsia="en-US"/>
        </w:rPr>
        <w:t>15</w:t>
      </w:r>
      <w:r w:rsidR="004D7946" w:rsidRPr="00DD4BEC">
        <w:rPr>
          <w:lang w:eastAsia="en-US"/>
        </w:rPr>
        <w:t xml:space="preserve"> anos</w:t>
      </w:r>
      <w:r w:rsidR="00D454C0">
        <w:rPr>
          <w:lang w:eastAsia="en-US"/>
        </w:rPr>
        <w:t xml:space="preserve"> </w:t>
      </w:r>
      <w:r w:rsidR="00D454C0">
        <w:rPr>
          <w:lang w:eastAsia="en-US"/>
        </w:rPr>
        <w:fldChar w:fldCharType="begin"/>
      </w:r>
      <w:r w:rsidR="00993E16">
        <w:rPr>
          <w:lang w:eastAsia="en-US"/>
        </w:rPr>
        <w:instrText xml:space="preserve"> ADDIN ZOTERO_ITEM CSL_CITATION {"citationID":"irjD8eI3","properties":{"formattedCitation":"(121)","plainCitation":"(121)","noteIndex":0},"citationItems":[{"id":910,"uris":["http://zotero.org/users/7110448/items/GT5FZTCY"],"itemData":{"id":910,"type":"article-journal","abstract":"INTRODUCTION: Genetic factors influence circulating thyroid hormone levels, but the common gene variants involved have not been conclusively identified. The genes encoding the iodothyronine deiodinases are good candidates because they alter the balance of thyroid hormones. We aimed to thoroughly examine the role of common variation across the three deiodinase genes in relation to thyroid hormones.\nMETHODS: We used HapMap data to select single-nucleotide polymorphisms (SNPs) that captured a large proportion of the common genetic variation across the three deiodinase genes. We analyzed these initially in a cohort of 552 people on T(4) replacement. Suggestive findings were taken forward into three additional studies in people not on T(4) (total n = 2513) and metaanalyzed for confirmation.\nRESULTS: A SNP in the DIO1 gene, rs2235544, was associated with the free T(3) to free T(4) ratio with genome-wide levels of significance (P = 3.6 x 10(-13)). The C-allele of this SNP was associated with increased deiodinase 1 (D1) function with resulting increase in free T(3)/T(4) ratio and free T(3) and decrease in free T(4) and rT(3). There was no effect on serum TSH levels. None of the SNPs in the genes coding for D2 or D3 had any influence on hormone levels.\nCONCLUSIONS: This study provides convincing evidence that common genetic variation in DIO1 alters deiodinase function, resulting in an alteration in the balance of circulating free T(3) to free T(4). This should prove a valuable tool to assess the relative effects of circulating free T(3) vs. free T(4) on a wide range of biological parameters.","container-title":"The Journal of Clinical Endocrinology and Metabolism","DOI":"10.1210/jc.2008-0397","ISSN":"0021-972X","issue":"8","journalAbbreviation":"J Clin Endocrinol Metab","language":"eng","note":"PMID: 18492748\nPMCID: PMC2515080","page":"3075-3081","source":"PubMed","title":"A common variation in deiodinase 1 gene DIO1 is associated with the relative levels of free thyroxine and triiodothyronine","volume":"93","author":[{"family":"Panicker","given":"Vijay"},{"family":"Cluett","given":"Christie"},{"family":"Shields","given":"Beverley"},{"family":"Murray","given":"Anna"},{"family":"Parnell","given":"Kirstie S."},{"family":"Perry","given":"John R. B."},{"family":"Weedon","given":"Michael N."},{"family":"Singleton","given":"Andrew"},{"family":"Hernandez","given":"Dena"},{"family":"Evans","given":"Jonathan"},{"family":"Durant","given":"Claire"},{"family":"Ferrucci","given":"Luigi"},{"family":"Melzer","given":"David"},{"family":"Saravanan","given":"Ponnusamy"},{"family":"Visser","given":"Theo J."},{"family":"Ceresini","given":"Graziano"},{"family":"Hattersley","given":"Andrew T."},{"family":"Vaidya","given":"Bijay"},{"family":"Dayan","given":"Colin M."},{"family":"Frayling","given":"Timothy M."}],"issued":{"date-parts":[["2008",8]]}}}],"schema":"https://github.com/citation-style-language/schema/raw/master/csl-citation.json"} </w:instrText>
      </w:r>
      <w:r w:rsidR="00D454C0">
        <w:rPr>
          <w:lang w:eastAsia="en-US"/>
        </w:rPr>
        <w:fldChar w:fldCharType="separate"/>
      </w:r>
      <w:r w:rsidR="00993E16">
        <w:rPr>
          <w:noProof/>
          <w:lang w:eastAsia="en-US"/>
        </w:rPr>
        <w:t>(121)</w:t>
      </w:r>
      <w:r w:rsidR="00D454C0">
        <w:rPr>
          <w:lang w:eastAsia="en-US"/>
        </w:rPr>
        <w:fldChar w:fldCharType="end"/>
      </w:r>
      <w:r w:rsidR="00D454C0">
        <w:rPr>
          <w:color w:val="000000" w:themeColor="text1"/>
          <w:shd w:val="clear" w:color="auto" w:fill="FFFFFF"/>
        </w:rPr>
        <w:t>.</w:t>
      </w:r>
    </w:p>
    <w:p w14:paraId="6EE5F67D" w14:textId="279A8EBD" w:rsidR="003766A1" w:rsidRDefault="00CC4F09" w:rsidP="003766A1">
      <w:pPr>
        <w:spacing w:line="360" w:lineRule="auto"/>
        <w:jc w:val="both"/>
        <w:rPr>
          <w:color w:val="000000" w:themeColor="text1"/>
          <w:shd w:val="clear" w:color="auto" w:fill="FFFFFF"/>
        </w:rPr>
      </w:pPr>
      <w:r>
        <w:rPr>
          <w:color w:val="000000" w:themeColor="text1"/>
          <w:shd w:val="clear" w:color="auto" w:fill="FFFFFF"/>
        </w:rPr>
        <w:t xml:space="preserve">     </w:t>
      </w:r>
      <w:proofErr w:type="spellStart"/>
      <w:r w:rsidR="00D607DF">
        <w:rPr>
          <w:color w:val="000000" w:themeColor="text1"/>
          <w:shd w:val="clear" w:color="auto" w:fill="FFFFFF"/>
        </w:rPr>
        <w:t>Porcu</w:t>
      </w:r>
      <w:proofErr w:type="spellEnd"/>
      <w:r w:rsidR="00D607DF">
        <w:rPr>
          <w:color w:val="000000" w:themeColor="text1"/>
          <w:shd w:val="clear" w:color="auto" w:fill="FFFFFF"/>
        </w:rPr>
        <w:t xml:space="preserve"> e colaboradores realizaram uma metanálise com GWAS</w:t>
      </w:r>
      <w:r w:rsidR="00D21434">
        <w:rPr>
          <w:color w:val="000000" w:themeColor="text1"/>
          <w:shd w:val="clear" w:color="auto" w:fill="FFFFFF"/>
        </w:rPr>
        <w:t>,</w:t>
      </w:r>
      <w:r w:rsidR="00D607DF">
        <w:rPr>
          <w:color w:val="000000" w:themeColor="text1"/>
          <w:shd w:val="clear" w:color="auto" w:fill="FFFFFF"/>
        </w:rPr>
        <w:t xml:space="preserve"> incluindo 18 estudos para TSH, </w:t>
      </w:r>
      <w:r w:rsidR="00E1726B">
        <w:rPr>
          <w:color w:val="000000" w:themeColor="text1"/>
          <w:shd w:val="clear" w:color="auto" w:fill="FFFFFF"/>
        </w:rPr>
        <w:t xml:space="preserve">com </w:t>
      </w:r>
      <w:r w:rsidR="00D607DF">
        <w:rPr>
          <w:color w:val="000000" w:themeColor="text1"/>
          <w:shd w:val="clear" w:color="auto" w:fill="FFFFFF"/>
        </w:rPr>
        <w:t xml:space="preserve">26.420 </w:t>
      </w:r>
      <w:r w:rsidR="00E1726B">
        <w:rPr>
          <w:color w:val="000000" w:themeColor="text1"/>
          <w:shd w:val="clear" w:color="auto" w:fill="FFFFFF"/>
        </w:rPr>
        <w:t>indivíduos</w:t>
      </w:r>
      <w:r w:rsidR="00D607DF">
        <w:rPr>
          <w:color w:val="000000" w:themeColor="text1"/>
          <w:shd w:val="clear" w:color="auto" w:fill="FFFFFF"/>
        </w:rPr>
        <w:t xml:space="preserve"> </w:t>
      </w:r>
      <w:r w:rsidR="00E1726B">
        <w:rPr>
          <w:color w:val="000000" w:themeColor="text1"/>
          <w:shd w:val="clear" w:color="auto" w:fill="FFFFFF"/>
        </w:rPr>
        <w:t>eutireoidianos,</w:t>
      </w:r>
      <w:r w:rsidR="00D607DF">
        <w:rPr>
          <w:color w:val="000000" w:themeColor="text1"/>
          <w:shd w:val="clear" w:color="auto" w:fill="FFFFFF"/>
        </w:rPr>
        <w:t xml:space="preserve"> e 15 estudos para T4l, </w:t>
      </w:r>
      <w:r w:rsidR="00E1726B">
        <w:rPr>
          <w:color w:val="000000" w:themeColor="text1"/>
          <w:shd w:val="clear" w:color="auto" w:fill="FFFFFF"/>
        </w:rPr>
        <w:t xml:space="preserve">com </w:t>
      </w:r>
      <w:r w:rsidR="00D607DF">
        <w:rPr>
          <w:color w:val="000000" w:themeColor="text1"/>
          <w:shd w:val="clear" w:color="auto" w:fill="FFFFFF"/>
        </w:rPr>
        <w:t xml:space="preserve">17.520 </w:t>
      </w:r>
      <w:r w:rsidR="00E1726B">
        <w:rPr>
          <w:color w:val="000000" w:themeColor="text1"/>
          <w:shd w:val="clear" w:color="auto" w:fill="FFFFFF"/>
        </w:rPr>
        <w:t>indivíduos</w:t>
      </w:r>
      <w:r w:rsidR="00D607DF">
        <w:rPr>
          <w:color w:val="000000" w:themeColor="text1"/>
          <w:shd w:val="clear" w:color="auto" w:fill="FFFFFF"/>
        </w:rPr>
        <w:t xml:space="preserve"> eutireoidianos</w:t>
      </w:r>
      <w:r w:rsidR="009F717D">
        <w:rPr>
          <w:color w:val="000000" w:themeColor="text1"/>
          <w:shd w:val="clear" w:color="auto" w:fill="FFFFFF"/>
        </w:rPr>
        <w:t xml:space="preserve"> </w:t>
      </w:r>
      <w:r w:rsidR="009F717D">
        <w:rPr>
          <w:color w:val="000000" w:themeColor="text1"/>
          <w:shd w:val="clear" w:color="auto" w:fill="FFFFFF"/>
        </w:rPr>
        <w:fldChar w:fldCharType="begin"/>
      </w:r>
      <w:r w:rsidR="00344DCD">
        <w:rPr>
          <w:color w:val="000000" w:themeColor="text1"/>
          <w:shd w:val="clear" w:color="auto" w:fill="FFFFFF"/>
        </w:rPr>
        <w:instrText xml:space="preserve"> ADDIN ZOTERO_ITEM CSL_CITATION {"citationID":"Hs0MFcMB","properties":{"formattedCitation":"(123)","plainCitation":"(123)","noteIndex":0},"citationItems":[{"id":2182,"uris":["http://zotero.org/users/7110448/items/DESBSGUF"],"itemData":{"id":2182,"type":"article-journal","abstract":"Thyroid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Genetics","language":"pt","note":"publisher: Public Library of Science","page":"e1003266","source":"PLoS Journals","title":"A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M.","dropping-particle":"de"},{"family":"Davies","given":"Gail"},{"family":"Visser","given":"Marieke C. H.","dropping-particle":"de"},{"family":"Ford","given":"Ian"},{"family":"Forsen","given":"Tom"},{"family":"Frayling","given":"Timothy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M.","dropping-particle":"van der"},{"family":"Heemst","given":"Diana","dropping-particle":"van"},{"family":"Mullem","given":"Alies","dropping-particle":"van"},{"family":"H.Vermeulen","given":"Sita"},{"family":"Visser","given":"W.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P."},{"family":"Naitza","given":"Silvia"}],"issued":{"date-parts":[["2013",2,7]]}}}],"schema":"https://github.com/citation-style-language/schema/raw/master/csl-citation.json"} </w:instrText>
      </w:r>
      <w:r w:rsidR="009F717D">
        <w:rPr>
          <w:color w:val="000000" w:themeColor="text1"/>
          <w:shd w:val="clear" w:color="auto" w:fill="FFFFFF"/>
        </w:rPr>
        <w:fldChar w:fldCharType="separate"/>
      </w:r>
      <w:r w:rsidR="00993E16">
        <w:rPr>
          <w:noProof/>
          <w:color w:val="000000" w:themeColor="text1"/>
          <w:shd w:val="clear" w:color="auto" w:fill="FFFFFF"/>
        </w:rPr>
        <w:t>(123)</w:t>
      </w:r>
      <w:r w:rsidR="009F717D">
        <w:rPr>
          <w:color w:val="000000" w:themeColor="text1"/>
          <w:shd w:val="clear" w:color="auto" w:fill="FFFFFF"/>
        </w:rPr>
        <w:fldChar w:fldCharType="end"/>
      </w:r>
      <w:r w:rsidR="00D607DF">
        <w:rPr>
          <w:color w:val="000000" w:themeColor="text1"/>
          <w:shd w:val="clear" w:color="auto" w:fill="FFFFFF"/>
        </w:rPr>
        <w:t xml:space="preserve">. </w:t>
      </w:r>
      <w:r w:rsidR="00E1726B">
        <w:rPr>
          <w:color w:val="000000" w:themeColor="text1"/>
          <w:shd w:val="clear" w:color="auto" w:fill="FFFFFF"/>
        </w:rPr>
        <w:t xml:space="preserve">Foi demonstrada associação entre SNPs </w:t>
      </w:r>
      <w:r w:rsidR="009F717D" w:rsidRPr="009F717D">
        <w:rPr>
          <w:color w:val="000000" w:themeColor="text1"/>
          <w:shd w:val="clear" w:color="auto" w:fill="FFFFFF"/>
        </w:rPr>
        <w:t>rs753760</w:t>
      </w:r>
      <w:r w:rsidR="009F717D">
        <w:rPr>
          <w:color w:val="000000" w:themeColor="text1"/>
          <w:shd w:val="clear" w:color="auto" w:fill="FFFFFF"/>
        </w:rPr>
        <w:t xml:space="preserve"> (</w:t>
      </w:r>
      <w:r w:rsidR="009F717D" w:rsidRPr="00E1726B">
        <w:rPr>
          <w:i/>
          <w:iCs/>
          <w:color w:val="000000" w:themeColor="text1"/>
          <w:shd w:val="clear" w:color="auto" w:fill="FFFFFF"/>
        </w:rPr>
        <w:t>gen</w:t>
      </w:r>
      <w:r w:rsidR="009F717D">
        <w:rPr>
          <w:i/>
          <w:iCs/>
          <w:color w:val="000000" w:themeColor="text1"/>
          <w:shd w:val="clear" w:color="auto" w:fill="FFFFFF"/>
        </w:rPr>
        <w:t>e</w:t>
      </w:r>
      <w:r w:rsidR="009F717D" w:rsidRPr="00E1726B">
        <w:rPr>
          <w:i/>
          <w:iCs/>
          <w:color w:val="000000" w:themeColor="text1"/>
          <w:shd w:val="clear" w:color="auto" w:fill="FFFFFF"/>
        </w:rPr>
        <w:t xml:space="preserve"> PDE10A</w:t>
      </w:r>
      <w:r w:rsidR="009F717D">
        <w:rPr>
          <w:color w:val="000000" w:themeColor="text1"/>
          <w:shd w:val="clear" w:color="auto" w:fill="FFFFFF"/>
        </w:rPr>
        <w:t xml:space="preserve">) </w:t>
      </w:r>
      <w:r w:rsidR="00E1726B">
        <w:rPr>
          <w:color w:val="000000" w:themeColor="text1"/>
          <w:shd w:val="clear" w:color="auto" w:fill="FFFFFF"/>
        </w:rPr>
        <w:t>e</w:t>
      </w:r>
      <w:r w:rsidR="00D24FFF">
        <w:rPr>
          <w:color w:val="000000" w:themeColor="text1"/>
          <w:shd w:val="clear" w:color="auto" w:fill="FFFFFF"/>
        </w:rPr>
        <w:t xml:space="preserve"> </w:t>
      </w:r>
      <w:r w:rsidR="009F717D" w:rsidRPr="009F717D">
        <w:rPr>
          <w:color w:val="000000" w:themeColor="text1"/>
          <w:shd w:val="clear" w:color="auto" w:fill="FFFFFF"/>
        </w:rPr>
        <w:t>rs157158</w:t>
      </w:r>
      <w:r w:rsidR="009F717D">
        <w:rPr>
          <w:i/>
          <w:iCs/>
          <w:color w:val="000000" w:themeColor="text1"/>
          <w:shd w:val="clear" w:color="auto" w:fill="FFFFFF"/>
        </w:rPr>
        <w:t xml:space="preserve"> (gene GLIS3),</w:t>
      </w:r>
      <w:r w:rsidR="00E1726B">
        <w:rPr>
          <w:color w:val="000000" w:themeColor="text1"/>
          <w:shd w:val="clear" w:color="auto" w:fill="FFFFFF"/>
        </w:rPr>
        <w:t xml:space="preserve"> com TSH</w:t>
      </w:r>
      <w:r w:rsidR="009F717D">
        <w:rPr>
          <w:color w:val="000000" w:themeColor="text1"/>
          <w:shd w:val="clear" w:color="auto" w:fill="FFFFFF"/>
        </w:rPr>
        <w:t>; rs2235544 (</w:t>
      </w:r>
      <w:r w:rsidR="009F717D" w:rsidRPr="009F717D">
        <w:rPr>
          <w:i/>
          <w:iCs/>
          <w:color w:val="000000" w:themeColor="text1"/>
          <w:shd w:val="clear" w:color="auto" w:fill="FFFFFF"/>
        </w:rPr>
        <w:t>gene DIO1</w:t>
      </w:r>
      <w:r w:rsidR="009F717D">
        <w:rPr>
          <w:color w:val="000000" w:themeColor="text1"/>
          <w:shd w:val="clear" w:color="auto" w:fill="FFFFFF"/>
        </w:rPr>
        <w:t>)</w:t>
      </w:r>
      <w:r w:rsidR="00E1726B">
        <w:rPr>
          <w:color w:val="000000" w:themeColor="text1"/>
          <w:shd w:val="clear" w:color="auto" w:fill="FFFFFF"/>
        </w:rPr>
        <w:t xml:space="preserve"> </w:t>
      </w:r>
      <w:r w:rsidR="00992AA2">
        <w:rPr>
          <w:color w:val="000000" w:themeColor="text1"/>
          <w:shd w:val="clear" w:color="auto" w:fill="FFFFFF"/>
        </w:rPr>
        <w:t>e rs7045138 (gene FOX</w:t>
      </w:r>
      <w:r w:rsidR="005E3317">
        <w:rPr>
          <w:color w:val="000000" w:themeColor="text1"/>
          <w:shd w:val="clear" w:color="auto" w:fill="FFFFFF"/>
        </w:rPr>
        <w:t>E</w:t>
      </w:r>
      <w:r w:rsidR="00992AA2">
        <w:rPr>
          <w:color w:val="000000" w:themeColor="text1"/>
          <w:shd w:val="clear" w:color="auto" w:fill="FFFFFF"/>
        </w:rPr>
        <w:t xml:space="preserve">1), </w:t>
      </w:r>
      <w:r w:rsidR="00E1726B">
        <w:rPr>
          <w:color w:val="000000" w:themeColor="text1"/>
          <w:shd w:val="clear" w:color="auto" w:fill="FFFFFF"/>
        </w:rPr>
        <w:t>com T4l</w:t>
      </w:r>
      <w:r w:rsidR="00D24FFF">
        <w:rPr>
          <w:color w:val="000000" w:themeColor="text1"/>
          <w:shd w:val="clear" w:color="auto" w:fill="FFFFFF"/>
        </w:rPr>
        <w:t xml:space="preserve"> </w:t>
      </w:r>
      <w:r w:rsidR="00D24FFF">
        <w:rPr>
          <w:color w:val="000000" w:themeColor="text1"/>
          <w:shd w:val="clear" w:color="auto" w:fill="FFFFFF"/>
        </w:rPr>
        <w:fldChar w:fldCharType="begin"/>
      </w:r>
      <w:r w:rsidR="00344DCD">
        <w:rPr>
          <w:color w:val="000000" w:themeColor="text1"/>
          <w:shd w:val="clear" w:color="auto" w:fill="FFFFFF"/>
        </w:rPr>
        <w:instrText xml:space="preserve"> ADDIN ZOTERO_ITEM CSL_CITATION {"citationID":"GJoafmb8","properties":{"formattedCitation":"(123)","plainCitation":"(123)","noteIndex":0},"citationItems":[{"id":2182,"uris":["http://zotero.org/users/7110448/items/DESBSGUF"],"itemData":{"id":2182,"type":"article-journal","abstract":"Thyroid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Genetics","language":"pt","note":"publisher: Public Library of Science","page":"e1003266","source":"PLoS Journals","title":"A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M.","dropping-particle":"de"},{"family":"Davies","given":"Gail"},{"family":"Visser","given":"Marieke C. H.","dropping-particle":"de"},{"family":"Ford","given":"Ian"},{"family":"Forsen","given":"Tom"},{"family":"Frayling","given":"Timothy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M.","dropping-particle":"van der"},{"family":"Heemst","given":"Diana","dropping-particle":"van"},{"family":"Mullem","given":"Alies","dropping-particle":"van"},{"family":"H.Vermeulen","given":"Sita"},{"family":"Visser","given":"W.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P."},{"family":"Naitza","given":"Silvia"}],"issued":{"date-parts":[["2013",2,7]]}}}],"schema":"https://github.com/citation-style-language/schema/raw/master/csl-citation.json"} </w:instrText>
      </w:r>
      <w:r w:rsidR="00D24FFF">
        <w:rPr>
          <w:color w:val="000000" w:themeColor="text1"/>
          <w:shd w:val="clear" w:color="auto" w:fill="FFFFFF"/>
        </w:rPr>
        <w:fldChar w:fldCharType="separate"/>
      </w:r>
      <w:r w:rsidR="00993E16">
        <w:rPr>
          <w:noProof/>
          <w:color w:val="000000" w:themeColor="text1"/>
          <w:shd w:val="clear" w:color="auto" w:fill="FFFFFF"/>
        </w:rPr>
        <w:t>(123)</w:t>
      </w:r>
      <w:r w:rsidR="00D24FFF">
        <w:rPr>
          <w:color w:val="000000" w:themeColor="text1"/>
          <w:shd w:val="clear" w:color="auto" w:fill="FFFFFF"/>
        </w:rPr>
        <w:fldChar w:fldCharType="end"/>
      </w:r>
      <w:r w:rsidR="00D24FFF">
        <w:rPr>
          <w:color w:val="000000" w:themeColor="text1"/>
          <w:shd w:val="clear" w:color="auto" w:fill="FFFFFF"/>
        </w:rPr>
        <w:t xml:space="preserve">. </w:t>
      </w:r>
      <w:r w:rsidR="00F25A24">
        <w:rPr>
          <w:color w:val="202020"/>
          <w:highlight w:val="white"/>
        </w:rPr>
        <w:t xml:space="preserve">Resultados de outros GWAS confirmaram a associação entre alguns SNPs do gene </w:t>
      </w:r>
      <w:r w:rsidR="00F25A24">
        <w:rPr>
          <w:i/>
          <w:color w:val="202020"/>
          <w:highlight w:val="white"/>
        </w:rPr>
        <w:t xml:space="preserve">PDE10A </w:t>
      </w:r>
      <w:r w:rsidR="00F25A24">
        <w:rPr>
          <w:color w:val="202020"/>
          <w:highlight w:val="white"/>
        </w:rPr>
        <w:t>e nível de TSH</w:t>
      </w:r>
      <w:r w:rsidR="00F25A24">
        <w:rPr>
          <w:color w:val="202020"/>
        </w:rPr>
        <w:t xml:space="preserve"> </w:t>
      </w:r>
      <w:r w:rsidR="00F25A24">
        <w:rPr>
          <w:color w:val="202020"/>
        </w:rPr>
        <w:fldChar w:fldCharType="begin"/>
      </w:r>
      <w:r w:rsidR="00344DCD">
        <w:rPr>
          <w:color w:val="202020"/>
        </w:rPr>
        <w:instrText xml:space="preserve"> ADDIN ZOTERO_ITEM CSL_CITATION {"citationID":"zabXDcU2","properties":{"unsorted":true,"formattedCitation":"(73,17,124)","plainCitation":"(73,17,124)","noteIndex":0},"citationItems":[{"id":851,"uris":["http://zotero.org/users/7110448/items/K99LNL4S"],"itemData":{"id":851,"type":"article-journal","abstract":"Thyroid hormone is essential for normal metabolism and development, and overt abnormalities in thyroid function lead to common endocrine disorders affecting approximately 10% of individuals over their life span. In addition, even mild alterations in thyroid function are associated with weight changes, atrial fibrillation, osteoporosis, and psychiatric disorders. To identify novel variants underlying thyroid function, we performed a large meta-analysis of genome-wide association studies for serum levels of the highly heritable thyroid function markers TSH and FT4, in up to 26,420 and 17,520 euthyroid subjects, respectively. Here we report 26 independent associations, including several novel loci for TSH (PDE10A, VEGFA, IGFBP5, NFIA, SOX9, PRDM11, FGF7, INSR, ABO, MIR1179, NRG1, MBIP, ITPK1, SASH1, GLIS3) and FT4 (LHX3, FOXE1, AADAT, NETO1/FBXO15, LPCAT2/CAPNS2). Notably, only limited overlap was detected between TSH and FT4 associated signals, in spite of the feedback regulation of their circulating levels by the hypothalamic-pituitary-thyroid axis. Five of the reported loci (PDE8B, PDE10A, MAF/LOC440389, NETO1/FBXO15, and LPCAT2/CAPNS2) show strong gender-specific differences, which offer clues for the known sexual dimorphism in thyroid function and related pathologies. Importantly, the TSH-associated loci contribute not only to variation within the normal range, but also to TSH values outside the reference range, suggesting that they may be involved in thyroid dysfunction. Overall, our findings explain, respectively, 5.64% and 2.30% of total TSH and FT4 trait variance, and they improve the current knowledge of the regulation of hypothalamic-pituitary-thyroid axis function and the consequences of genetic variation for hypo- or hyperthyroidism.","container-title":"PLoS genetics","DOI":"10.1371/journal.pgen.1003266","ISSN":"1553-7404","issue":"2","journalAbbreviation":"PLoS Genet","language":"eng","note":"PMID: 23408906\nPMCID: PMC3567175","page":"e1003266","source":"PubMed","title":"A meta-analysis of thyroid-related traits reveals novel loci and gender-specific differences in the regulation of thyroid function","volume":"9","author":[{"family":"Porcu","given":"Eleonora"},{"family":"Medici","given":"Marco"},{"family":"Pistis","given":"Giorgio"},{"family":"Volpato","given":"Claudia B."},{"family":"Wilson","given":"Scott G."},{"family":"Cappola","given":"Anne R."},{"family":"Bos","given":"Steffan D."},{"family":"Deelen","given":"Joris"},{"family":"Heijer","given":"Martin","non-dropping-particle":"den"},{"family":"Freathy","given":"Rachel M."},{"family":"Lahti","given":"Jari"},{"family":"Liu","given":"Chunyu"},{"family":"Lopez","given":"Lorna M."},{"family":"Nolte","given":"Ilja M."},{"family":"O'Connell","given":"Jeffrey R."},{"family":"Tanaka","given":"Toshiko"},{"family":"Trompet","given":"Stella"},{"family":"Arnold","given":"Alice"},{"family":"Bandinelli","given":"Stefania"},{"family":"Beekman","given":"Marian"},{"family":"Böhringer","given":"Stefan"},{"family":"Brown","given":"Suzanne J."},{"family":"Buckley","given":"Brendan M."},{"family":"Camaschella","given":"Clara"},{"family":"Craen","given":"Anton J. M.","non-dropping-particle":"de"},{"family":"Davies","given":"Gail"},{"family":"Visser","given":"Marieke C. H.","non-dropping-particle":"de"},{"family":"Ford","given":"Ian"},{"family":"Forsen","given":"Tom"},{"family":"Frayling","given":"Timothy M."},{"family":"Fugazzola","given":"Laura"},{"family":"Gögele","given":"Martin"},{"family":"Hattersley","given":"Andrew T."},{"family":"Hermus","given":"Ad R."},{"family":"Hofman","given":"Albert"},{"family":"Houwing-Duistermaat","given":"Jeanine J."},{"family":"Jensen","given":"Richard A."},{"family":"Kajantie","given":"Eero"},{"family":"Kloppenburg","given":"Margreet"},{"family":"Lim","given":"Ee M."},{"family":"Masciullo","given":"Corrado"},{"family":"Mariotti","given":"Stefano"},{"family":"Minelli","given":"Cosetta"},{"family":"Mitchell","given":"Braxton D."},{"family":"Nagaraja","given":"Ramaiah"},{"family":"Netea-Maier","given":"Romana T."},{"family":"Palotie","given":"Aarno"},{"family":"Persani","given":"Luca"},{"family":"Piras","given":"Maria G."},{"family":"Psaty","given":"Bruce M."},{"family":"Räikkönen","given":"Katri"},{"family":"Richards","given":"J. Brent"},{"family":"Rivadeneira","given":"Fernando"},{"family":"Sala","given":"Cinzia"},{"family":"Sabra","given":"Mona M."},{"family":"Sattar","given":"Naveed"},{"family":"Shields","given":"Beverley M."},{"family":"Soranzo","given":"Nicole"},{"family":"Starr","given":"John M."},{"family":"Stott","given":"David J."},{"family":"Sweep","given":"Fred C. G. J."},{"family":"Usala","given":"Gianluca"},{"family":"Klauw","given":"Melanie M.","non-dropping-particle":"van der"},{"family":"Heemst","given":"Diana","non-dropping-particle":"van"},{"family":"Mullem","given":"Alies","non-dropping-particle":"van"},{"family":"Vermeulen","given":"Sita H."},{"family":"Visser","given":"W. Edward"},{"family":"Walsh","given":"John P."},{"family":"Westendorp","given":"Rudi G. J."},{"family":"Widen","given":"Elisabeth"},{"family":"Zhai","given":"Guangju"},{"family":"Cucca","given":"Francesco"},{"family":"Deary","given":"Ian J."},{"family":"Eriksson","given":"Johan G."},{"family":"Ferrucci","given":"Luigi"},{"family":"Fox","given":"Caroline S."},{"family":"Jukema","given":"J. Wouter"},{"family":"Kiemeney","given":"Lambertus A."},{"family":"Pramstaller","given":"Peter P."},{"family":"Schlessinger","given":"David"},{"family":"Shuldiner","given":"Alan R."},{"family":"Slagboom","given":"Eline P."},{"family":"Uitterlinden","given":"André G."},{"family":"Vaidya","given":"Bijay"},{"family":"Visser","given":"Theo J."},{"family":"Wolffenbuttel","given":"Bruce H. R."},{"family":"Meulenbelt","given":"Ingrid"},{"family":"Rotter","given":"Jerome I."},{"family":"Spector","given":"Tim D."},{"family":"Hicks","given":"Andrew A."},{"family":"Toniolo","given":"Daniela"},{"family":"Sanna","given":"Serena"},{"family":"Peeters","given":"Robin P."},{"family":"Naitza","given":"Silvia"}],"issued":{"date-parts":[["2013"]]}},"label":"page"},{"id":205,"uris":["http://zotero.org/users/7110448/items/JCFSMWBQ"],"itemData":{"id":205,"type":"article-journal","abstract":"Abstract\n            \n              Normal thyroid function is essential for health, but its genetic architecture remains poorly understood. Here, for the heritable thyroid traits thyrotropin (TSH) and free thyroxine (FT4), we analyse whole-genome sequence data from the UK10K project (\n              N\n              =2,287). Using additional whole-genome sequence and deeply imputed data sets, we report meta-analysis results for common variants (MAF≥1%) associated with TSH and FT4 (\n              N\n              =16,335). For TSH, we identify a novel variant in\n              SYN2\n              (MAF=23.5%,\n              P\n              =6.15 × 10\n              −9\n              ) and a new independent variant in\n              PDE8B\n              (MAF=10.4%,\n              P\n              =5.94 × 10\n              −14\n              ). For FT4, we report a low-frequency variant near\n              B4GALT6/SLC25A52\n              (MAF=3.2%,\n              P\n              =1.27 × 10\n              −9\n              ) tagging a rare\n              TTR\n              variant (MAF=0.4%,\n              P\n              =2.14 × 10\n              −11\n              ). All common variants explain ≥20% of the variance in TSH and FT4. Analysis of rare variants (MAF&lt;1%) using sequence kernel association testing reveals a novel association with FT4 in\n              NRG1.\n              Our results demonstrate that increased coverage in whole-genome sequence association studies identifies novel variants associated with thyroid function.","container-title":"Nature Communications","DOI":"10.1038/ncomms6681","ISSN":"2041-1723","issue":"1","journalAbbreviation":"Nat Commun","language":"en","page":"5681","source":"DOI.org (Crossref)","title":"Whole-genome sequence-based analysis of thyroid function","volume":"6","author":[{"literal":"The UK10K Consortium"},{"family":"Taylor","given":"Peter N."},{"family":"Porcu","given":"Eleonora"},{"family":"Chew","given":"Shelby"},{"family":"Campbell","given":"Purdey J."},{"family":"Traglia","given":"Michela"},{"family":"Brown","given":"Suzanne J."},{"family":"Mullin","given":"Benjamin H."},{"family":"Shihab","given":"Hashem A."},{"family":"Min","given":"Josine"},{"family":"Walter","given":"Klaudia"},{"family":"Memari","given":"Yasin"},{"family":"Huang","given":"Jie"},{"family":"Barnes","given":"Michael R."},{"family":"Beilby","given":"John P."},{"family":"Charoen","given":"Pimphen"},{"family":"Danecek","given":"Petr"},{"family":"Dudbridge","given":"Frank"},{"family":"Forgetta","given":"Vincenzo"},{"family":"Greenwood","given":"Celia"},{"family":"Grundberg","given":"Elin"},{"family":"Johnson","given":"Andrew D."},{"family":"Hui","given":"Jennie"},{"family":"Lim","given":"Ee M."},{"family":"McCarthy","given":"Shane"},{"family":"Muddyman","given":"Dawn"},{"family":"Panicker","given":"Vijay"},{"family":"Perry","given":"John R.B."},{"family":"Bell","given":"Jordana T."},{"family":"Yuan","given":"Wei"},{"family":"Relton","given":"Caroline"},{"family":"Gaunt","given":"Tom"},{"family":"Schlessinger","given":"David"},{"family":"Abecasis","given":"Goncalo"},{"family":"Cucca","given":"Francesco"},{"family":"Surdulescu","given":"Gabriela L."},{"family":"Woltersdorf","given":"Wolfram"},{"family":"Zeggini","given":"Eleftheria"},{"family":"Zheng","given":"Hou-Feng"},{"family":"Toniolo","given":"Daniela"},{"family":"Dayan","given":"Colin M."},{"family":"Naitza","given":"Silvia"},{"family":"Walsh","given":"John P."},{"family":"Spector","given":"Tim"},{"family":"Davey Smith","given":"George"},{"family":"Durbin","given":"Richard"},{"family":"Brent Richards","given":"J."},{"family":"Sanna","given":"Serena"},{"family":"Soranzo","given":"Nicole"},{"family":"Timpson","given":"Nicholas J."},{"family":"Wilson","given":"Scott G."}],"issued":{"date-parts":[["2015",5,5]]}},"label":"page"},{"id":840,"uris":["http://zotero.org/users/7110448/items/PQRKB9PX"],"itemData":{"id":840,"type":"article-journal","abstract":"BACKGROUND: Hypothyroidism is associated with obesity, and thyroid hormones are involved in the regulation of body composition, including fat mass. Genome-wide association studies (GWAS) in adults have identified 19 and 6 loci associated with plasma concentrations of thyroid stimulating hormone (TSH) and free thyroxine (fT4), respectively.\nOBJECTIVE: This study aimed to identify and characterize genetic variants associated with circulating TSH and fT4 in Danish children and adolescents and to examine whether these variants associate with obesity.\nMETHODS: Genome-wide association analyses of imputed genotype data with fasting plasma concentrations of TSH and fT4 from a population-based sample of Danish children, adolescents, and young adults, and a group of children, adolescents, and young adults with overweight and obesity were performed (N = 1,764, mean age = 12.0 years [range 2.5-24.7]). Replication was performed in additional comparable samples (N = 2,097, mean age = 11.8 years [1.2-22.8]). Meta-analyses, using linear additive fixed-effect models, were performed on the results of the discovery and replication analyses.\nRESULTS: No novel loci associated with TSH or fT4 were identified. Four loci previously associated with TSH in adults were confirmed in this study population (PDE10A (rs2983511: β = 0.112SD, p = 4.8 ∙ 10-16), FOXE1 (rs7847663: β = 0.223SD, p = 1.5 ∙ 10-20), NR3C2 (rs9968300: β = 0.194SD), p = 2.4 ∙ 10-11), VEGFA (rs2396083: β = 0.088SD, p = 2.2 ∙ 10-10)). Effect sizes of variants known to associate with TSH or fT4 in adults showed a similar direction of effect in our cohort of children and adolescents, 11 of which were associated with TSH or fT4 in our study (p&lt;0.0002). None of the TSH or fT4 associated SNPs were associated with obesity in our cohort, indicating no pleiotropic effects of these variants on obesity.\nCONCLUSION: In a group of Danish children and adolescents, four loci previously associated with plasma TSH concentrations in adults, were associated with plasma TSH concentrations in children, suggesting comparable genetic determinants of thyroid function in adults and children.","container-title":"PloS One","DOI":"10.1371/journal.pone.0174204","ISSN":"1932-6203","issue":"3","journalAbbreviation":"PLoS One","language":"eng","note":"PMID: 28333968\nPMCID: PMC5363901","page":"e0174204","source":"PubMed","title":"A genome-wide association study of thyroid stimulating hormone and free thyroxine in Danish children and adolescents","volume":"12","author":[{"family":"Nielsen","given":"Tenna Ruest Haarmark"},{"family":"Appel","given":"Emil Vincent Rosenbaum"},{"family":"Svendstrup","given":"Mathilde"},{"family":"Ohrt","given":"Johanne Dam"},{"family":"Dahl","given":"Maria"},{"family":"Fonvig","given":"Cilius Esmann"},{"family":"Hollensted","given":"Mette"},{"family":"Have","given":"Christian Theil"},{"family":"Kadarmideen","given":"Haja N."},{"family":"Pedersen","given":"Oluf"},{"family":"Hansen","given":"Torben"},{"family":"Holm","given":"Jens-Christian"},{"family":"Grarup","given":"Niels"}],"issued":{"date-parts":[["2017"]]}},"label":"page"}],"schema":"https://github.com/citation-style-language/schema/raw/master/csl-citation.json"} </w:instrText>
      </w:r>
      <w:r w:rsidR="00F25A24">
        <w:rPr>
          <w:color w:val="202020"/>
        </w:rPr>
        <w:fldChar w:fldCharType="separate"/>
      </w:r>
      <w:r w:rsidR="00993E16">
        <w:rPr>
          <w:noProof/>
          <w:color w:val="202020"/>
        </w:rPr>
        <w:t>(73,17,124)</w:t>
      </w:r>
      <w:r w:rsidR="00F25A24">
        <w:rPr>
          <w:color w:val="202020"/>
        </w:rPr>
        <w:fldChar w:fldCharType="end"/>
      </w:r>
      <w:r w:rsidR="00F25A24">
        <w:rPr>
          <w:color w:val="202020"/>
        </w:rPr>
        <w:t>.</w:t>
      </w:r>
    </w:p>
    <w:p w14:paraId="7320FB9E" w14:textId="6271BA74" w:rsidR="00994B14" w:rsidRDefault="003766A1" w:rsidP="003766A1">
      <w:pPr>
        <w:spacing w:line="360" w:lineRule="auto"/>
        <w:jc w:val="both"/>
        <w:rPr>
          <w:color w:val="000000" w:themeColor="text1"/>
          <w:shd w:val="clear" w:color="auto" w:fill="FFFFFF"/>
        </w:rPr>
      </w:pPr>
      <w:r>
        <w:rPr>
          <w:color w:val="000000" w:themeColor="text1"/>
          <w:shd w:val="clear" w:color="auto" w:fill="FFFFFF"/>
        </w:rPr>
        <w:t xml:space="preserve">     </w:t>
      </w:r>
      <w:r w:rsidR="00F25A24">
        <w:rPr>
          <w:color w:val="000000" w:themeColor="text1"/>
          <w:shd w:val="clear" w:color="auto" w:fill="FFFFFF"/>
        </w:rPr>
        <w:t>Nes</w:t>
      </w:r>
      <w:r w:rsidR="00D21434">
        <w:rPr>
          <w:color w:val="000000" w:themeColor="text1"/>
          <w:shd w:val="clear" w:color="auto" w:fill="FFFFFF"/>
        </w:rPr>
        <w:t>s</w:t>
      </w:r>
      <w:r w:rsidR="00F25A24">
        <w:rPr>
          <w:color w:val="000000" w:themeColor="text1"/>
          <w:shd w:val="clear" w:color="auto" w:fill="FFFFFF"/>
        </w:rPr>
        <w:t>e outro GWAS,</w:t>
      </w:r>
      <w:r w:rsidR="003110A4">
        <w:rPr>
          <w:color w:val="000000" w:themeColor="text1"/>
          <w:shd w:val="clear" w:color="auto" w:fill="FFFFFF"/>
        </w:rPr>
        <w:t xml:space="preserve"> </w:t>
      </w:r>
      <w:proofErr w:type="spellStart"/>
      <w:r w:rsidR="003110A4">
        <w:rPr>
          <w:color w:val="000000" w:themeColor="text1"/>
          <w:shd w:val="clear" w:color="auto" w:fill="FFFFFF"/>
        </w:rPr>
        <w:t>Zhan</w:t>
      </w:r>
      <w:proofErr w:type="spellEnd"/>
      <w:r w:rsidR="003110A4">
        <w:rPr>
          <w:color w:val="000000" w:themeColor="text1"/>
          <w:shd w:val="clear" w:color="auto" w:fill="FFFFFF"/>
        </w:rPr>
        <w:t xml:space="preserve"> e colaboradores</w:t>
      </w:r>
      <w:r w:rsidR="00FE7847">
        <w:rPr>
          <w:color w:val="000000" w:themeColor="text1"/>
          <w:shd w:val="clear" w:color="auto" w:fill="FFFFFF"/>
        </w:rPr>
        <w:t xml:space="preserve"> avaliaram 1.346 chineses de etnia Han e encontraram </w:t>
      </w:r>
      <w:r w:rsidR="003110A4">
        <w:rPr>
          <w:color w:val="000000" w:themeColor="text1"/>
          <w:shd w:val="clear" w:color="auto" w:fill="FFFFFF"/>
        </w:rPr>
        <w:t>associação entre os SNPs rs753760 (</w:t>
      </w:r>
      <w:r w:rsidR="003110A4" w:rsidRPr="00E1726B">
        <w:rPr>
          <w:i/>
          <w:iCs/>
          <w:color w:val="000000" w:themeColor="text1"/>
          <w:shd w:val="clear" w:color="auto" w:fill="FFFFFF"/>
        </w:rPr>
        <w:t>gen</w:t>
      </w:r>
      <w:r w:rsidR="003110A4">
        <w:rPr>
          <w:i/>
          <w:iCs/>
          <w:color w:val="000000" w:themeColor="text1"/>
          <w:shd w:val="clear" w:color="auto" w:fill="FFFFFF"/>
        </w:rPr>
        <w:t>e</w:t>
      </w:r>
      <w:r w:rsidR="003110A4" w:rsidRPr="00E1726B">
        <w:rPr>
          <w:i/>
          <w:iCs/>
          <w:color w:val="000000" w:themeColor="text1"/>
          <w:shd w:val="clear" w:color="auto" w:fill="FFFFFF"/>
        </w:rPr>
        <w:t xml:space="preserve"> PDE10A</w:t>
      </w:r>
      <w:r w:rsidR="003110A4">
        <w:rPr>
          <w:color w:val="000000" w:themeColor="text1"/>
          <w:shd w:val="clear" w:color="auto" w:fill="FFFFFF"/>
        </w:rPr>
        <w:t>)</w:t>
      </w:r>
      <w:r w:rsidR="001418B7">
        <w:rPr>
          <w:color w:val="000000" w:themeColor="text1"/>
          <w:shd w:val="clear" w:color="auto" w:fill="FFFFFF"/>
        </w:rPr>
        <w:t xml:space="preserve"> e </w:t>
      </w:r>
      <w:r w:rsidR="003110A4">
        <w:rPr>
          <w:color w:val="000000" w:themeColor="text1"/>
          <w:shd w:val="clear" w:color="auto" w:fill="FFFFFF"/>
        </w:rPr>
        <w:t xml:space="preserve">rs1571583 </w:t>
      </w:r>
      <w:r w:rsidR="003110A4" w:rsidRPr="00A322DB">
        <w:rPr>
          <w:iCs/>
          <w:color w:val="000000" w:themeColor="text1"/>
          <w:shd w:val="clear" w:color="auto" w:fill="FFFFFF"/>
        </w:rPr>
        <w:t>(gene</w:t>
      </w:r>
      <w:r w:rsidR="003110A4">
        <w:rPr>
          <w:i/>
          <w:iCs/>
          <w:color w:val="000000" w:themeColor="text1"/>
          <w:shd w:val="clear" w:color="auto" w:fill="FFFFFF"/>
        </w:rPr>
        <w:t xml:space="preserve"> GLIS3</w:t>
      </w:r>
      <w:r w:rsidR="003110A4" w:rsidRPr="00A322DB">
        <w:rPr>
          <w:iCs/>
          <w:color w:val="000000" w:themeColor="text1"/>
          <w:shd w:val="clear" w:color="auto" w:fill="FFFFFF"/>
        </w:rPr>
        <w:t>)</w:t>
      </w:r>
      <w:r w:rsidR="00D21434">
        <w:rPr>
          <w:iCs/>
          <w:color w:val="000000" w:themeColor="text1"/>
          <w:shd w:val="clear" w:color="auto" w:fill="FFFFFF"/>
        </w:rPr>
        <w:t>,</w:t>
      </w:r>
      <w:r w:rsidR="003110A4">
        <w:rPr>
          <w:i/>
          <w:iCs/>
          <w:color w:val="000000" w:themeColor="text1"/>
          <w:shd w:val="clear" w:color="auto" w:fill="FFFFFF"/>
        </w:rPr>
        <w:t xml:space="preserve"> </w:t>
      </w:r>
      <w:r w:rsidR="003110A4">
        <w:rPr>
          <w:color w:val="000000" w:themeColor="text1"/>
          <w:shd w:val="clear" w:color="auto" w:fill="FFFFFF"/>
        </w:rPr>
        <w:t>com nível de TSH</w:t>
      </w:r>
      <w:r w:rsidR="00F25A24">
        <w:rPr>
          <w:color w:val="000000" w:themeColor="text1"/>
          <w:shd w:val="clear" w:color="auto" w:fill="FFFFFF"/>
        </w:rPr>
        <w:t xml:space="preserve"> </w:t>
      </w:r>
      <w:r w:rsidR="003110A4">
        <w:rPr>
          <w:color w:val="000000" w:themeColor="text1"/>
          <w:shd w:val="clear" w:color="auto" w:fill="FFFFFF"/>
        </w:rPr>
        <w:fldChar w:fldCharType="begin"/>
      </w:r>
      <w:r w:rsidR="003110A4">
        <w:rPr>
          <w:color w:val="000000" w:themeColor="text1"/>
          <w:shd w:val="clear" w:color="auto" w:fill="FFFFFF"/>
        </w:rPr>
        <w:instrText xml:space="preserve"> ADDIN ZOTERO_TEMP </w:instrText>
      </w:r>
      <w:r w:rsidR="003110A4">
        <w:rPr>
          <w:color w:val="000000" w:themeColor="text1"/>
          <w:shd w:val="clear" w:color="auto" w:fill="FFFFFF"/>
        </w:rPr>
        <w:fldChar w:fldCharType="separate"/>
      </w:r>
      <w:r w:rsidR="003110A4">
        <w:rPr>
          <w:noProof/>
          <w:color w:val="000000" w:themeColor="text1"/>
          <w:shd w:val="clear" w:color="auto" w:fill="FFFFFF"/>
        </w:rPr>
        <w:t>(70)</w:t>
      </w:r>
      <w:r w:rsidR="003110A4">
        <w:rPr>
          <w:color w:val="000000" w:themeColor="text1"/>
          <w:shd w:val="clear" w:color="auto" w:fill="FFFFFF"/>
        </w:rPr>
        <w:fldChar w:fldCharType="end"/>
      </w:r>
      <w:r w:rsidR="003110A4">
        <w:rPr>
          <w:color w:val="000000" w:themeColor="text1"/>
          <w:shd w:val="clear" w:color="auto" w:fill="FFFFFF"/>
        </w:rPr>
        <w:t xml:space="preserve">. </w:t>
      </w:r>
      <w:proofErr w:type="spellStart"/>
      <w:r w:rsidR="002C5DBA">
        <w:rPr>
          <w:color w:val="000000" w:themeColor="text1"/>
          <w:shd w:val="clear" w:color="auto" w:fill="FFFFFF"/>
        </w:rPr>
        <w:t>Teumer</w:t>
      </w:r>
      <w:proofErr w:type="spellEnd"/>
      <w:r w:rsidR="002C5DBA">
        <w:rPr>
          <w:color w:val="000000" w:themeColor="text1"/>
          <w:shd w:val="clear" w:color="auto" w:fill="FFFFFF"/>
        </w:rPr>
        <w:t xml:space="preserve"> e colaboradores</w:t>
      </w:r>
      <w:r w:rsidR="00D21434">
        <w:rPr>
          <w:color w:val="000000" w:themeColor="text1"/>
          <w:shd w:val="clear" w:color="auto" w:fill="FFFFFF"/>
        </w:rPr>
        <w:t>,</w:t>
      </w:r>
      <w:r w:rsidR="002C5DBA">
        <w:rPr>
          <w:color w:val="000000" w:themeColor="text1"/>
          <w:shd w:val="clear" w:color="auto" w:fill="FFFFFF"/>
        </w:rPr>
        <w:t xml:space="preserve"> </w:t>
      </w:r>
      <w:r w:rsidR="00C96685">
        <w:rPr>
          <w:color w:val="000000" w:themeColor="text1"/>
          <w:shd w:val="clear" w:color="auto" w:fill="FFFFFF"/>
        </w:rPr>
        <w:t>numa grande met</w:t>
      </w:r>
      <w:r w:rsidR="007D1339">
        <w:rPr>
          <w:color w:val="000000" w:themeColor="text1"/>
          <w:shd w:val="clear" w:color="auto" w:fill="FFFFFF"/>
        </w:rPr>
        <w:t xml:space="preserve">análise de GWAS para função tireoidiana, </w:t>
      </w:r>
      <w:r w:rsidR="002C5DBA">
        <w:rPr>
          <w:color w:val="000000" w:themeColor="text1"/>
          <w:shd w:val="clear" w:color="auto" w:fill="FFFFFF"/>
        </w:rPr>
        <w:t>testaram 8 milhões de variantes genéticas em 72.162 indivíduos</w:t>
      </w:r>
      <w:r w:rsidR="00EF4F53">
        <w:rPr>
          <w:color w:val="000000" w:themeColor="text1"/>
          <w:shd w:val="clear" w:color="auto" w:fill="FFFFFF"/>
        </w:rPr>
        <w:t xml:space="preserve"> </w:t>
      </w:r>
      <w:r w:rsidR="00EF4F53">
        <w:rPr>
          <w:color w:val="000000" w:themeColor="text1"/>
          <w:shd w:val="clear" w:color="auto" w:fill="FFFFFF"/>
        </w:rPr>
        <w:fldChar w:fldCharType="begin"/>
      </w:r>
      <w:r w:rsidR="00344DCD">
        <w:rPr>
          <w:color w:val="000000" w:themeColor="text1"/>
          <w:shd w:val="clear" w:color="auto" w:fill="FFFFFF"/>
        </w:rPr>
        <w:instrText xml:space="preserve"> ADDIN ZOTERO_ITEM CSL_CITATION {"citationID":"8rL6LsCi","properties":{"formattedCitation":"(18)","plainCitation":"(18)","noteIndex":0},"citationItems":[{"id":99,"uris":["http://zotero.org/users/7110448/items/3VVWNZR7"],"itemData":{"id":99,"type":"article-journal","container-title":"Nature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J."},{"family":"Medici","given":"Marco"}],"issued":{"date-parts":[["2018",12]]}}}],"schema":"https://github.com/citation-style-language/schema/raw/master/csl-citation.json"} </w:instrText>
      </w:r>
      <w:r w:rsidR="00EF4F53">
        <w:rPr>
          <w:color w:val="000000" w:themeColor="text1"/>
          <w:shd w:val="clear" w:color="auto" w:fill="FFFFFF"/>
        </w:rPr>
        <w:fldChar w:fldCharType="separate"/>
      </w:r>
      <w:r w:rsidR="00EF4F53">
        <w:rPr>
          <w:noProof/>
          <w:color w:val="000000" w:themeColor="text1"/>
          <w:shd w:val="clear" w:color="auto" w:fill="FFFFFF"/>
        </w:rPr>
        <w:t>(18)</w:t>
      </w:r>
      <w:r w:rsidR="00EF4F53">
        <w:rPr>
          <w:color w:val="000000" w:themeColor="text1"/>
          <w:shd w:val="clear" w:color="auto" w:fill="FFFFFF"/>
        </w:rPr>
        <w:fldChar w:fldCharType="end"/>
      </w:r>
      <w:r w:rsidR="002C5DBA">
        <w:rPr>
          <w:color w:val="000000" w:themeColor="text1"/>
          <w:shd w:val="clear" w:color="auto" w:fill="FFFFFF"/>
        </w:rPr>
        <w:t xml:space="preserve">. Entre as 109 variantes genéticas associadas de maneira independente </w:t>
      </w:r>
      <w:r w:rsidR="00D21434">
        <w:rPr>
          <w:color w:val="000000" w:themeColor="text1"/>
          <w:shd w:val="clear" w:color="auto" w:fill="FFFFFF"/>
        </w:rPr>
        <w:t xml:space="preserve">à </w:t>
      </w:r>
      <w:r w:rsidR="002C5DBA">
        <w:rPr>
          <w:color w:val="000000" w:themeColor="text1"/>
          <w:shd w:val="clear" w:color="auto" w:fill="FFFFFF"/>
        </w:rPr>
        <w:t>função tireoidiana, foi identificad</w:t>
      </w:r>
      <w:r w:rsidR="00BD23DC">
        <w:rPr>
          <w:color w:val="000000" w:themeColor="text1"/>
          <w:shd w:val="clear" w:color="auto" w:fill="FFFFFF"/>
        </w:rPr>
        <w:t xml:space="preserve">o um novo transportador de HT (SLC17A4). O SNP rs9356988 no </w:t>
      </w:r>
      <w:r w:rsidR="00BD23DC" w:rsidRPr="00A322DB">
        <w:rPr>
          <w:iCs/>
          <w:color w:val="000000" w:themeColor="text1"/>
          <w:shd w:val="clear" w:color="auto" w:fill="FFFFFF"/>
        </w:rPr>
        <w:t>gene</w:t>
      </w:r>
      <w:r w:rsidR="00BD23DC" w:rsidRPr="00BD23DC">
        <w:rPr>
          <w:i/>
          <w:iCs/>
          <w:color w:val="000000" w:themeColor="text1"/>
          <w:shd w:val="clear" w:color="auto" w:fill="FFFFFF"/>
        </w:rPr>
        <w:t xml:space="preserve"> SLC17A4</w:t>
      </w:r>
      <w:r w:rsidR="00BD23DC">
        <w:rPr>
          <w:i/>
          <w:iCs/>
          <w:color w:val="000000" w:themeColor="text1"/>
          <w:shd w:val="clear" w:color="auto" w:fill="FFFFFF"/>
        </w:rPr>
        <w:t xml:space="preserve"> </w:t>
      </w:r>
      <w:r w:rsidR="00BD23DC">
        <w:rPr>
          <w:color w:val="000000" w:themeColor="text1"/>
          <w:shd w:val="clear" w:color="auto" w:fill="FFFFFF"/>
        </w:rPr>
        <w:t>foi associado a</w:t>
      </w:r>
      <w:r w:rsidR="00EF4F53">
        <w:rPr>
          <w:color w:val="000000" w:themeColor="text1"/>
          <w:shd w:val="clear" w:color="auto" w:fill="FFFFFF"/>
        </w:rPr>
        <w:t>o T4l</w:t>
      </w:r>
      <w:r w:rsidR="00BD23DC">
        <w:rPr>
          <w:color w:val="000000" w:themeColor="text1"/>
          <w:shd w:val="clear" w:color="auto" w:fill="FFFFFF"/>
        </w:rPr>
        <w:t>. Além deste, outros SNP foram associados a</w:t>
      </w:r>
      <w:r w:rsidR="00EF4F53">
        <w:rPr>
          <w:color w:val="000000" w:themeColor="text1"/>
          <w:shd w:val="clear" w:color="auto" w:fill="FFFFFF"/>
        </w:rPr>
        <w:t xml:space="preserve">o </w:t>
      </w:r>
      <w:r w:rsidR="00BD23DC">
        <w:rPr>
          <w:color w:val="000000" w:themeColor="text1"/>
          <w:shd w:val="clear" w:color="auto" w:fill="FFFFFF"/>
        </w:rPr>
        <w:t>T4l</w:t>
      </w:r>
      <w:r w:rsidR="00EF4F53">
        <w:rPr>
          <w:color w:val="000000" w:themeColor="text1"/>
          <w:shd w:val="clear" w:color="auto" w:fill="FFFFFF"/>
        </w:rPr>
        <w:t xml:space="preserve">, </w:t>
      </w:r>
      <w:r w:rsidR="007D1339">
        <w:rPr>
          <w:color w:val="000000" w:themeColor="text1"/>
          <w:shd w:val="clear" w:color="auto" w:fill="FFFFFF"/>
        </w:rPr>
        <w:t xml:space="preserve">como o </w:t>
      </w:r>
      <w:r w:rsidR="00EF4F53">
        <w:rPr>
          <w:color w:val="000000" w:themeColor="text1"/>
          <w:shd w:val="clear" w:color="auto" w:fill="FFFFFF"/>
        </w:rPr>
        <w:t xml:space="preserve">rs978055 </w:t>
      </w:r>
      <w:r w:rsidR="00EF4F53" w:rsidRPr="00A322DB">
        <w:rPr>
          <w:iCs/>
          <w:color w:val="000000" w:themeColor="text1"/>
          <w:shd w:val="clear" w:color="auto" w:fill="FFFFFF"/>
        </w:rPr>
        <w:t>(gene</w:t>
      </w:r>
      <w:r w:rsidR="00EF4F53" w:rsidRPr="00EF4F53">
        <w:rPr>
          <w:i/>
          <w:iCs/>
          <w:color w:val="000000" w:themeColor="text1"/>
          <w:shd w:val="clear" w:color="auto" w:fill="FFFFFF"/>
        </w:rPr>
        <w:t xml:space="preserve"> DIO2</w:t>
      </w:r>
      <w:r w:rsidR="00EF4F53" w:rsidRPr="00A322DB">
        <w:rPr>
          <w:iCs/>
          <w:color w:val="000000" w:themeColor="text1"/>
          <w:shd w:val="clear" w:color="auto" w:fill="FFFFFF"/>
        </w:rPr>
        <w:t>)</w:t>
      </w:r>
      <w:r w:rsidR="007D1339">
        <w:rPr>
          <w:i/>
          <w:iCs/>
          <w:color w:val="000000" w:themeColor="text1"/>
          <w:shd w:val="clear" w:color="auto" w:fill="FFFFFF"/>
        </w:rPr>
        <w:t xml:space="preserve"> e </w:t>
      </w:r>
      <w:r w:rsidR="00EF4F53">
        <w:rPr>
          <w:color w:val="000000" w:themeColor="text1"/>
          <w:shd w:val="clear" w:color="auto" w:fill="FFFFFF"/>
        </w:rPr>
        <w:t xml:space="preserve">rs225014 </w:t>
      </w:r>
      <w:r w:rsidR="00EF4F53" w:rsidRPr="00A322DB">
        <w:rPr>
          <w:iCs/>
          <w:color w:val="000000" w:themeColor="text1"/>
          <w:shd w:val="clear" w:color="auto" w:fill="FFFFFF"/>
        </w:rPr>
        <w:t>(gene</w:t>
      </w:r>
      <w:r w:rsidR="00EF4F53" w:rsidRPr="00EF4F53">
        <w:rPr>
          <w:i/>
          <w:iCs/>
          <w:color w:val="000000" w:themeColor="text1"/>
          <w:shd w:val="clear" w:color="auto" w:fill="FFFFFF"/>
        </w:rPr>
        <w:t xml:space="preserve"> DIO2</w:t>
      </w:r>
      <w:r w:rsidR="00EF4F53" w:rsidRPr="00A322DB">
        <w:rPr>
          <w:iCs/>
          <w:color w:val="000000" w:themeColor="text1"/>
          <w:shd w:val="clear" w:color="auto" w:fill="FFFFFF"/>
        </w:rPr>
        <w:t xml:space="preserve">) </w:t>
      </w:r>
      <w:r w:rsidR="00EF4F53" w:rsidRPr="007D1339">
        <w:rPr>
          <w:color w:val="000000" w:themeColor="text1"/>
          <w:shd w:val="clear" w:color="auto" w:fill="FFFFFF"/>
        </w:rPr>
        <w:fldChar w:fldCharType="begin"/>
      </w:r>
      <w:r w:rsidR="00344DCD">
        <w:rPr>
          <w:color w:val="000000" w:themeColor="text1"/>
          <w:shd w:val="clear" w:color="auto" w:fill="FFFFFF"/>
        </w:rPr>
        <w:instrText xml:space="preserve"> ADDIN ZOTERO_ITEM CSL_CITATION {"citationID":"63PYNK3I","properties":{"formattedCitation":"(18)","plainCitation":"(18)","noteIndex":0},"citationItems":[{"id":99,"uris":["http://zotero.org/users/7110448/items/3VVWNZR7"],"itemData":{"id":99,"type":"article-journal","container-title":"Nature Communications","DOI":"10.1038/s41467-018-06356-1","ISSN":"2041-1723","issue":"1","journalAbbreviation":"Nat Commun","language":"en","page":"4455","source":"DOI.org (Crossref)","title":"Genome-wide analyses identify a role for SLC17A4 and AADAT in thyroid hormone regulation","volume":"9","author":[{"literal":"Lifelines Cohort Study"},{"family":"Teumer","given":"Alexander"},{"family":"Chaker","given":"Layal"},{"family":"Groeneweg","given":"Stefan"},{"family":"Li","given":"Yong"},{"family":"Di Munno","given":"Celia"},{"family":"Barbieri","given":"Caterina"},{"family":"Schultheiss","given":"Ulla T."},{"family":"Traglia","given":"Michela"},{"family":"Ahluwalia","given":"Tarunveer S."},{"family":"Akiyama","given":"Masato"},{"family":"Appel","given":"Emil Vincent R."},{"family":"Arking","given":"Dan E."},{"family":"Arnold","given":"Alice"},{"family":"Astrup","given":"Arne"},{"family":"Beekman","given":"Marian"},{"family":"Beilby","given":"John P."},{"family":"Bekaert","given":"Sofie"},{"family":"Boerwinkle","given":"Eric"},{"family":"Brown","given":"Suzanne J."},{"family":"De Buyzere","given":"Marc"},{"family":"Campbell","given":"Purdey J."},{"family":"Ceresini","given":"Graziano"},{"family":"Cerqueira","given":"Charlotte"},{"family":"Cucca","given":"Francesco"},{"family":"Deary","given":"Ian J."},{"family":"Deelen","given":"Joris"},{"family":"Eckardt","given":"Kai-Uwe"},{"family":"Ekici","given":"Arif B."},{"family":"Eriksson","given":"Johan G."},{"family":"Ferrrucci","given":"Luigi"},{"family":"Fiers","given":"Tom"},{"family":"Fiorillo","given":"Edoardo"},{"family":"Ford","given":"Ian"},{"family":"Fox","given":"Caroline S."},{"family":"Fuchsberger","given":"Christian"},{"family":"Galesloot","given":"Tessel E."},{"family":"Gieger","given":"Christian"},{"family":"Gögele","given":"Martin"},{"family":"De Grandi","given":"Alessandro"},{"family":"Grarup","given":"Niels"},{"family":"Greiser","given":"Karin Halina"},{"family":"Haljas","given":"Kadri"},{"family":"Hansen","given":"Torben"},{"family":"Harris","given":"Sarah E."},{"family":"Heemst","given":"Diana","non-dropping-particle":"van"},{"family":"Heijer","given":"Martin","non-dropping-particle":"den"},{"family":"Hicks","given":"Andrew A."},{"family":"Hollander","given":"Wouter","non-dropping-particle":"den"},{"family":"Homuth","given":"Georg"},{"family":"Hui","given":"Jennie"},{"family":"Ikram","given":"M. Arfan"},{"family":"Ittermann","given":"Till"},{"family":"Jensen","given":"Richard A."},{"family":"Jing","given":"Jiaojiao"},{"family":"Jukema","given":"J. Wouter"},{"family":"Kajantie","given":"Eero"},{"family":"Kamatani","given":"Yoichiro"},{"family":"Kasbohm","given":"Elisa"},{"family":"Kaufman","given":"Jean-Marc"},{"family":"Kiemeney","given":"Lambertus A."},{"family":"Kloppenburg","given":"Margreet"},{"family":"Kronenberg","given":"Florian"},{"family":"Kubo","given":"Michiaki"},{"family":"Lahti","given":"Jari"},{"family":"Lapauw","given":"Bruno"},{"family":"Li","given":"Shuo"},{"family":"Liewald","given":"David C. M."},{"family":"Lim","given":"Ee Mun"},{"family":"Linneberg","given":"Allan"},{"family":"Marina","given":"Michela"},{"family":"Mascalzoni","given":"Deborah"},{"family":"Matsuda","given":"Koichi"},{"family":"Medenwald","given":"Daniel"},{"family":"Meisinger","given":"Christa"},{"family":"Meulenbelt","given":"Ingrid"},{"family":"De Meyer","given":"Tim"},{"family":"Meyer zu Schwabedissen","given":"Henriette E."},{"family":"Mikolajczyk","given":"Rafael"},{"family":"Moed","given":"Matthijs"},{"family":"Netea-Maier","given":"Romana T."},{"family":"Nolte","given":"Ilja M."},{"family":"Okada","given":"Yukinori"},{"family":"Pala","given":"Mauro"},{"family":"Pattaro","given":"Cristian"},{"family":"Pedersen","given":"Oluf"},{"family":"Petersmann","given":"Astrid"},{"family":"Porcu","given":"Eleonora"},{"family":"Postmus","given":"Iris"},{"family":"Pramstaller","given":"Peter P."},{"family":"Psaty","given":"Bruce M."},{"family":"Ramos","given":"Yolande F. M."},{"family":"Rawal","given":"Rajesh"},{"family":"Redmond","given":"Paul"},{"family":"Richards","given":"J. Brent"},{"family":"Rietzschel","given":"Ernst R."},{"family":"Rivadeneira","given":"Fernando"},{"family":"Roef","given":"Greet"},{"family":"Rotter","given":"Jerome I."},{"family":"Sala","given":"Cinzia F."},{"family":"Schlessinger","given":"David"},{"family":"Selvin","given":"Elizabeth"},{"family":"Slagboom","given":"P. Eline"},{"family":"Soranzo","given":"Nicole"},{"family":"Sørensen","given":"Thorkild I. A."},{"family":"Spector","given":"Timothy D."},{"family":"Starr","given":"John M."},{"family":"Stott","given":"David J."},{"family":"Taes","given":"Youri"},{"family":"Taliun","given":"Daniel"},{"family":"Tanaka","given":"Toshiko"},{"family":"Thuesen","given":"Betina"},{"family":"Tiller","given":"Daniel"},{"family":"Toniolo","given":"Daniela"},{"family":"Uitterlinden","given":"Andre G."},{"family":"Visser","given":"W. Edward"},{"family":"Walsh","given":"John P."},{"family":"Wilson","given":"Scott G."},{"family":"Wolffenbuttel","given":"Bruce H. R."},{"family":"Yang","given":"Qiong"},{"family":"Zheng","given":"Hou-Feng"},{"family":"Cappola","given":"Anne"},{"family":"Peeters","given":"Robin P."},{"family":"Naitza","given":"Silvia"},{"family":"Völzke","given":"Henry"},{"family":"Sanna","given":"Serena"},{"family":"Köttgen","given":"Anna"},{"family":"Visser","given":"Theo J."},{"family":"Medici","given":"Marco"}],"issued":{"date-parts":[["2018",12]]}}}],"schema":"https://github.com/citation-style-language/schema/raw/master/csl-citation.json"} </w:instrText>
      </w:r>
      <w:r w:rsidR="00EF4F53" w:rsidRPr="007D1339">
        <w:rPr>
          <w:color w:val="000000" w:themeColor="text1"/>
          <w:shd w:val="clear" w:color="auto" w:fill="FFFFFF"/>
        </w:rPr>
        <w:fldChar w:fldCharType="separate"/>
      </w:r>
      <w:r w:rsidR="00EF4F53" w:rsidRPr="007D1339">
        <w:rPr>
          <w:noProof/>
          <w:color w:val="000000" w:themeColor="text1"/>
          <w:shd w:val="clear" w:color="auto" w:fill="FFFFFF"/>
        </w:rPr>
        <w:t>(18)</w:t>
      </w:r>
      <w:r w:rsidR="00EF4F53" w:rsidRPr="007D1339">
        <w:rPr>
          <w:color w:val="000000" w:themeColor="text1"/>
          <w:shd w:val="clear" w:color="auto" w:fill="FFFFFF"/>
        </w:rPr>
        <w:fldChar w:fldCharType="end"/>
      </w:r>
      <w:r w:rsidR="007D1339" w:rsidRPr="007D1339">
        <w:rPr>
          <w:color w:val="000000" w:themeColor="text1"/>
          <w:shd w:val="clear" w:color="auto" w:fill="FFFFFF"/>
        </w:rPr>
        <w:t>.</w:t>
      </w:r>
      <w:r w:rsidR="00994B14">
        <w:rPr>
          <w:color w:val="000000" w:themeColor="text1"/>
          <w:shd w:val="clear" w:color="auto" w:fill="FFFFFF"/>
        </w:rPr>
        <w:t xml:space="preserve"> Não </w:t>
      </w:r>
      <w:r w:rsidR="00623A9D">
        <w:rPr>
          <w:color w:val="000000" w:themeColor="text1"/>
          <w:shd w:val="clear" w:color="auto" w:fill="FFFFFF"/>
        </w:rPr>
        <w:t>foram encontradas</w:t>
      </w:r>
      <w:r w:rsidR="00994B14">
        <w:rPr>
          <w:color w:val="000000" w:themeColor="text1"/>
          <w:shd w:val="clear" w:color="auto" w:fill="FFFFFF"/>
        </w:rPr>
        <w:t xml:space="preserve">, no </w:t>
      </w:r>
      <w:r w:rsidR="00623A9D">
        <w:rPr>
          <w:color w:val="000000" w:themeColor="text1"/>
          <w:shd w:val="clear" w:color="auto" w:fill="FFFFFF"/>
        </w:rPr>
        <w:t xml:space="preserve">presente </w:t>
      </w:r>
      <w:r w:rsidR="00994B14">
        <w:rPr>
          <w:color w:val="000000" w:themeColor="text1"/>
          <w:shd w:val="clear" w:color="auto" w:fill="FFFFFF"/>
        </w:rPr>
        <w:t>estudo,</w:t>
      </w:r>
      <w:r w:rsidR="00111837">
        <w:rPr>
          <w:color w:val="000000" w:themeColor="text1"/>
          <w:shd w:val="clear" w:color="auto" w:fill="FFFFFF"/>
        </w:rPr>
        <w:t xml:space="preserve"> associações entre es</w:t>
      </w:r>
      <w:r w:rsidR="00623A9D">
        <w:rPr>
          <w:color w:val="000000" w:themeColor="text1"/>
          <w:shd w:val="clear" w:color="auto" w:fill="FFFFFF"/>
        </w:rPr>
        <w:t>s</w:t>
      </w:r>
      <w:r w:rsidR="00111837">
        <w:rPr>
          <w:color w:val="000000" w:themeColor="text1"/>
          <w:shd w:val="clear" w:color="auto" w:fill="FFFFFF"/>
        </w:rPr>
        <w:t>es</w:t>
      </w:r>
      <w:r w:rsidR="00BD2768">
        <w:rPr>
          <w:color w:val="000000" w:themeColor="text1"/>
          <w:shd w:val="clear" w:color="auto" w:fill="FFFFFF"/>
        </w:rPr>
        <w:t xml:space="preserve"> polimorfismos</w:t>
      </w:r>
      <w:r w:rsidR="00111837">
        <w:rPr>
          <w:color w:val="000000" w:themeColor="text1"/>
          <w:shd w:val="clear" w:color="auto" w:fill="FFFFFF"/>
        </w:rPr>
        <w:t xml:space="preserve"> e parâmetros séricos da tireoide</w:t>
      </w:r>
      <w:r w:rsidR="00994B14">
        <w:rPr>
          <w:color w:val="000000" w:themeColor="text1"/>
          <w:shd w:val="clear" w:color="auto" w:fill="FFFFFF"/>
        </w:rPr>
        <w:t>.</w:t>
      </w:r>
    </w:p>
    <w:p w14:paraId="5BDA9767" w14:textId="549AC1E6" w:rsidR="00F5388F" w:rsidRDefault="00994B14" w:rsidP="003766A1">
      <w:pPr>
        <w:spacing w:line="360" w:lineRule="auto"/>
        <w:jc w:val="both"/>
        <w:rPr>
          <w:color w:val="000000" w:themeColor="text1"/>
          <w:shd w:val="clear" w:color="auto" w:fill="FFFFFF"/>
        </w:rPr>
      </w:pPr>
      <w:r>
        <w:rPr>
          <w:color w:val="000000" w:themeColor="text1"/>
          <w:shd w:val="clear" w:color="auto" w:fill="FFFFFF"/>
        </w:rPr>
        <w:t xml:space="preserve">     </w:t>
      </w:r>
      <w:r w:rsidRPr="00623A9D">
        <w:rPr>
          <w:color w:val="000000" w:themeColor="text1"/>
          <w:shd w:val="clear" w:color="auto" w:fill="FFFFFF"/>
        </w:rPr>
        <w:t xml:space="preserve">Os polimorfismos de nucleotídeo único são variações frequentes de genes que </w:t>
      </w:r>
      <w:r w:rsidR="00623A9D">
        <w:rPr>
          <w:color w:val="000000" w:themeColor="text1"/>
          <w:shd w:val="clear" w:color="auto" w:fill="FFFFFF"/>
        </w:rPr>
        <w:t>apresentam</w:t>
      </w:r>
      <w:r w:rsidR="00623A9D" w:rsidRPr="00623A9D">
        <w:rPr>
          <w:color w:val="000000" w:themeColor="text1"/>
          <w:shd w:val="clear" w:color="auto" w:fill="FFFFFF"/>
        </w:rPr>
        <w:t xml:space="preserve"> </w:t>
      </w:r>
      <w:r w:rsidRPr="00623A9D">
        <w:rPr>
          <w:color w:val="000000" w:themeColor="text1"/>
          <w:shd w:val="clear" w:color="auto" w:fill="FFFFFF"/>
        </w:rPr>
        <w:t>pequeno efeito no fenótipo. Para evidenciar melhor associaç</w:t>
      </w:r>
      <w:r w:rsidR="00623A9D">
        <w:rPr>
          <w:color w:val="000000" w:themeColor="text1"/>
          <w:shd w:val="clear" w:color="auto" w:fill="FFFFFF"/>
        </w:rPr>
        <w:t>ão</w:t>
      </w:r>
      <w:r w:rsidRPr="00623A9D">
        <w:rPr>
          <w:color w:val="000000" w:themeColor="text1"/>
          <w:shd w:val="clear" w:color="auto" w:fill="FFFFFF"/>
        </w:rPr>
        <w:t xml:space="preserve"> entre </w:t>
      </w:r>
      <w:r w:rsidR="00DE3719" w:rsidRPr="00623A9D">
        <w:rPr>
          <w:color w:val="000000" w:themeColor="text1"/>
          <w:shd w:val="clear" w:color="auto" w:fill="FFFFFF"/>
        </w:rPr>
        <w:t xml:space="preserve">polimorfismos genéticos </w:t>
      </w:r>
      <w:r w:rsidRPr="00623A9D">
        <w:rPr>
          <w:color w:val="000000" w:themeColor="text1"/>
          <w:shd w:val="clear" w:color="auto" w:fill="FFFFFF"/>
        </w:rPr>
        <w:t xml:space="preserve">e fenótipos, </w:t>
      </w:r>
      <w:r w:rsidR="00623A9D">
        <w:rPr>
          <w:color w:val="000000" w:themeColor="text1"/>
          <w:shd w:val="clear" w:color="auto" w:fill="FFFFFF"/>
        </w:rPr>
        <w:t>são</w:t>
      </w:r>
      <w:r w:rsidR="00623A9D" w:rsidRPr="00623A9D">
        <w:rPr>
          <w:color w:val="000000" w:themeColor="text1"/>
          <w:shd w:val="clear" w:color="auto" w:fill="FFFFFF"/>
        </w:rPr>
        <w:t xml:space="preserve"> </w:t>
      </w:r>
      <w:r w:rsidRPr="00623A9D">
        <w:rPr>
          <w:color w:val="000000" w:themeColor="text1"/>
          <w:shd w:val="clear" w:color="auto" w:fill="FFFFFF"/>
        </w:rPr>
        <w:t xml:space="preserve">necessário grandes estudos genéticos de associações. </w:t>
      </w:r>
      <w:r w:rsidR="00DA4A2A" w:rsidRPr="00623A9D">
        <w:rPr>
          <w:color w:val="000000" w:themeColor="text1"/>
          <w:shd w:val="clear" w:color="auto" w:fill="FFFFFF"/>
        </w:rPr>
        <w:t>A</w:t>
      </w:r>
      <w:r w:rsidR="00711BCF" w:rsidRPr="00623A9D">
        <w:rPr>
          <w:color w:val="000000" w:themeColor="text1"/>
          <w:shd w:val="clear" w:color="auto" w:fill="FFFFFF"/>
        </w:rPr>
        <w:t xml:space="preserve">lém </w:t>
      </w:r>
      <w:r w:rsidR="00DA4A2A" w:rsidRPr="00623A9D">
        <w:rPr>
          <w:color w:val="000000" w:themeColor="text1"/>
          <w:shd w:val="clear" w:color="auto" w:fill="FFFFFF"/>
        </w:rPr>
        <w:t xml:space="preserve">disso, devido </w:t>
      </w:r>
      <w:r w:rsidR="00623A9D">
        <w:rPr>
          <w:color w:val="000000" w:themeColor="text1"/>
          <w:shd w:val="clear" w:color="auto" w:fill="FFFFFF"/>
        </w:rPr>
        <w:t>à</w:t>
      </w:r>
      <w:r w:rsidR="00623A9D" w:rsidRPr="00623A9D">
        <w:rPr>
          <w:color w:val="000000" w:themeColor="text1"/>
          <w:shd w:val="clear" w:color="auto" w:fill="FFFFFF"/>
        </w:rPr>
        <w:t xml:space="preserve"> </w:t>
      </w:r>
      <w:r w:rsidR="00DA4A2A" w:rsidRPr="00623A9D">
        <w:rPr>
          <w:color w:val="000000" w:themeColor="text1"/>
          <w:shd w:val="clear" w:color="auto" w:fill="FFFFFF"/>
        </w:rPr>
        <w:lastRenderedPageBreak/>
        <w:t>pequena contribuição no fenótipo de cada polimorfismo, a análise de um conjunto de polimorfismos para determinado fenótipo terá maior contribuição clínica a partir dos escores de risco poligênico</w:t>
      </w:r>
      <w:r w:rsidR="00DE3719" w:rsidRPr="00623A9D">
        <w:rPr>
          <w:color w:val="000000" w:themeColor="text1"/>
          <w:shd w:val="clear" w:color="auto" w:fill="FFFFFF"/>
        </w:rPr>
        <w:t xml:space="preserve">. </w:t>
      </w:r>
      <w:r w:rsidR="005E3317" w:rsidRPr="00623A9D">
        <w:rPr>
          <w:color w:val="000000" w:themeColor="text1"/>
          <w:shd w:val="clear" w:color="auto" w:fill="FFFFFF"/>
        </w:rPr>
        <w:t xml:space="preserve">A principal limitação </w:t>
      </w:r>
      <w:r w:rsidR="00623A9D">
        <w:rPr>
          <w:color w:val="000000" w:themeColor="text1"/>
          <w:shd w:val="clear" w:color="auto" w:fill="FFFFFF"/>
        </w:rPr>
        <w:t>deste</w:t>
      </w:r>
      <w:r w:rsidR="005E3317" w:rsidRPr="00623A9D">
        <w:rPr>
          <w:color w:val="000000" w:themeColor="text1"/>
          <w:shd w:val="clear" w:color="auto" w:fill="FFFFFF"/>
        </w:rPr>
        <w:t xml:space="preserve"> estudo foi o tamanho da amostra</w:t>
      </w:r>
      <w:r w:rsidR="00DE3719" w:rsidRPr="00623A9D">
        <w:rPr>
          <w:color w:val="000000" w:themeColor="text1"/>
          <w:shd w:val="clear" w:color="auto" w:fill="FFFFFF"/>
        </w:rPr>
        <w:t xml:space="preserve"> que, </w:t>
      </w:r>
      <w:r w:rsidR="00DA4A2A" w:rsidRPr="00623A9D">
        <w:rPr>
          <w:color w:val="000000" w:themeColor="text1"/>
          <w:shd w:val="clear" w:color="auto" w:fill="FFFFFF"/>
        </w:rPr>
        <w:t>provavelmente, impactou na ausência de associações entre alelos polimórficos e níveis hormonais</w:t>
      </w:r>
      <w:r w:rsidR="00623A9D">
        <w:rPr>
          <w:color w:val="000000" w:themeColor="text1"/>
          <w:shd w:val="clear" w:color="auto" w:fill="FFFFFF"/>
        </w:rPr>
        <w:t>,</w:t>
      </w:r>
      <w:r w:rsidR="00DE3719" w:rsidRPr="00623A9D">
        <w:rPr>
          <w:color w:val="000000" w:themeColor="text1"/>
          <w:shd w:val="clear" w:color="auto" w:fill="FFFFFF"/>
        </w:rPr>
        <w:t xml:space="preserve"> além de dificultar uma análise mais complexa de um conjunto de polimorfismos e fenótipo específico</w:t>
      </w:r>
      <w:r w:rsidR="00DA4A2A" w:rsidRPr="00623A9D">
        <w:rPr>
          <w:color w:val="000000" w:themeColor="text1"/>
          <w:shd w:val="clear" w:color="auto" w:fill="FFFFFF"/>
        </w:rPr>
        <w:t xml:space="preserve">. </w:t>
      </w:r>
      <w:r w:rsidR="00DA4A2A" w:rsidRPr="00623A9D">
        <w:rPr>
          <w:color w:val="000000"/>
        </w:rPr>
        <w:t>Fatores ambientais, como ingestão de iodo, e individuais, como sexo, idade e massa corporal</w:t>
      </w:r>
      <w:r w:rsidR="00623A9D">
        <w:rPr>
          <w:color w:val="000000"/>
        </w:rPr>
        <w:t>,</w:t>
      </w:r>
      <w:r w:rsidR="00DA4A2A" w:rsidRPr="00623A9D">
        <w:rPr>
          <w:color w:val="000000"/>
        </w:rPr>
        <w:t xml:space="preserve"> </w:t>
      </w:r>
      <w:r w:rsidR="000B6965" w:rsidRPr="00623A9D">
        <w:rPr>
          <w:color w:val="000000" w:themeColor="text1"/>
          <w:shd w:val="clear" w:color="auto" w:fill="FFFFFF"/>
        </w:rPr>
        <w:t>afetam a função tireoidiana</w:t>
      </w:r>
      <w:r w:rsidR="00DA4A2A" w:rsidRPr="00623A9D">
        <w:rPr>
          <w:color w:val="000000" w:themeColor="text1"/>
          <w:shd w:val="clear" w:color="auto" w:fill="FFFFFF"/>
        </w:rPr>
        <w:t xml:space="preserve"> </w:t>
      </w:r>
      <w:r w:rsidR="00DA4A2A" w:rsidRPr="00623A9D">
        <w:rPr>
          <w:color w:val="000000" w:themeColor="text1"/>
          <w:shd w:val="clear" w:color="auto" w:fill="FFFFFF"/>
        </w:rPr>
        <w:fldChar w:fldCharType="begin"/>
      </w:r>
      <w:r w:rsidR="00344DCD" w:rsidRPr="00623A9D">
        <w:rPr>
          <w:color w:val="000000" w:themeColor="text1"/>
          <w:shd w:val="clear" w:color="auto" w:fill="FFFFFF"/>
        </w:rPr>
        <w:instrText xml:space="preserve"> ADDIN ZOTERO_ITEM CSL_CITATION {"citationID":"8WBmbDsj","properties":{"formattedCitation":"(6)","plainCitation":"(6)","noteIndex":0},"citationItems":[{"id":1403,"uris":["http://zotero.org/users/7110448/items/EVXG9M4V"],"itemData":{"id":1403,"type":"article-journal","container-title":"JAMA","DOI":"10.1001/jama.2019.9052","ISSN":"0098-7484","issue":"2","journalAbbreviation":"JAMA","language":"en","page":"153","source":"DOI.org (Crossref)","title":"Subclinical Hypothyroidism: A Review","title-short":"Subclinical Hypothyroidism","volume":"322","author":[{"family":"Biondi","given":"Bernadette"},{"family":"Cappola","given":"Anne R."},{"family":"Cooper","given":"David S."}],"issued":{"date-parts":[["2019",7,9]]}}}],"schema":"https://github.com/citation-style-language/schema/raw/master/csl-citation.json"} </w:instrText>
      </w:r>
      <w:r w:rsidR="00DA4A2A" w:rsidRPr="00623A9D">
        <w:rPr>
          <w:color w:val="000000" w:themeColor="text1"/>
          <w:shd w:val="clear" w:color="auto" w:fill="FFFFFF"/>
        </w:rPr>
        <w:fldChar w:fldCharType="separate"/>
      </w:r>
      <w:r w:rsidR="00DA4A2A" w:rsidRPr="00623A9D">
        <w:rPr>
          <w:noProof/>
          <w:color w:val="000000" w:themeColor="text1"/>
          <w:shd w:val="clear" w:color="auto" w:fill="FFFFFF"/>
        </w:rPr>
        <w:t>(6)</w:t>
      </w:r>
      <w:r w:rsidR="00DA4A2A" w:rsidRPr="00623A9D">
        <w:rPr>
          <w:color w:val="000000" w:themeColor="text1"/>
          <w:shd w:val="clear" w:color="auto" w:fill="FFFFFF"/>
        </w:rPr>
        <w:fldChar w:fldCharType="end"/>
      </w:r>
      <w:r w:rsidR="00DA4A2A" w:rsidRPr="00623A9D">
        <w:rPr>
          <w:color w:val="000000" w:themeColor="text1"/>
          <w:shd w:val="clear" w:color="auto" w:fill="FFFFFF"/>
        </w:rPr>
        <w:t xml:space="preserve"> </w:t>
      </w:r>
      <w:r w:rsidR="000B6965" w:rsidRPr="00623A9D">
        <w:rPr>
          <w:color w:val="000000" w:themeColor="text1"/>
          <w:shd w:val="clear" w:color="auto" w:fill="FFFFFF"/>
        </w:rPr>
        <w:t>e seria importante fazer uma análise multivariada com tais determinantes</w:t>
      </w:r>
      <w:r w:rsidR="00DA4A2A" w:rsidRPr="00623A9D">
        <w:rPr>
          <w:color w:val="000000" w:themeColor="text1"/>
          <w:shd w:val="clear" w:color="auto" w:fill="FFFFFF"/>
        </w:rPr>
        <w:t>.</w:t>
      </w:r>
    </w:p>
    <w:p w14:paraId="5CEBAACF" w14:textId="1E81C16C" w:rsidR="001B4588" w:rsidRDefault="001B4588" w:rsidP="003766A1">
      <w:pPr>
        <w:spacing w:line="360" w:lineRule="auto"/>
        <w:jc w:val="both"/>
        <w:rPr>
          <w:color w:val="000000" w:themeColor="text1"/>
          <w:shd w:val="clear" w:color="auto" w:fill="FFFFFF"/>
        </w:rPr>
      </w:pPr>
    </w:p>
    <w:p w14:paraId="72E61A75" w14:textId="622EF437" w:rsidR="00025210" w:rsidRDefault="00025210" w:rsidP="003766A1">
      <w:pPr>
        <w:spacing w:line="360" w:lineRule="auto"/>
        <w:jc w:val="both"/>
        <w:rPr>
          <w:color w:val="000000" w:themeColor="text1"/>
          <w:shd w:val="clear" w:color="auto" w:fill="FFFFFF"/>
        </w:rPr>
      </w:pPr>
    </w:p>
    <w:p w14:paraId="3E5BCCE7" w14:textId="62D09B79" w:rsidR="00DE3719" w:rsidRDefault="00DE3719" w:rsidP="003766A1">
      <w:pPr>
        <w:spacing w:line="360" w:lineRule="auto"/>
        <w:jc w:val="both"/>
        <w:rPr>
          <w:color w:val="000000" w:themeColor="text1"/>
          <w:shd w:val="clear" w:color="auto" w:fill="FFFFFF"/>
        </w:rPr>
      </w:pPr>
    </w:p>
    <w:p w14:paraId="77E95DD3" w14:textId="4EC164EF" w:rsidR="00DE3719" w:rsidRDefault="00DE3719" w:rsidP="003766A1">
      <w:pPr>
        <w:spacing w:line="360" w:lineRule="auto"/>
        <w:jc w:val="both"/>
        <w:rPr>
          <w:color w:val="000000" w:themeColor="text1"/>
          <w:shd w:val="clear" w:color="auto" w:fill="FFFFFF"/>
        </w:rPr>
      </w:pPr>
    </w:p>
    <w:p w14:paraId="6C49F346" w14:textId="1A8A4044" w:rsidR="00DE3719" w:rsidRDefault="00DE3719" w:rsidP="003766A1">
      <w:pPr>
        <w:spacing w:line="360" w:lineRule="auto"/>
        <w:jc w:val="both"/>
        <w:rPr>
          <w:color w:val="000000" w:themeColor="text1"/>
          <w:shd w:val="clear" w:color="auto" w:fill="FFFFFF"/>
        </w:rPr>
      </w:pPr>
    </w:p>
    <w:p w14:paraId="44D03543" w14:textId="02982CE7" w:rsidR="00262059" w:rsidRDefault="00262059" w:rsidP="003766A1">
      <w:pPr>
        <w:spacing w:line="360" w:lineRule="auto"/>
        <w:jc w:val="both"/>
        <w:rPr>
          <w:color w:val="000000" w:themeColor="text1"/>
          <w:shd w:val="clear" w:color="auto" w:fill="FFFFFF"/>
        </w:rPr>
      </w:pPr>
    </w:p>
    <w:p w14:paraId="22FF3A10" w14:textId="34634EBC" w:rsidR="00262059" w:rsidRDefault="00262059" w:rsidP="003766A1">
      <w:pPr>
        <w:spacing w:line="360" w:lineRule="auto"/>
        <w:jc w:val="both"/>
        <w:rPr>
          <w:color w:val="000000" w:themeColor="text1"/>
          <w:shd w:val="clear" w:color="auto" w:fill="FFFFFF"/>
        </w:rPr>
      </w:pPr>
    </w:p>
    <w:p w14:paraId="60D04163" w14:textId="30694A8F" w:rsidR="00262059" w:rsidRDefault="00262059" w:rsidP="003766A1">
      <w:pPr>
        <w:spacing w:line="360" w:lineRule="auto"/>
        <w:jc w:val="both"/>
        <w:rPr>
          <w:color w:val="000000" w:themeColor="text1"/>
          <w:shd w:val="clear" w:color="auto" w:fill="FFFFFF"/>
        </w:rPr>
      </w:pPr>
    </w:p>
    <w:p w14:paraId="525E1063" w14:textId="77777777" w:rsidR="00262059" w:rsidRDefault="00262059" w:rsidP="003766A1">
      <w:pPr>
        <w:spacing w:line="360" w:lineRule="auto"/>
        <w:jc w:val="both"/>
        <w:rPr>
          <w:color w:val="000000" w:themeColor="text1"/>
          <w:shd w:val="clear" w:color="auto" w:fill="FFFFFF"/>
        </w:rPr>
      </w:pPr>
    </w:p>
    <w:p w14:paraId="409A33FA" w14:textId="77777777" w:rsidR="00ED5956" w:rsidRDefault="00ED5956" w:rsidP="003766A1">
      <w:pPr>
        <w:spacing w:line="360" w:lineRule="auto"/>
        <w:jc w:val="both"/>
        <w:rPr>
          <w:color w:val="000000" w:themeColor="text1"/>
          <w:shd w:val="clear" w:color="auto" w:fill="FFFFFF"/>
        </w:rPr>
      </w:pPr>
    </w:p>
    <w:p w14:paraId="76C8D050" w14:textId="77777777" w:rsidR="00ED5956" w:rsidRDefault="00ED5956" w:rsidP="003766A1">
      <w:pPr>
        <w:spacing w:line="360" w:lineRule="auto"/>
        <w:jc w:val="both"/>
        <w:rPr>
          <w:color w:val="000000" w:themeColor="text1"/>
          <w:shd w:val="clear" w:color="auto" w:fill="FFFFFF"/>
        </w:rPr>
      </w:pPr>
    </w:p>
    <w:p w14:paraId="10EC8CBE" w14:textId="77777777" w:rsidR="00ED5956" w:rsidRDefault="00ED5956" w:rsidP="003766A1">
      <w:pPr>
        <w:spacing w:line="360" w:lineRule="auto"/>
        <w:jc w:val="both"/>
        <w:rPr>
          <w:color w:val="000000" w:themeColor="text1"/>
          <w:shd w:val="clear" w:color="auto" w:fill="FFFFFF"/>
        </w:rPr>
      </w:pPr>
    </w:p>
    <w:p w14:paraId="5DE01C47" w14:textId="77777777" w:rsidR="00ED5956" w:rsidRDefault="00ED5956" w:rsidP="003766A1">
      <w:pPr>
        <w:spacing w:line="360" w:lineRule="auto"/>
        <w:jc w:val="both"/>
        <w:rPr>
          <w:color w:val="000000" w:themeColor="text1"/>
          <w:shd w:val="clear" w:color="auto" w:fill="FFFFFF"/>
        </w:rPr>
      </w:pPr>
    </w:p>
    <w:p w14:paraId="79A9C607" w14:textId="77777777" w:rsidR="00ED5956" w:rsidRDefault="00ED5956" w:rsidP="003766A1">
      <w:pPr>
        <w:spacing w:line="360" w:lineRule="auto"/>
        <w:jc w:val="both"/>
        <w:rPr>
          <w:color w:val="000000" w:themeColor="text1"/>
          <w:shd w:val="clear" w:color="auto" w:fill="FFFFFF"/>
        </w:rPr>
      </w:pPr>
    </w:p>
    <w:p w14:paraId="011EEC83" w14:textId="77777777" w:rsidR="00ED5956" w:rsidRDefault="00ED5956" w:rsidP="003766A1">
      <w:pPr>
        <w:spacing w:line="360" w:lineRule="auto"/>
        <w:jc w:val="both"/>
        <w:rPr>
          <w:color w:val="000000" w:themeColor="text1"/>
          <w:shd w:val="clear" w:color="auto" w:fill="FFFFFF"/>
        </w:rPr>
      </w:pPr>
    </w:p>
    <w:p w14:paraId="1A641BB5" w14:textId="77777777" w:rsidR="00ED5956" w:rsidRDefault="00ED5956" w:rsidP="003766A1">
      <w:pPr>
        <w:spacing w:line="360" w:lineRule="auto"/>
        <w:jc w:val="both"/>
        <w:rPr>
          <w:color w:val="000000" w:themeColor="text1"/>
          <w:shd w:val="clear" w:color="auto" w:fill="FFFFFF"/>
        </w:rPr>
      </w:pPr>
    </w:p>
    <w:p w14:paraId="0D87B87D" w14:textId="77777777" w:rsidR="00ED5956" w:rsidRDefault="00ED5956" w:rsidP="003766A1">
      <w:pPr>
        <w:spacing w:line="360" w:lineRule="auto"/>
        <w:jc w:val="both"/>
        <w:rPr>
          <w:color w:val="000000" w:themeColor="text1"/>
          <w:shd w:val="clear" w:color="auto" w:fill="FFFFFF"/>
        </w:rPr>
      </w:pPr>
    </w:p>
    <w:p w14:paraId="2ABD4833" w14:textId="77777777" w:rsidR="00ED5956" w:rsidRDefault="00ED5956" w:rsidP="003766A1">
      <w:pPr>
        <w:spacing w:line="360" w:lineRule="auto"/>
        <w:jc w:val="both"/>
        <w:rPr>
          <w:color w:val="000000" w:themeColor="text1"/>
          <w:shd w:val="clear" w:color="auto" w:fill="FFFFFF"/>
        </w:rPr>
      </w:pPr>
    </w:p>
    <w:p w14:paraId="3A8791E0" w14:textId="77777777" w:rsidR="00ED5956" w:rsidRDefault="00ED5956" w:rsidP="003766A1">
      <w:pPr>
        <w:spacing w:line="360" w:lineRule="auto"/>
        <w:jc w:val="both"/>
        <w:rPr>
          <w:color w:val="000000" w:themeColor="text1"/>
          <w:shd w:val="clear" w:color="auto" w:fill="FFFFFF"/>
        </w:rPr>
      </w:pPr>
    </w:p>
    <w:p w14:paraId="7DF40930" w14:textId="77777777" w:rsidR="00ED5956" w:rsidRDefault="00ED5956" w:rsidP="003766A1">
      <w:pPr>
        <w:spacing w:line="360" w:lineRule="auto"/>
        <w:jc w:val="both"/>
        <w:rPr>
          <w:color w:val="000000" w:themeColor="text1"/>
          <w:shd w:val="clear" w:color="auto" w:fill="FFFFFF"/>
        </w:rPr>
      </w:pPr>
    </w:p>
    <w:p w14:paraId="500D74E9" w14:textId="77777777" w:rsidR="00A322DB" w:rsidRDefault="00A322DB" w:rsidP="003766A1">
      <w:pPr>
        <w:spacing w:line="360" w:lineRule="auto"/>
        <w:jc w:val="both"/>
        <w:rPr>
          <w:color w:val="000000" w:themeColor="text1"/>
          <w:shd w:val="clear" w:color="auto" w:fill="FFFFFF"/>
        </w:rPr>
      </w:pPr>
    </w:p>
    <w:p w14:paraId="2F4AFF1D" w14:textId="77777777" w:rsidR="00A322DB" w:rsidRDefault="00A322DB" w:rsidP="003766A1">
      <w:pPr>
        <w:spacing w:line="360" w:lineRule="auto"/>
        <w:jc w:val="both"/>
        <w:rPr>
          <w:color w:val="000000" w:themeColor="text1"/>
          <w:shd w:val="clear" w:color="auto" w:fill="FFFFFF"/>
        </w:rPr>
      </w:pPr>
    </w:p>
    <w:p w14:paraId="6B29C7A9" w14:textId="77777777" w:rsidR="00A322DB" w:rsidRDefault="00A322DB" w:rsidP="003766A1">
      <w:pPr>
        <w:spacing w:line="360" w:lineRule="auto"/>
        <w:jc w:val="both"/>
        <w:rPr>
          <w:color w:val="000000" w:themeColor="text1"/>
          <w:shd w:val="clear" w:color="auto" w:fill="FFFFFF"/>
        </w:rPr>
      </w:pPr>
    </w:p>
    <w:p w14:paraId="3CDD8D37" w14:textId="77777777" w:rsidR="00A322DB" w:rsidRDefault="00A322DB" w:rsidP="003766A1">
      <w:pPr>
        <w:spacing w:line="360" w:lineRule="auto"/>
        <w:jc w:val="both"/>
        <w:rPr>
          <w:color w:val="000000" w:themeColor="text1"/>
          <w:shd w:val="clear" w:color="auto" w:fill="FFFFFF"/>
        </w:rPr>
      </w:pPr>
    </w:p>
    <w:p w14:paraId="1611719F" w14:textId="77777777" w:rsidR="00ED5956" w:rsidRDefault="00ED5956" w:rsidP="003766A1">
      <w:pPr>
        <w:spacing w:line="360" w:lineRule="auto"/>
        <w:jc w:val="both"/>
        <w:rPr>
          <w:color w:val="000000" w:themeColor="text1"/>
          <w:shd w:val="clear" w:color="auto" w:fill="FFFFFF"/>
        </w:rPr>
      </w:pPr>
    </w:p>
    <w:p w14:paraId="718287D6" w14:textId="7DB633CC" w:rsidR="00111837" w:rsidRPr="00025210" w:rsidRDefault="00111837" w:rsidP="00F85264">
      <w:pPr>
        <w:pStyle w:val="Ttulo1"/>
        <w:numPr>
          <w:ilvl w:val="0"/>
          <w:numId w:val="41"/>
        </w:numPr>
        <w:spacing w:line="360" w:lineRule="auto"/>
        <w:jc w:val="both"/>
        <w:rPr>
          <w:rFonts w:ascii="Times New Roman" w:hAnsi="Times New Roman"/>
          <w:color w:val="000000" w:themeColor="text1"/>
          <w:sz w:val="24"/>
          <w:szCs w:val="24"/>
          <w:shd w:val="clear" w:color="auto" w:fill="FFFFFF"/>
        </w:rPr>
      </w:pPr>
      <w:r w:rsidRPr="00D74090">
        <w:rPr>
          <w:rFonts w:ascii="Times New Roman" w:hAnsi="Times New Roman"/>
          <w:color w:val="000000" w:themeColor="text1"/>
          <w:sz w:val="24"/>
          <w:szCs w:val="24"/>
          <w:shd w:val="clear" w:color="auto" w:fill="FFFFFF"/>
        </w:rPr>
        <w:lastRenderedPageBreak/>
        <w:t>C</w:t>
      </w:r>
      <w:r w:rsidRPr="00025210">
        <w:rPr>
          <w:rFonts w:ascii="Times New Roman" w:hAnsi="Times New Roman"/>
          <w:color w:val="000000" w:themeColor="text1"/>
          <w:sz w:val="24"/>
          <w:szCs w:val="24"/>
          <w:shd w:val="clear" w:color="auto" w:fill="FFFFFF"/>
        </w:rPr>
        <w:t>ONCLUSÃO</w:t>
      </w:r>
    </w:p>
    <w:p w14:paraId="16FAF3E8" w14:textId="279D588A" w:rsidR="00111837" w:rsidRDefault="00111837" w:rsidP="003766A1">
      <w:pPr>
        <w:spacing w:line="360" w:lineRule="auto"/>
        <w:jc w:val="both"/>
        <w:rPr>
          <w:color w:val="000000" w:themeColor="text1"/>
          <w:shd w:val="clear" w:color="auto" w:fill="FFFFFF"/>
        </w:rPr>
      </w:pPr>
    </w:p>
    <w:p w14:paraId="0C761113" w14:textId="089791CB" w:rsidR="003402B8" w:rsidRDefault="00111837" w:rsidP="005E719E">
      <w:pPr>
        <w:spacing w:line="360" w:lineRule="auto"/>
        <w:jc w:val="both"/>
        <w:rPr>
          <w:color w:val="000000" w:themeColor="text1"/>
          <w:shd w:val="clear" w:color="auto" w:fill="FFFFFF"/>
        </w:rPr>
      </w:pPr>
      <w:r w:rsidRPr="00145F81">
        <w:rPr>
          <w:color w:val="000000" w:themeColor="text1"/>
          <w:shd w:val="clear" w:color="auto" w:fill="FFFFFF"/>
        </w:rPr>
        <w:t xml:space="preserve">     </w:t>
      </w:r>
      <w:r w:rsidR="009C6513" w:rsidRPr="00145F81">
        <w:rPr>
          <w:color w:val="000000" w:themeColor="text1"/>
          <w:shd w:val="clear" w:color="auto" w:fill="FFFFFF"/>
        </w:rPr>
        <w:t>N</w:t>
      </w:r>
      <w:r w:rsidR="006A342B">
        <w:rPr>
          <w:color w:val="000000" w:themeColor="text1"/>
          <w:shd w:val="clear" w:color="auto" w:fill="FFFFFF"/>
        </w:rPr>
        <w:t>este</w:t>
      </w:r>
      <w:r w:rsidR="009C6513" w:rsidRPr="00145F81">
        <w:rPr>
          <w:color w:val="000000" w:themeColor="text1"/>
          <w:shd w:val="clear" w:color="auto" w:fill="FFFFFF"/>
        </w:rPr>
        <w:t xml:space="preserve"> estudo</w:t>
      </w:r>
      <w:r w:rsidR="000E11DB">
        <w:rPr>
          <w:color w:val="000000" w:themeColor="text1"/>
          <w:shd w:val="clear" w:color="auto" w:fill="FFFFFF"/>
        </w:rPr>
        <w:t>,</w:t>
      </w:r>
      <w:r w:rsidR="009C6513" w:rsidRPr="00145F81">
        <w:rPr>
          <w:color w:val="000000" w:themeColor="text1"/>
          <w:shd w:val="clear" w:color="auto" w:fill="FFFFFF"/>
        </w:rPr>
        <w:t xml:space="preserve"> realizado </w:t>
      </w:r>
      <w:r w:rsidR="003402B8">
        <w:rPr>
          <w:color w:val="000000" w:themeColor="text1"/>
          <w:shd w:val="clear" w:color="auto" w:fill="FFFFFF"/>
        </w:rPr>
        <w:t>com</w:t>
      </w:r>
      <w:r w:rsidR="00F5388F">
        <w:rPr>
          <w:color w:val="000000" w:themeColor="text1"/>
          <w:shd w:val="clear" w:color="auto" w:fill="FFFFFF"/>
        </w:rPr>
        <w:t xml:space="preserve"> população geriátrica de mulheres</w:t>
      </w:r>
      <w:r w:rsidR="009C6513">
        <w:rPr>
          <w:color w:val="000000" w:themeColor="text1"/>
          <w:shd w:val="clear" w:color="auto" w:fill="FFFFFF"/>
        </w:rPr>
        <w:t xml:space="preserve"> </w:t>
      </w:r>
      <w:r w:rsidR="005E719E">
        <w:rPr>
          <w:color w:val="000000" w:themeColor="text1"/>
          <w:shd w:val="clear" w:color="auto" w:fill="FFFFFF"/>
        </w:rPr>
        <w:t>eutireoidianas</w:t>
      </w:r>
      <w:r w:rsidR="000E11DB">
        <w:rPr>
          <w:color w:val="000000" w:themeColor="text1"/>
          <w:shd w:val="clear" w:color="auto" w:fill="FFFFFF"/>
        </w:rPr>
        <w:t>,</w:t>
      </w:r>
      <w:r w:rsidR="003402B8">
        <w:rPr>
          <w:color w:val="000000" w:themeColor="text1"/>
          <w:shd w:val="clear" w:color="auto" w:fill="FFFFFF"/>
        </w:rPr>
        <w:t xml:space="preserve"> encontra</w:t>
      </w:r>
      <w:r w:rsidR="000E11DB">
        <w:rPr>
          <w:color w:val="000000" w:themeColor="text1"/>
          <w:shd w:val="clear" w:color="auto" w:fill="FFFFFF"/>
        </w:rPr>
        <w:t>ram-se</w:t>
      </w:r>
      <w:r w:rsidR="003402B8">
        <w:rPr>
          <w:color w:val="000000" w:themeColor="text1"/>
          <w:shd w:val="clear" w:color="auto" w:fill="FFFFFF"/>
        </w:rPr>
        <w:t xml:space="preserve"> frequências alélicas dos polimorfismos genéticos congruentes </w:t>
      </w:r>
      <w:r w:rsidR="00730E0F">
        <w:rPr>
          <w:color w:val="000000" w:themeColor="text1"/>
          <w:shd w:val="clear" w:color="auto" w:fill="FFFFFF"/>
        </w:rPr>
        <w:t>com a</w:t>
      </w:r>
      <w:r w:rsidR="003402B8">
        <w:rPr>
          <w:color w:val="000000" w:themeColor="text1"/>
          <w:shd w:val="clear" w:color="auto" w:fill="FFFFFF"/>
        </w:rPr>
        <w:t>quelas da população global, europeia, africana</w:t>
      </w:r>
      <w:r w:rsidR="009342A3">
        <w:rPr>
          <w:color w:val="000000" w:themeColor="text1"/>
          <w:shd w:val="clear" w:color="auto" w:fill="FFFFFF"/>
        </w:rPr>
        <w:t xml:space="preserve"> </w:t>
      </w:r>
      <w:r w:rsidR="003402B8">
        <w:rPr>
          <w:color w:val="000000" w:themeColor="text1"/>
          <w:shd w:val="clear" w:color="auto" w:fill="FFFFFF"/>
        </w:rPr>
        <w:t>e brasileira.</w:t>
      </w:r>
    </w:p>
    <w:p w14:paraId="0622CF75" w14:textId="39C0BB24" w:rsidR="00F5388F" w:rsidRDefault="003402B8" w:rsidP="005E719E">
      <w:pPr>
        <w:spacing w:line="360" w:lineRule="auto"/>
        <w:jc w:val="both"/>
        <w:rPr>
          <w:color w:val="000000" w:themeColor="text1"/>
          <w:shd w:val="clear" w:color="auto" w:fill="FFFFFF"/>
        </w:rPr>
      </w:pPr>
      <w:r>
        <w:rPr>
          <w:color w:val="000000" w:themeColor="text1"/>
          <w:shd w:val="clear" w:color="auto" w:fill="FFFFFF"/>
        </w:rPr>
        <w:t xml:space="preserve">     </w:t>
      </w:r>
      <w:r w:rsidR="000E11DB">
        <w:rPr>
          <w:color w:val="000000" w:themeColor="text1"/>
          <w:shd w:val="clear" w:color="auto" w:fill="FFFFFF"/>
        </w:rPr>
        <w:t xml:space="preserve">Encontrou-se </w:t>
      </w:r>
      <w:r w:rsidR="005E719E">
        <w:rPr>
          <w:color w:val="000000" w:themeColor="text1"/>
          <w:shd w:val="clear" w:color="auto" w:fill="FFFFFF"/>
        </w:rPr>
        <w:t>associação entre</w:t>
      </w:r>
      <w:r w:rsidR="000E11DB">
        <w:rPr>
          <w:color w:val="000000" w:themeColor="text1"/>
          <w:shd w:val="clear" w:color="auto" w:fill="FFFFFF"/>
        </w:rPr>
        <w:t xml:space="preserve"> dois</w:t>
      </w:r>
      <w:r w:rsidR="005E719E">
        <w:rPr>
          <w:color w:val="000000" w:themeColor="text1"/>
          <w:shd w:val="clear" w:color="auto" w:fill="FFFFFF"/>
        </w:rPr>
        <w:t xml:space="preserve"> polimorfismos de genes associados </w:t>
      </w:r>
      <w:r w:rsidR="000E11DB">
        <w:rPr>
          <w:color w:val="000000" w:themeColor="text1"/>
          <w:shd w:val="clear" w:color="auto" w:fill="FFFFFF"/>
        </w:rPr>
        <w:t xml:space="preserve">à </w:t>
      </w:r>
      <w:r w:rsidR="005E719E">
        <w:rPr>
          <w:color w:val="000000" w:themeColor="text1"/>
          <w:shd w:val="clear" w:color="auto" w:fill="FFFFFF"/>
        </w:rPr>
        <w:t xml:space="preserve">função tireoidiana e </w:t>
      </w:r>
      <w:r w:rsidR="000E11DB">
        <w:rPr>
          <w:color w:val="000000" w:themeColor="text1"/>
          <w:shd w:val="clear" w:color="auto" w:fill="FFFFFF"/>
        </w:rPr>
        <w:t xml:space="preserve">a </w:t>
      </w:r>
      <w:r w:rsidR="005E719E">
        <w:rPr>
          <w:color w:val="000000" w:themeColor="text1"/>
          <w:shd w:val="clear" w:color="auto" w:fill="FFFFFF"/>
        </w:rPr>
        <w:t xml:space="preserve">níveis de TSH e T4l. No primeiro deles, </w:t>
      </w:r>
      <w:r w:rsidR="005E719E">
        <w:t xml:space="preserve">rs12885300 do gene </w:t>
      </w:r>
      <w:r w:rsidR="005E719E" w:rsidRPr="00A74FC1">
        <w:rPr>
          <w:i/>
          <w:iCs/>
        </w:rPr>
        <w:t>DIO2</w:t>
      </w:r>
      <w:r w:rsidR="005E719E">
        <w:t xml:space="preserve">, </w:t>
      </w:r>
      <w:r w:rsidR="005E719E">
        <w:rPr>
          <w:color w:val="000000" w:themeColor="text1"/>
          <w:shd w:val="clear" w:color="auto" w:fill="FFFFFF"/>
        </w:rPr>
        <w:t xml:space="preserve">a </w:t>
      </w:r>
      <w:r w:rsidR="005E719E" w:rsidRPr="00145F81">
        <w:rPr>
          <w:color w:val="000000" w:themeColor="text1"/>
          <w:shd w:val="clear" w:color="auto" w:fill="FFFFFF"/>
        </w:rPr>
        <w:t>presença do alelo polimórfico em homozigose ou em heterozigose est</w:t>
      </w:r>
      <w:r w:rsidR="005E719E">
        <w:rPr>
          <w:color w:val="000000" w:themeColor="text1"/>
          <w:shd w:val="clear" w:color="auto" w:fill="FFFFFF"/>
        </w:rPr>
        <w:t>á</w:t>
      </w:r>
      <w:r w:rsidR="005E719E" w:rsidRPr="00145F81">
        <w:rPr>
          <w:color w:val="000000" w:themeColor="text1"/>
          <w:shd w:val="clear" w:color="auto" w:fill="FFFFFF"/>
        </w:rPr>
        <w:t xml:space="preserve"> associada</w:t>
      </w:r>
      <w:r w:rsidR="005E719E">
        <w:rPr>
          <w:color w:val="000000" w:themeColor="text1"/>
          <w:shd w:val="clear" w:color="auto" w:fill="FFFFFF"/>
        </w:rPr>
        <w:t xml:space="preserve"> a </w:t>
      </w:r>
      <w:r w:rsidR="005E719E" w:rsidRPr="00145F81">
        <w:rPr>
          <w:color w:val="000000" w:themeColor="text1"/>
          <w:shd w:val="clear" w:color="auto" w:fill="FFFFFF"/>
        </w:rPr>
        <w:t>níveis mais elevado de TSH, sugerindo algum impacto des</w:t>
      </w:r>
      <w:r w:rsidR="00B436CE">
        <w:rPr>
          <w:color w:val="000000" w:themeColor="text1"/>
          <w:shd w:val="clear" w:color="auto" w:fill="FFFFFF"/>
        </w:rPr>
        <w:t>s</w:t>
      </w:r>
      <w:r w:rsidR="005E719E" w:rsidRPr="00145F81">
        <w:rPr>
          <w:color w:val="000000" w:themeColor="text1"/>
          <w:shd w:val="clear" w:color="auto" w:fill="FFFFFF"/>
        </w:rPr>
        <w:t xml:space="preserve">e </w:t>
      </w:r>
      <w:r w:rsidR="005E719E">
        <w:rPr>
          <w:color w:val="000000" w:themeColor="text1"/>
          <w:shd w:val="clear" w:color="auto" w:fill="FFFFFF"/>
        </w:rPr>
        <w:t>polimorfismo</w:t>
      </w:r>
      <w:r w:rsidR="005E719E" w:rsidRPr="00145F81">
        <w:rPr>
          <w:color w:val="000000" w:themeColor="text1"/>
          <w:shd w:val="clear" w:color="auto" w:fill="FFFFFF"/>
        </w:rPr>
        <w:t xml:space="preserve"> no ponto de ajuste do eixo HHT</w:t>
      </w:r>
      <w:r>
        <w:rPr>
          <w:color w:val="000000" w:themeColor="text1"/>
          <w:shd w:val="clear" w:color="auto" w:fill="FFFFFF"/>
        </w:rPr>
        <w:t>.</w:t>
      </w:r>
      <w:r w:rsidR="005E719E">
        <w:rPr>
          <w:color w:val="000000" w:themeColor="text1"/>
          <w:shd w:val="clear" w:color="auto" w:fill="FFFFFF"/>
        </w:rPr>
        <w:t xml:space="preserve"> No segundo, </w:t>
      </w:r>
      <w:r w:rsidR="005E719E">
        <w:t xml:space="preserve">rs225014 do gene </w:t>
      </w:r>
      <w:r w:rsidR="005E719E" w:rsidRPr="00A74FC1">
        <w:rPr>
          <w:i/>
          <w:iCs/>
          <w:color w:val="000000" w:themeColor="text1"/>
          <w:shd w:val="clear" w:color="auto" w:fill="FFFFFF"/>
        </w:rPr>
        <w:t>DIO2</w:t>
      </w:r>
      <w:r w:rsidR="005E719E">
        <w:rPr>
          <w:i/>
          <w:iCs/>
          <w:color w:val="000000" w:themeColor="text1"/>
          <w:shd w:val="clear" w:color="auto" w:fill="FFFFFF"/>
        </w:rPr>
        <w:t>,</w:t>
      </w:r>
      <w:r w:rsidR="005E719E">
        <w:rPr>
          <w:color w:val="000000" w:themeColor="text1"/>
          <w:shd w:val="clear" w:color="auto" w:fill="FFFFFF"/>
        </w:rPr>
        <w:t xml:space="preserve"> a presença do alelo polimórfico em homozigose ou em heterozigose está associada a níveis mais baixo</w:t>
      </w:r>
      <w:r w:rsidR="00730E0F">
        <w:rPr>
          <w:color w:val="000000" w:themeColor="text1"/>
          <w:shd w:val="clear" w:color="auto" w:fill="FFFFFF"/>
        </w:rPr>
        <w:t>s</w:t>
      </w:r>
      <w:r w:rsidR="005E719E">
        <w:rPr>
          <w:color w:val="000000" w:themeColor="text1"/>
          <w:shd w:val="clear" w:color="auto" w:fill="FFFFFF"/>
        </w:rPr>
        <w:t xml:space="preserve"> de T4. Nos demais polimorfismos selecionados, não </w:t>
      </w:r>
      <w:r w:rsidR="00B436CE">
        <w:rPr>
          <w:color w:val="000000" w:themeColor="text1"/>
          <w:shd w:val="clear" w:color="auto" w:fill="FFFFFF"/>
        </w:rPr>
        <w:t xml:space="preserve">foi encontrada </w:t>
      </w:r>
      <w:r w:rsidR="005E719E">
        <w:rPr>
          <w:color w:val="000000" w:themeColor="text1"/>
          <w:shd w:val="clear" w:color="auto" w:fill="FFFFFF"/>
        </w:rPr>
        <w:t>associação com níveis séricos de T3l, T4l e TSH</w:t>
      </w:r>
      <w:r w:rsidR="00F5388F">
        <w:rPr>
          <w:color w:val="000000" w:themeColor="text1"/>
          <w:shd w:val="clear" w:color="auto" w:fill="FFFFFF"/>
        </w:rPr>
        <w:t>.</w:t>
      </w:r>
    </w:p>
    <w:p w14:paraId="109E95A8" w14:textId="55D4F5BD" w:rsidR="00F5388F" w:rsidRPr="00F5388F" w:rsidRDefault="00F5388F" w:rsidP="005E719E">
      <w:pPr>
        <w:spacing w:line="360" w:lineRule="auto"/>
        <w:jc w:val="both"/>
        <w:rPr>
          <w:color w:val="000000" w:themeColor="text1"/>
          <w:shd w:val="clear" w:color="auto" w:fill="FFFFFF"/>
        </w:rPr>
      </w:pPr>
      <w:r>
        <w:rPr>
          <w:color w:val="000000" w:themeColor="text1"/>
          <w:shd w:val="clear" w:color="auto" w:fill="FFFFFF"/>
        </w:rPr>
        <w:t xml:space="preserve">     Não </w:t>
      </w:r>
      <w:r w:rsidR="00B436CE">
        <w:rPr>
          <w:color w:val="000000" w:themeColor="text1"/>
          <w:shd w:val="clear" w:color="auto" w:fill="FFFFFF"/>
        </w:rPr>
        <w:t xml:space="preserve">se encontrou também </w:t>
      </w:r>
      <w:r>
        <w:rPr>
          <w:color w:val="000000" w:themeColor="text1"/>
          <w:shd w:val="clear" w:color="auto" w:fill="FFFFFF"/>
        </w:rPr>
        <w:t xml:space="preserve">associação entre polimorfismo rs225014 do gene </w:t>
      </w:r>
      <w:r w:rsidRPr="00F5388F">
        <w:rPr>
          <w:i/>
          <w:iCs/>
          <w:color w:val="000000" w:themeColor="text1"/>
          <w:shd w:val="clear" w:color="auto" w:fill="FFFFFF"/>
        </w:rPr>
        <w:t>DIO2</w:t>
      </w:r>
      <w:r>
        <w:rPr>
          <w:i/>
          <w:iCs/>
          <w:color w:val="000000" w:themeColor="text1"/>
          <w:shd w:val="clear" w:color="auto" w:fill="FFFFFF"/>
        </w:rPr>
        <w:t xml:space="preserve"> </w:t>
      </w:r>
      <w:r>
        <w:rPr>
          <w:color w:val="000000" w:themeColor="text1"/>
          <w:shd w:val="clear" w:color="auto" w:fill="FFFFFF"/>
        </w:rPr>
        <w:t xml:space="preserve">e </w:t>
      </w:r>
      <w:r w:rsidR="00B436CE">
        <w:rPr>
          <w:color w:val="000000" w:themeColor="text1"/>
          <w:shd w:val="clear" w:color="auto" w:fill="FFFFFF"/>
        </w:rPr>
        <w:t>d</w:t>
      </w:r>
      <w:r>
        <w:rPr>
          <w:color w:val="000000" w:themeColor="text1"/>
          <w:shd w:val="clear" w:color="auto" w:fill="FFFFFF"/>
        </w:rPr>
        <w:t>iabete</w:t>
      </w:r>
      <w:r w:rsidR="00B436CE">
        <w:rPr>
          <w:color w:val="000000" w:themeColor="text1"/>
          <w:shd w:val="clear" w:color="auto" w:fill="FFFFFF"/>
        </w:rPr>
        <w:t>s</w:t>
      </w:r>
      <w:r>
        <w:rPr>
          <w:color w:val="000000" w:themeColor="text1"/>
          <w:shd w:val="clear" w:color="auto" w:fill="FFFFFF"/>
        </w:rPr>
        <w:t xml:space="preserve"> </w:t>
      </w:r>
      <w:r w:rsidR="00B436CE" w:rsidRPr="00A322DB">
        <w:rPr>
          <w:i/>
          <w:color w:val="000000" w:themeColor="text1"/>
          <w:shd w:val="clear" w:color="auto" w:fill="FFFFFF"/>
        </w:rPr>
        <w:t>m</w:t>
      </w:r>
      <w:r w:rsidRPr="00A322DB">
        <w:rPr>
          <w:i/>
          <w:color w:val="000000" w:themeColor="text1"/>
          <w:shd w:val="clear" w:color="auto" w:fill="FFFFFF"/>
        </w:rPr>
        <w:t>el</w:t>
      </w:r>
      <w:r w:rsidR="00B436CE" w:rsidRPr="00A322DB">
        <w:rPr>
          <w:i/>
          <w:color w:val="000000" w:themeColor="text1"/>
          <w:shd w:val="clear" w:color="auto" w:fill="FFFFFF"/>
        </w:rPr>
        <w:t>l</w:t>
      </w:r>
      <w:r w:rsidRPr="00A322DB">
        <w:rPr>
          <w:i/>
          <w:color w:val="000000" w:themeColor="text1"/>
          <w:shd w:val="clear" w:color="auto" w:fill="FFFFFF"/>
        </w:rPr>
        <w:t>it</w:t>
      </w:r>
      <w:r w:rsidR="00B436CE" w:rsidRPr="00A322DB">
        <w:rPr>
          <w:i/>
          <w:color w:val="000000" w:themeColor="text1"/>
          <w:shd w:val="clear" w:color="auto" w:fill="FFFFFF"/>
        </w:rPr>
        <w:t>us</w:t>
      </w:r>
      <w:r>
        <w:rPr>
          <w:color w:val="000000" w:themeColor="text1"/>
          <w:shd w:val="clear" w:color="auto" w:fill="FFFFFF"/>
        </w:rPr>
        <w:t xml:space="preserve">, </w:t>
      </w:r>
      <w:r w:rsidR="00B436CE">
        <w:rPr>
          <w:color w:val="000000" w:themeColor="text1"/>
          <w:shd w:val="clear" w:color="auto" w:fill="FFFFFF"/>
        </w:rPr>
        <w:t>hipertensão arterial sistêmica ou dislipidemia</w:t>
      </w:r>
      <w:r>
        <w:rPr>
          <w:color w:val="000000" w:themeColor="text1"/>
          <w:shd w:val="clear" w:color="auto" w:fill="FFFFFF"/>
        </w:rPr>
        <w:t>.</w:t>
      </w:r>
    </w:p>
    <w:p w14:paraId="171BF5E4" w14:textId="5D9E52AD" w:rsidR="003F1CC4" w:rsidRDefault="009C6513" w:rsidP="00D74090">
      <w:pPr>
        <w:spacing w:line="360" w:lineRule="auto"/>
        <w:jc w:val="both"/>
        <w:rPr>
          <w:color w:val="000000" w:themeColor="text1"/>
          <w:shd w:val="clear" w:color="auto" w:fill="FFFFFF"/>
        </w:rPr>
      </w:pPr>
      <w:r>
        <w:rPr>
          <w:color w:val="000000" w:themeColor="text1"/>
          <w:shd w:val="clear" w:color="auto" w:fill="FFFFFF"/>
        </w:rPr>
        <w:t xml:space="preserve">   </w:t>
      </w:r>
    </w:p>
    <w:p w14:paraId="52289297" w14:textId="77777777" w:rsidR="00A917C2" w:rsidRDefault="00A917C2" w:rsidP="00D74090">
      <w:pPr>
        <w:spacing w:line="360" w:lineRule="auto"/>
        <w:jc w:val="both"/>
        <w:rPr>
          <w:color w:val="000000" w:themeColor="text1"/>
          <w:shd w:val="clear" w:color="auto" w:fill="FFFFFF"/>
        </w:rPr>
      </w:pPr>
    </w:p>
    <w:p w14:paraId="798C983F" w14:textId="77777777" w:rsidR="00A917C2" w:rsidRDefault="00A917C2" w:rsidP="00D74090">
      <w:pPr>
        <w:spacing w:line="360" w:lineRule="auto"/>
        <w:jc w:val="both"/>
        <w:rPr>
          <w:color w:val="000000" w:themeColor="text1"/>
          <w:shd w:val="clear" w:color="auto" w:fill="FFFFFF"/>
        </w:rPr>
      </w:pPr>
    </w:p>
    <w:p w14:paraId="21B9B096" w14:textId="77777777" w:rsidR="00A917C2" w:rsidRDefault="00A917C2" w:rsidP="00D74090">
      <w:pPr>
        <w:spacing w:line="360" w:lineRule="auto"/>
        <w:jc w:val="both"/>
        <w:rPr>
          <w:color w:val="000000" w:themeColor="text1"/>
          <w:shd w:val="clear" w:color="auto" w:fill="FFFFFF"/>
        </w:rPr>
      </w:pPr>
    </w:p>
    <w:p w14:paraId="6BB81C2B" w14:textId="77777777" w:rsidR="00A917C2" w:rsidRDefault="00A917C2" w:rsidP="00D74090">
      <w:pPr>
        <w:spacing w:line="360" w:lineRule="auto"/>
        <w:jc w:val="both"/>
        <w:rPr>
          <w:color w:val="000000" w:themeColor="text1"/>
          <w:shd w:val="clear" w:color="auto" w:fill="FFFFFF"/>
        </w:rPr>
      </w:pPr>
    </w:p>
    <w:p w14:paraId="111D87DF" w14:textId="77777777" w:rsidR="00A917C2" w:rsidRDefault="00A917C2" w:rsidP="00D74090">
      <w:pPr>
        <w:spacing w:line="360" w:lineRule="auto"/>
        <w:jc w:val="both"/>
        <w:rPr>
          <w:color w:val="000000" w:themeColor="text1"/>
          <w:shd w:val="clear" w:color="auto" w:fill="FFFFFF"/>
        </w:rPr>
      </w:pPr>
    </w:p>
    <w:p w14:paraId="34F23F5E" w14:textId="77777777" w:rsidR="00A917C2" w:rsidRDefault="00A917C2" w:rsidP="00D74090">
      <w:pPr>
        <w:spacing w:line="360" w:lineRule="auto"/>
        <w:jc w:val="both"/>
        <w:rPr>
          <w:color w:val="000000" w:themeColor="text1"/>
          <w:shd w:val="clear" w:color="auto" w:fill="FFFFFF"/>
        </w:rPr>
      </w:pPr>
    </w:p>
    <w:p w14:paraId="4C75CC52" w14:textId="77777777" w:rsidR="00A917C2" w:rsidRDefault="00A917C2" w:rsidP="00D74090">
      <w:pPr>
        <w:spacing w:line="360" w:lineRule="auto"/>
        <w:jc w:val="both"/>
        <w:rPr>
          <w:color w:val="000000" w:themeColor="text1"/>
          <w:shd w:val="clear" w:color="auto" w:fill="FFFFFF"/>
        </w:rPr>
      </w:pPr>
    </w:p>
    <w:p w14:paraId="5E2C3117" w14:textId="77777777" w:rsidR="00A917C2" w:rsidRDefault="00A917C2" w:rsidP="00D74090">
      <w:pPr>
        <w:spacing w:line="360" w:lineRule="auto"/>
        <w:jc w:val="both"/>
        <w:rPr>
          <w:color w:val="000000" w:themeColor="text1"/>
          <w:shd w:val="clear" w:color="auto" w:fill="FFFFFF"/>
        </w:rPr>
      </w:pPr>
    </w:p>
    <w:p w14:paraId="60642E3F" w14:textId="77777777" w:rsidR="00A917C2" w:rsidRDefault="00A917C2" w:rsidP="00D74090">
      <w:pPr>
        <w:spacing w:line="360" w:lineRule="auto"/>
        <w:jc w:val="both"/>
        <w:rPr>
          <w:color w:val="000000" w:themeColor="text1"/>
          <w:shd w:val="clear" w:color="auto" w:fill="FFFFFF"/>
        </w:rPr>
      </w:pPr>
    </w:p>
    <w:p w14:paraId="7E4F207E" w14:textId="77777777" w:rsidR="00A917C2" w:rsidRDefault="00A917C2" w:rsidP="00D74090">
      <w:pPr>
        <w:spacing w:line="360" w:lineRule="auto"/>
        <w:jc w:val="both"/>
        <w:rPr>
          <w:color w:val="000000" w:themeColor="text1"/>
          <w:shd w:val="clear" w:color="auto" w:fill="FFFFFF"/>
        </w:rPr>
      </w:pPr>
    </w:p>
    <w:p w14:paraId="3C9E7A69" w14:textId="77777777" w:rsidR="00A917C2" w:rsidRDefault="00A917C2" w:rsidP="00D74090">
      <w:pPr>
        <w:spacing w:line="360" w:lineRule="auto"/>
        <w:jc w:val="both"/>
        <w:rPr>
          <w:color w:val="000000" w:themeColor="text1"/>
          <w:shd w:val="clear" w:color="auto" w:fill="FFFFFF"/>
        </w:rPr>
      </w:pPr>
    </w:p>
    <w:p w14:paraId="26CAD2B5" w14:textId="77777777" w:rsidR="00A917C2" w:rsidRDefault="00A917C2" w:rsidP="00D74090">
      <w:pPr>
        <w:spacing w:line="360" w:lineRule="auto"/>
        <w:jc w:val="both"/>
        <w:rPr>
          <w:color w:val="000000" w:themeColor="text1"/>
          <w:shd w:val="clear" w:color="auto" w:fill="FFFFFF"/>
        </w:rPr>
      </w:pPr>
    </w:p>
    <w:p w14:paraId="4E0224F2" w14:textId="77777777" w:rsidR="00A917C2" w:rsidRDefault="00A917C2" w:rsidP="00D74090">
      <w:pPr>
        <w:spacing w:line="360" w:lineRule="auto"/>
        <w:jc w:val="both"/>
        <w:rPr>
          <w:color w:val="000000" w:themeColor="text1"/>
          <w:shd w:val="clear" w:color="auto" w:fill="FFFFFF"/>
        </w:rPr>
      </w:pPr>
    </w:p>
    <w:p w14:paraId="435044C9" w14:textId="77777777" w:rsidR="00A917C2" w:rsidRDefault="00A917C2" w:rsidP="00D74090">
      <w:pPr>
        <w:spacing w:line="360" w:lineRule="auto"/>
        <w:jc w:val="both"/>
        <w:rPr>
          <w:color w:val="000000" w:themeColor="text1"/>
          <w:shd w:val="clear" w:color="auto" w:fill="FFFFFF"/>
        </w:rPr>
      </w:pPr>
    </w:p>
    <w:p w14:paraId="796BA9EF" w14:textId="77777777" w:rsidR="00A917C2" w:rsidRDefault="00A917C2" w:rsidP="00D74090">
      <w:pPr>
        <w:spacing w:line="360" w:lineRule="auto"/>
        <w:jc w:val="both"/>
        <w:rPr>
          <w:color w:val="000000" w:themeColor="text1"/>
          <w:shd w:val="clear" w:color="auto" w:fill="FFFFFF"/>
        </w:rPr>
      </w:pPr>
    </w:p>
    <w:p w14:paraId="32632AA3" w14:textId="77777777" w:rsidR="00A917C2" w:rsidRDefault="00A917C2" w:rsidP="00D74090">
      <w:pPr>
        <w:spacing w:line="360" w:lineRule="auto"/>
        <w:jc w:val="both"/>
        <w:rPr>
          <w:color w:val="000000" w:themeColor="text1"/>
          <w:shd w:val="clear" w:color="auto" w:fill="FFFFFF"/>
        </w:rPr>
      </w:pPr>
    </w:p>
    <w:p w14:paraId="21678FF3" w14:textId="77777777" w:rsidR="00A917C2" w:rsidRDefault="00A917C2" w:rsidP="00D74090">
      <w:pPr>
        <w:spacing w:line="360" w:lineRule="auto"/>
        <w:jc w:val="both"/>
        <w:rPr>
          <w:color w:val="000000" w:themeColor="text1"/>
          <w:shd w:val="clear" w:color="auto" w:fill="FFFFFF"/>
        </w:rPr>
      </w:pPr>
    </w:p>
    <w:p w14:paraId="1D0A23DD" w14:textId="77777777" w:rsidR="00A917C2" w:rsidRDefault="00A917C2" w:rsidP="00D74090">
      <w:pPr>
        <w:spacing w:line="360" w:lineRule="auto"/>
        <w:jc w:val="both"/>
        <w:rPr>
          <w:color w:val="000000" w:themeColor="text1"/>
          <w:shd w:val="clear" w:color="auto" w:fill="FFFFFF"/>
        </w:rPr>
      </w:pPr>
    </w:p>
    <w:p w14:paraId="5E2A7B67" w14:textId="0CB4CC2D" w:rsidR="006B3CD1" w:rsidRPr="00D74090" w:rsidRDefault="003F1CC4" w:rsidP="00A917C2">
      <w:pPr>
        <w:pStyle w:val="Ttulo1"/>
        <w:numPr>
          <w:ilvl w:val="0"/>
          <w:numId w:val="41"/>
        </w:numPr>
        <w:spacing w:line="360" w:lineRule="auto"/>
        <w:jc w:val="both"/>
        <w:rPr>
          <w:rFonts w:ascii="Times New Roman" w:hAnsi="Times New Roman"/>
          <w:color w:val="000000" w:themeColor="text1"/>
          <w:sz w:val="24"/>
          <w:szCs w:val="24"/>
          <w:shd w:val="clear" w:color="auto" w:fill="FFFFFF"/>
        </w:rPr>
      </w:pPr>
      <w:r w:rsidRPr="00D74090">
        <w:rPr>
          <w:rFonts w:ascii="Times New Roman" w:hAnsi="Times New Roman"/>
          <w:color w:val="000000" w:themeColor="text1"/>
          <w:sz w:val="24"/>
          <w:szCs w:val="24"/>
          <w:shd w:val="clear" w:color="auto" w:fill="FFFFFF"/>
        </w:rPr>
        <w:lastRenderedPageBreak/>
        <w:t xml:space="preserve">PERSPECTIVAS </w:t>
      </w:r>
    </w:p>
    <w:p w14:paraId="22493A86" w14:textId="5A236533" w:rsidR="006B3CD1" w:rsidRDefault="006B3CD1" w:rsidP="00D74090">
      <w:pPr>
        <w:pStyle w:val="Ttulo1"/>
        <w:numPr>
          <w:ilvl w:val="0"/>
          <w:numId w:val="0"/>
        </w:numPr>
        <w:spacing w:line="360" w:lineRule="auto"/>
        <w:ind w:left="360"/>
        <w:jc w:val="both"/>
        <w:rPr>
          <w:rFonts w:ascii="Times New Roman" w:hAnsi="Times New Roman"/>
          <w:color w:val="000000" w:themeColor="text1"/>
          <w:sz w:val="24"/>
          <w:szCs w:val="24"/>
          <w:shd w:val="clear" w:color="auto" w:fill="FFFFFF"/>
        </w:rPr>
      </w:pPr>
    </w:p>
    <w:p w14:paraId="6134EE42" w14:textId="77777777" w:rsidR="00A917C2" w:rsidRDefault="001C4313"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r>
        <w:rPr>
          <w:rFonts w:ascii="Times New Roman" w:hAnsi="Times New Roman"/>
          <w:b w:val="0"/>
          <w:bCs w:val="0"/>
          <w:color w:val="000000" w:themeColor="text1"/>
          <w:sz w:val="24"/>
          <w:szCs w:val="24"/>
          <w:shd w:val="clear" w:color="auto" w:fill="FFFFFF"/>
          <w:lang w:val="pt-BR"/>
        </w:rPr>
        <w:t xml:space="preserve">    </w:t>
      </w:r>
      <w:r w:rsidR="006B3CD1" w:rsidRPr="001C4313">
        <w:rPr>
          <w:rFonts w:ascii="Times New Roman" w:hAnsi="Times New Roman"/>
          <w:b w:val="0"/>
          <w:bCs w:val="0"/>
          <w:color w:val="000000" w:themeColor="text1"/>
          <w:sz w:val="24"/>
          <w:szCs w:val="24"/>
          <w:shd w:val="clear" w:color="auto" w:fill="FFFFFF"/>
          <w:lang w:val="pt-BR"/>
        </w:rPr>
        <w:t>A</w:t>
      </w:r>
      <w:r>
        <w:rPr>
          <w:rFonts w:ascii="Times New Roman" w:hAnsi="Times New Roman"/>
          <w:b w:val="0"/>
          <w:bCs w:val="0"/>
          <w:color w:val="000000" w:themeColor="text1"/>
          <w:sz w:val="24"/>
          <w:szCs w:val="24"/>
          <w:shd w:val="clear" w:color="auto" w:fill="FFFFFF"/>
          <w:lang w:val="pt-BR"/>
        </w:rPr>
        <w:t>s</w:t>
      </w:r>
      <w:r w:rsidR="006B3CD1" w:rsidRPr="001C4313">
        <w:rPr>
          <w:rFonts w:ascii="Times New Roman" w:hAnsi="Times New Roman"/>
          <w:b w:val="0"/>
          <w:bCs w:val="0"/>
          <w:color w:val="000000" w:themeColor="text1"/>
          <w:sz w:val="24"/>
          <w:szCs w:val="24"/>
          <w:shd w:val="clear" w:color="auto" w:fill="FFFFFF"/>
          <w:lang w:val="pt-BR"/>
        </w:rPr>
        <w:t xml:space="preserve"> descobertas de novas variantes </w:t>
      </w:r>
      <w:r>
        <w:rPr>
          <w:rFonts w:ascii="Times New Roman" w:hAnsi="Times New Roman"/>
          <w:b w:val="0"/>
          <w:bCs w:val="0"/>
          <w:color w:val="000000" w:themeColor="text1"/>
          <w:sz w:val="24"/>
          <w:szCs w:val="24"/>
          <w:shd w:val="clear" w:color="auto" w:fill="FFFFFF"/>
          <w:lang w:val="pt-BR"/>
        </w:rPr>
        <w:t xml:space="preserve">genéticas </w:t>
      </w:r>
      <w:r w:rsidRPr="001C4313">
        <w:rPr>
          <w:rFonts w:ascii="Times New Roman" w:hAnsi="Times New Roman"/>
          <w:b w:val="0"/>
          <w:bCs w:val="0"/>
          <w:color w:val="000000" w:themeColor="text1"/>
          <w:sz w:val="24"/>
          <w:szCs w:val="24"/>
          <w:shd w:val="clear" w:color="auto" w:fill="FFFFFF"/>
          <w:lang w:val="pt-BR"/>
        </w:rPr>
        <w:t xml:space="preserve">associadas a função tireoidiana </w:t>
      </w:r>
      <w:r>
        <w:rPr>
          <w:rFonts w:ascii="Times New Roman" w:hAnsi="Times New Roman"/>
          <w:b w:val="0"/>
          <w:bCs w:val="0"/>
          <w:color w:val="000000" w:themeColor="text1"/>
          <w:sz w:val="24"/>
          <w:szCs w:val="24"/>
          <w:shd w:val="clear" w:color="auto" w:fill="FFFFFF"/>
          <w:lang w:val="pt-BR"/>
        </w:rPr>
        <w:t xml:space="preserve">por GWAS </w:t>
      </w:r>
      <w:r w:rsidRPr="001C4313">
        <w:rPr>
          <w:rFonts w:ascii="Times New Roman" w:hAnsi="Times New Roman"/>
          <w:b w:val="0"/>
          <w:bCs w:val="0"/>
          <w:color w:val="000000" w:themeColor="text1"/>
          <w:sz w:val="24"/>
          <w:szCs w:val="24"/>
          <w:shd w:val="clear" w:color="auto" w:fill="FFFFFF"/>
          <w:lang w:val="pt-BR"/>
        </w:rPr>
        <w:t>podem melhorar a nossa compreensão sobre a regulação e disfunção dos hormônios tireoidiano</w:t>
      </w:r>
      <w:r>
        <w:rPr>
          <w:rFonts w:ascii="Times New Roman" w:hAnsi="Times New Roman"/>
          <w:b w:val="0"/>
          <w:bCs w:val="0"/>
          <w:color w:val="000000" w:themeColor="text1"/>
          <w:sz w:val="24"/>
          <w:szCs w:val="24"/>
          <w:shd w:val="clear" w:color="auto" w:fill="FFFFFF"/>
          <w:lang w:val="pt-BR"/>
        </w:rPr>
        <w:t>s. Abrem espaço também para o uso potencial desses marcadores na prática clínica</w:t>
      </w:r>
      <w:r w:rsidR="00DD5583">
        <w:rPr>
          <w:rFonts w:ascii="Times New Roman" w:hAnsi="Times New Roman"/>
          <w:b w:val="0"/>
          <w:bCs w:val="0"/>
          <w:color w:val="000000" w:themeColor="text1"/>
          <w:sz w:val="24"/>
          <w:szCs w:val="24"/>
          <w:shd w:val="clear" w:color="auto" w:fill="FFFFFF"/>
          <w:lang w:val="pt-BR"/>
        </w:rPr>
        <w:t xml:space="preserve">, </w:t>
      </w:r>
      <w:r>
        <w:rPr>
          <w:rFonts w:ascii="Times New Roman" w:hAnsi="Times New Roman"/>
          <w:b w:val="0"/>
          <w:bCs w:val="0"/>
          <w:color w:val="000000" w:themeColor="text1"/>
          <w:sz w:val="24"/>
          <w:szCs w:val="24"/>
          <w:shd w:val="clear" w:color="auto" w:fill="FFFFFF"/>
          <w:lang w:val="pt-BR"/>
        </w:rPr>
        <w:t>contribuindo com a medicina de precisão</w:t>
      </w:r>
    </w:p>
    <w:p w14:paraId="4B9940E6"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515B8EC5"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408105E4"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30CBCC01"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155E037B"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52B8333D"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7F9295C8"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358905B4"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64ACA188"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4DBDC1C3"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03BF2A23"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57C04174"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059BD696"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4683EAFE"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4DDAFC72"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65138A03"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39A284CF"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2ACDCC5F" w14:textId="77777777" w:rsidR="00A917C2" w:rsidRDefault="00A917C2" w:rsidP="00350A78">
      <w:pPr>
        <w:pStyle w:val="Ttulo1"/>
        <w:numPr>
          <w:ilvl w:val="0"/>
          <w:numId w:val="0"/>
        </w:numPr>
        <w:spacing w:line="360" w:lineRule="auto"/>
        <w:ind w:left="360"/>
        <w:jc w:val="both"/>
        <w:rPr>
          <w:rFonts w:ascii="Times New Roman" w:hAnsi="Times New Roman"/>
          <w:b w:val="0"/>
          <w:bCs w:val="0"/>
          <w:color w:val="000000" w:themeColor="text1"/>
          <w:sz w:val="24"/>
          <w:szCs w:val="24"/>
          <w:shd w:val="clear" w:color="auto" w:fill="FFFFFF"/>
          <w:lang w:val="pt-BR"/>
        </w:rPr>
      </w:pPr>
    </w:p>
    <w:p w14:paraId="792F5BD0" w14:textId="28E2226B" w:rsidR="00025210" w:rsidRDefault="00025210" w:rsidP="00DA4A2A">
      <w:pPr>
        <w:rPr>
          <w:lang w:eastAsia="en-US"/>
        </w:rPr>
      </w:pPr>
    </w:p>
    <w:p w14:paraId="064F1873" w14:textId="2369A263" w:rsidR="00025210" w:rsidRDefault="00025210" w:rsidP="00DA4A2A">
      <w:pPr>
        <w:rPr>
          <w:lang w:eastAsia="en-US"/>
        </w:rPr>
      </w:pPr>
    </w:p>
    <w:p w14:paraId="268762B1" w14:textId="32E1F904" w:rsidR="00025210" w:rsidRDefault="00025210" w:rsidP="00DA4A2A">
      <w:pPr>
        <w:rPr>
          <w:lang w:eastAsia="en-US"/>
        </w:rPr>
      </w:pPr>
    </w:p>
    <w:p w14:paraId="221AEAB1" w14:textId="7DAA52C7" w:rsidR="00025210" w:rsidRDefault="00025210" w:rsidP="00DA4A2A">
      <w:pPr>
        <w:rPr>
          <w:lang w:eastAsia="en-US"/>
        </w:rPr>
      </w:pPr>
    </w:p>
    <w:p w14:paraId="5D4CF202" w14:textId="77777777" w:rsidR="00A322DB" w:rsidRDefault="00A322DB" w:rsidP="00DA4A2A">
      <w:pPr>
        <w:rPr>
          <w:lang w:eastAsia="en-US"/>
        </w:rPr>
      </w:pPr>
    </w:p>
    <w:p w14:paraId="6BED1EA6" w14:textId="77777777" w:rsidR="00A322DB" w:rsidRDefault="00A322DB" w:rsidP="00DA4A2A">
      <w:pPr>
        <w:rPr>
          <w:lang w:eastAsia="en-US"/>
        </w:rPr>
      </w:pPr>
    </w:p>
    <w:p w14:paraId="02BDC40A" w14:textId="77777777" w:rsidR="00A322DB" w:rsidRDefault="00A322DB" w:rsidP="00DA4A2A">
      <w:pPr>
        <w:rPr>
          <w:lang w:eastAsia="en-US"/>
        </w:rPr>
      </w:pPr>
    </w:p>
    <w:p w14:paraId="45165F51" w14:textId="77777777" w:rsidR="00A322DB" w:rsidRDefault="00A322DB" w:rsidP="00DA4A2A">
      <w:pPr>
        <w:rPr>
          <w:lang w:eastAsia="en-US"/>
        </w:rPr>
      </w:pPr>
    </w:p>
    <w:p w14:paraId="06537C4D" w14:textId="77777777" w:rsidR="00A322DB" w:rsidRDefault="00A322DB" w:rsidP="00DA4A2A">
      <w:pPr>
        <w:rPr>
          <w:lang w:eastAsia="en-US"/>
        </w:rPr>
      </w:pPr>
    </w:p>
    <w:p w14:paraId="0A368B44" w14:textId="698963A0" w:rsidR="00025210" w:rsidRDefault="00025210" w:rsidP="00DA4A2A">
      <w:pPr>
        <w:rPr>
          <w:lang w:eastAsia="en-US"/>
        </w:rPr>
      </w:pPr>
    </w:p>
    <w:p w14:paraId="56BFEC9B" w14:textId="1BE4DD56" w:rsidR="00025210" w:rsidRDefault="00025210" w:rsidP="00DA4A2A">
      <w:pPr>
        <w:rPr>
          <w:lang w:eastAsia="en-US"/>
        </w:rPr>
      </w:pPr>
    </w:p>
    <w:p w14:paraId="360BFCB7" w14:textId="04EAD578" w:rsidR="00025210" w:rsidRDefault="00025210" w:rsidP="00DA4A2A">
      <w:pPr>
        <w:rPr>
          <w:lang w:eastAsia="en-US"/>
        </w:rPr>
      </w:pPr>
    </w:p>
    <w:p w14:paraId="400C2008" w14:textId="2C3598AB" w:rsidR="00025210" w:rsidRDefault="00025210" w:rsidP="00DA4A2A">
      <w:pPr>
        <w:rPr>
          <w:lang w:eastAsia="en-US"/>
        </w:rPr>
      </w:pPr>
    </w:p>
    <w:p w14:paraId="306A848E" w14:textId="36A7C568" w:rsidR="004D50FA" w:rsidRDefault="00D74090" w:rsidP="00A917C2">
      <w:pPr>
        <w:pStyle w:val="Ttulo1"/>
        <w:numPr>
          <w:ilvl w:val="0"/>
          <w:numId w:val="41"/>
        </w:numPr>
        <w:jc w:val="both"/>
        <w:rPr>
          <w:rFonts w:ascii="Times New Roman" w:hAnsi="Times New Roman"/>
          <w:sz w:val="24"/>
          <w:szCs w:val="24"/>
          <w:lang w:val="pt-BR"/>
        </w:rPr>
      </w:pPr>
      <w:r w:rsidRPr="00D74090">
        <w:rPr>
          <w:rFonts w:ascii="Times New Roman" w:hAnsi="Times New Roman"/>
          <w:sz w:val="24"/>
          <w:szCs w:val="24"/>
          <w:lang w:val="pt-BR"/>
        </w:rPr>
        <w:lastRenderedPageBreak/>
        <w:t xml:space="preserve">TRABALHOS GERADOS </w:t>
      </w:r>
      <w:r w:rsidR="00A917C2">
        <w:rPr>
          <w:rFonts w:ascii="Times New Roman" w:hAnsi="Times New Roman"/>
          <w:sz w:val="24"/>
          <w:szCs w:val="24"/>
          <w:lang w:val="pt-BR"/>
        </w:rPr>
        <w:t>DURANTE O CURSO DE</w:t>
      </w:r>
      <w:r w:rsidR="00A917C2" w:rsidRPr="00D74090">
        <w:rPr>
          <w:rFonts w:ascii="Times New Roman" w:hAnsi="Times New Roman"/>
          <w:sz w:val="24"/>
          <w:szCs w:val="24"/>
          <w:lang w:val="pt-BR"/>
        </w:rPr>
        <w:t xml:space="preserve"> </w:t>
      </w:r>
      <w:r w:rsidRPr="00D74090">
        <w:rPr>
          <w:rFonts w:ascii="Times New Roman" w:hAnsi="Times New Roman"/>
          <w:sz w:val="24"/>
          <w:szCs w:val="24"/>
          <w:lang w:val="pt-BR"/>
        </w:rPr>
        <w:t>P</w:t>
      </w:r>
      <w:r w:rsidR="00A917C2">
        <w:rPr>
          <w:rFonts w:ascii="Times New Roman" w:hAnsi="Times New Roman"/>
          <w:sz w:val="24"/>
          <w:szCs w:val="24"/>
          <w:lang w:val="pt-BR"/>
        </w:rPr>
        <w:t>Ó</w:t>
      </w:r>
      <w:r w:rsidRPr="00D74090">
        <w:rPr>
          <w:rFonts w:ascii="Times New Roman" w:hAnsi="Times New Roman"/>
          <w:sz w:val="24"/>
          <w:szCs w:val="24"/>
          <w:lang w:val="pt-BR"/>
        </w:rPr>
        <w:t>S</w:t>
      </w:r>
      <w:r w:rsidR="00A917C2">
        <w:rPr>
          <w:rFonts w:ascii="Times New Roman" w:hAnsi="Times New Roman"/>
          <w:sz w:val="24"/>
          <w:szCs w:val="24"/>
          <w:lang w:val="pt-BR"/>
        </w:rPr>
        <w:t>-</w:t>
      </w:r>
      <w:r w:rsidRPr="00D74090">
        <w:rPr>
          <w:rFonts w:ascii="Times New Roman" w:hAnsi="Times New Roman"/>
          <w:sz w:val="24"/>
          <w:szCs w:val="24"/>
          <w:lang w:val="pt-BR"/>
        </w:rPr>
        <w:t>GRADUAÇÃO</w:t>
      </w:r>
    </w:p>
    <w:p w14:paraId="35835479" w14:textId="0A4C79BB" w:rsidR="00C21036" w:rsidRDefault="00C21036" w:rsidP="00C21036">
      <w:pPr>
        <w:rPr>
          <w:lang w:eastAsia="en-US"/>
        </w:rPr>
      </w:pPr>
    </w:p>
    <w:p w14:paraId="32E6B142" w14:textId="77777777" w:rsidR="00C21036" w:rsidRPr="00C21036" w:rsidRDefault="00C21036" w:rsidP="00C21036">
      <w:pPr>
        <w:rPr>
          <w:lang w:eastAsia="en-US"/>
        </w:rPr>
      </w:pPr>
    </w:p>
    <w:p w14:paraId="52C57DBD" w14:textId="77777777" w:rsidR="00D74090" w:rsidRPr="00D74090" w:rsidRDefault="00D74090" w:rsidP="00D74090">
      <w:pPr>
        <w:jc w:val="both"/>
        <w:rPr>
          <w:lang w:eastAsia="en-US"/>
        </w:rPr>
      </w:pPr>
    </w:p>
    <w:p w14:paraId="298C47D7" w14:textId="7956425A" w:rsidR="005E0259" w:rsidRDefault="004D50FA" w:rsidP="00D74090">
      <w:pPr>
        <w:jc w:val="both"/>
      </w:pPr>
      <w:r w:rsidRPr="004D50FA">
        <w:t>• Apresentação de trabalho no XX E</w:t>
      </w:r>
      <w:r w:rsidR="005E0259">
        <w:t>NCONTRO BRASILEIRO DE TIREOIDE</w:t>
      </w:r>
      <w:r w:rsidR="00A22143">
        <w:t xml:space="preserve"> (</w:t>
      </w:r>
      <w:r w:rsidR="00730E0F">
        <w:t>2000</w:t>
      </w:r>
      <w:r w:rsidR="00A22143">
        <w:t>)</w:t>
      </w:r>
      <w:r w:rsidR="005E0259">
        <w:t xml:space="preserve">, </w:t>
      </w:r>
      <w:r w:rsidRPr="004D50FA">
        <w:t xml:space="preserve">concorrendo </w:t>
      </w:r>
      <w:r w:rsidR="00730E0F" w:rsidRPr="004D50FA">
        <w:t>ao</w:t>
      </w:r>
      <w:r w:rsidRPr="004D50FA">
        <w:t xml:space="preserve"> prêmio </w:t>
      </w:r>
      <w:r w:rsidR="00A917C2" w:rsidRPr="00730E0F">
        <w:rPr>
          <w:i/>
        </w:rPr>
        <w:t>Jovem Cientista</w:t>
      </w:r>
      <w:r w:rsidR="00A917C2" w:rsidRPr="004D50FA">
        <w:t xml:space="preserve"> </w:t>
      </w:r>
      <w:r w:rsidRPr="004D50FA">
        <w:t xml:space="preserve">– apresentação oral: </w:t>
      </w:r>
    </w:p>
    <w:p w14:paraId="37FA34EE" w14:textId="77777777" w:rsidR="005E0259" w:rsidRDefault="005E0259" w:rsidP="00D74090">
      <w:pPr>
        <w:jc w:val="both"/>
      </w:pPr>
    </w:p>
    <w:p w14:paraId="75E48521" w14:textId="69C56039" w:rsidR="00312F9C" w:rsidRPr="00312F9C" w:rsidRDefault="005E0259" w:rsidP="00D74090">
      <w:pPr>
        <w:jc w:val="both"/>
        <w:rPr>
          <w:lang w:val="en-US"/>
        </w:rPr>
      </w:pPr>
      <w:r w:rsidRPr="005E0259">
        <w:rPr>
          <w:lang w:val="en-US"/>
        </w:rPr>
        <w:t>GENOTYPING EIGHT SNPs IN A</w:t>
      </w:r>
      <w:r>
        <w:rPr>
          <w:lang w:val="en-US"/>
        </w:rPr>
        <w:t>N EUTHYROID ELDERLY POPULATION: IMPLICATIONS FOR TSH AND THYROID HORMONE LEVELS VARIATION INTERPRETATION</w:t>
      </w:r>
    </w:p>
    <w:p w14:paraId="70FA19AD" w14:textId="77777777" w:rsidR="006A342B" w:rsidRPr="00312F9C" w:rsidRDefault="006A342B" w:rsidP="00D74090">
      <w:pPr>
        <w:jc w:val="both"/>
        <w:rPr>
          <w:lang w:val="en-US"/>
        </w:rPr>
      </w:pPr>
    </w:p>
    <w:p w14:paraId="77E4D71A" w14:textId="6D462819" w:rsidR="006A342B" w:rsidRPr="005E0259" w:rsidRDefault="006A342B" w:rsidP="00D74090">
      <w:pPr>
        <w:jc w:val="both"/>
        <w:rPr>
          <w:lang w:val="en-US"/>
        </w:rPr>
      </w:pPr>
      <w:r w:rsidRPr="005E0259">
        <w:rPr>
          <w:lang w:val="en-US"/>
        </w:rPr>
        <w:t xml:space="preserve">• Apresentação de </w:t>
      </w:r>
      <w:r w:rsidRPr="00A322DB">
        <w:rPr>
          <w:i/>
          <w:lang w:val="en-US"/>
        </w:rPr>
        <w:t>abstract</w:t>
      </w:r>
      <w:r w:rsidRPr="005E0259">
        <w:rPr>
          <w:lang w:val="en-US"/>
        </w:rPr>
        <w:t xml:space="preserve"> no XVII LATIN AMERICAN THYROID SOCIETY CONGRESS</w:t>
      </w:r>
      <w:r w:rsidR="00A22143">
        <w:rPr>
          <w:lang w:val="en-US"/>
        </w:rPr>
        <w:t xml:space="preserve"> (</w:t>
      </w:r>
      <w:r w:rsidR="00730E0F">
        <w:rPr>
          <w:lang w:val="en-US"/>
        </w:rPr>
        <w:t>2000</w:t>
      </w:r>
      <w:r w:rsidR="00A22143">
        <w:rPr>
          <w:lang w:val="en-US"/>
        </w:rPr>
        <w:t>)</w:t>
      </w:r>
      <w:r w:rsidR="00312F9C" w:rsidRPr="005E0259">
        <w:rPr>
          <w:lang w:val="en-US"/>
        </w:rPr>
        <w:t>:</w:t>
      </w:r>
    </w:p>
    <w:p w14:paraId="17A669F1" w14:textId="03A89440" w:rsidR="006A342B" w:rsidRDefault="006A342B" w:rsidP="00D74090">
      <w:pPr>
        <w:pStyle w:val="NormalWeb"/>
        <w:jc w:val="both"/>
        <w:rPr>
          <w:lang w:val="en-US"/>
        </w:rPr>
      </w:pPr>
      <w:r w:rsidRPr="006A342B">
        <w:rPr>
          <w:lang w:val="en-US"/>
        </w:rPr>
        <w:t xml:space="preserve">DIO2-ORFA-ASP3 POLYMORPHISM RELATIONSHIP WITH SKELETAL MUSCLE MASS INDEX AND THYROID FUNCTION IN ELDERLY PATIENTS </w:t>
      </w:r>
    </w:p>
    <w:p w14:paraId="556DBD9C" w14:textId="009EB59A" w:rsidR="0073341B" w:rsidRPr="006A342B" w:rsidRDefault="006A342B" w:rsidP="00D74090">
      <w:pPr>
        <w:pStyle w:val="NormalWeb"/>
        <w:jc w:val="both"/>
        <w:rPr>
          <w:lang w:val="en-US"/>
        </w:rPr>
      </w:pPr>
      <w:r w:rsidRPr="006A342B">
        <w:rPr>
          <w:lang w:val="en-US"/>
        </w:rPr>
        <w:t xml:space="preserve">THYROID FUNCTION AND SERUM 25OHD LEVELS IN ELDERLY: A CROSS-SECTIONAL POPULATION STUDY </w:t>
      </w:r>
    </w:p>
    <w:p w14:paraId="2F4F1697" w14:textId="08227181" w:rsidR="00F95CE4" w:rsidRPr="00A211C3" w:rsidRDefault="00F95CE4" w:rsidP="00D74090">
      <w:pPr>
        <w:spacing w:before="30" w:line="360" w:lineRule="auto"/>
        <w:jc w:val="both"/>
        <w:rPr>
          <w:color w:val="222222"/>
          <w:lang w:val="en-US"/>
        </w:rPr>
      </w:pPr>
    </w:p>
    <w:p w14:paraId="51D4D8C8" w14:textId="1DD6A6A5" w:rsidR="005809B4" w:rsidRPr="00682595" w:rsidRDefault="005809B4" w:rsidP="00D74090">
      <w:pPr>
        <w:pBdr>
          <w:top w:val="nil"/>
          <w:left w:val="nil"/>
          <w:bottom w:val="nil"/>
          <w:right w:val="nil"/>
          <w:between w:val="nil"/>
        </w:pBdr>
        <w:spacing w:line="360" w:lineRule="auto"/>
        <w:ind w:left="720" w:right="57"/>
        <w:jc w:val="both"/>
        <w:rPr>
          <w:b/>
          <w:color w:val="000000"/>
          <w:lang w:val="en-US"/>
        </w:rPr>
      </w:pPr>
    </w:p>
    <w:p w14:paraId="787955D6" w14:textId="61DEF1F8" w:rsidR="00034A3A" w:rsidRPr="00682595" w:rsidRDefault="00034A3A" w:rsidP="00D74090">
      <w:pPr>
        <w:pBdr>
          <w:top w:val="nil"/>
          <w:left w:val="nil"/>
          <w:bottom w:val="nil"/>
          <w:right w:val="nil"/>
          <w:between w:val="nil"/>
        </w:pBdr>
        <w:spacing w:line="360" w:lineRule="auto"/>
        <w:ind w:left="720" w:right="57"/>
        <w:jc w:val="both"/>
        <w:rPr>
          <w:b/>
          <w:color w:val="000000"/>
          <w:lang w:val="en-US"/>
        </w:rPr>
      </w:pPr>
    </w:p>
    <w:p w14:paraId="40F5A16B" w14:textId="74181242" w:rsidR="00034A3A" w:rsidRDefault="00034A3A" w:rsidP="00D74090">
      <w:pPr>
        <w:pBdr>
          <w:top w:val="nil"/>
          <w:left w:val="nil"/>
          <w:bottom w:val="nil"/>
          <w:right w:val="nil"/>
          <w:between w:val="nil"/>
        </w:pBdr>
        <w:spacing w:line="360" w:lineRule="auto"/>
        <w:ind w:left="720" w:right="57"/>
        <w:jc w:val="both"/>
        <w:rPr>
          <w:b/>
          <w:color w:val="000000"/>
          <w:lang w:val="en-US"/>
        </w:rPr>
      </w:pPr>
    </w:p>
    <w:p w14:paraId="5A816DA7" w14:textId="32588D4A" w:rsidR="00346FE2" w:rsidRDefault="00346FE2" w:rsidP="00D74090">
      <w:pPr>
        <w:pBdr>
          <w:top w:val="nil"/>
          <w:left w:val="nil"/>
          <w:bottom w:val="nil"/>
          <w:right w:val="nil"/>
          <w:between w:val="nil"/>
        </w:pBdr>
        <w:spacing w:line="360" w:lineRule="auto"/>
        <w:ind w:left="720" w:right="57"/>
        <w:jc w:val="both"/>
        <w:rPr>
          <w:b/>
          <w:color w:val="000000"/>
          <w:lang w:val="en-US"/>
        </w:rPr>
      </w:pPr>
    </w:p>
    <w:p w14:paraId="0A311FC3" w14:textId="4A90E93F" w:rsidR="00346FE2" w:rsidRDefault="00346FE2" w:rsidP="00D74090">
      <w:pPr>
        <w:pBdr>
          <w:top w:val="nil"/>
          <w:left w:val="nil"/>
          <w:bottom w:val="nil"/>
          <w:right w:val="nil"/>
          <w:between w:val="nil"/>
        </w:pBdr>
        <w:spacing w:line="360" w:lineRule="auto"/>
        <w:ind w:left="720" w:right="57"/>
        <w:jc w:val="both"/>
        <w:rPr>
          <w:b/>
          <w:color w:val="000000"/>
          <w:lang w:val="en-US"/>
        </w:rPr>
      </w:pPr>
    </w:p>
    <w:p w14:paraId="3450E9A8" w14:textId="5A33D9CF" w:rsidR="00346FE2" w:rsidRDefault="00346FE2" w:rsidP="00D74090">
      <w:pPr>
        <w:pBdr>
          <w:top w:val="nil"/>
          <w:left w:val="nil"/>
          <w:bottom w:val="nil"/>
          <w:right w:val="nil"/>
          <w:between w:val="nil"/>
        </w:pBdr>
        <w:spacing w:line="360" w:lineRule="auto"/>
        <w:ind w:left="720" w:right="57"/>
        <w:jc w:val="both"/>
        <w:rPr>
          <w:b/>
          <w:color w:val="000000"/>
          <w:lang w:val="en-US"/>
        </w:rPr>
      </w:pPr>
    </w:p>
    <w:p w14:paraId="1237B6AA" w14:textId="059886E5" w:rsidR="00346FE2" w:rsidRDefault="00346FE2" w:rsidP="00D74090">
      <w:pPr>
        <w:pBdr>
          <w:top w:val="nil"/>
          <w:left w:val="nil"/>
          <w:bottom w:val="nil"/>
          <w:right w:val="nil"/>
          <w:between w:val="nil"/>
        </w:pBdr>
        <w:spacing w:line="360" w:lineRule="auto"/>
        <w:ind w:left="720" w:right="57"/>
        <w:jc w:val="both"/>
        <w:rPr>
          <w:b/>
          <w:color w:val="000000"/>
          <w:lang w:val="en-US"/>
        </w:rPr>
      </w:pPr>
    </w:p>
    <w:p w14:paraId="477BC2C7" w14:textId="6B35AC88" w:rsidR="00346FE2" w:rsidRDefault="00346FE2" w:rsidP="00D74090">
      <w:pPr>
        <w:pBdr>
          <w:top w:val="nil"/>
          <w:left w:val="nil"/>
          <w:bottom w:val="nil"/>
          <w:right w:val="nil"/>
          <w:between w:val="nil"/>
        </w:pBdr>
        <w:spacing w:line="360" w:lineRule="auto"/>
        <w:ind w:left="720" w:right="57"/>
        <w:jc w:val="both"/>
        <w:rPr>
          <w:b/>
          <w:color w:val="000000"/>
          <w:lang w:val="en-US"/>
        </w:rPr>
      </w:pPr>
    </w:p>
    <w:p w14:paraId="0528D9A4" w14:textId="026FA8B0" w:rsidR="00346FE2" w:rsidRDefault="00346FE2" w:rsidP="00D74090">
      <w:pPr>
        <w:pBdr>
          <w:top w:val="nil"/>
          <w:left w:val="nil"/>
          <w:bottom w:val="nil"/>
          <w:right w:val="nil"/>
          <w:between w:val="nil"/>
        </w:pBdr>
        <w:spacing w:line="360" w:lineRule="auto"/>
        <w:ind w:left="720" w:right="57"/>
        <w:jc w:val="both"/>
        <w:rPr>
          <w:b/>
          <w:color w:val="000000"/>
          <w:lang w:val="en-US"/>
        </w:rPr>
      </w:pPr>
    </w:p>
    <w:p w14:paraId="2C6922C1" w14:textId="5CAE8200" w:rsidR="00F95CE4" w:rsidRPr="00297109" w:rsidRDefault="00347002" w:rsidP="00BA7E51">
      <w:pPr>
        <w:spacing w:line="360" w:lineRule="auto"/>
        <w:ind w:right="57"/>
        <w:jc w:val="both"/>
        <w:rPr>
          <w:color w:val="222222"/>
          <w:lang w:val="en-US"/>
        </w:rPr>
      </w:pPr>
      <w:r w:rsidRPr="00297109">
        <w:rPr>
          <w:color w:val="000000"/>
          <w:lang w:val="en-US"/>
        </w:rPr>
        <w:t xml:space="preserve">     </w:t>
      </w:r>
    </w:p>
    <w:p w14:paraId="5C472A83" w14:textId="167D0705" w:rsidR="005809B4" w:rsidRPr="00297109" w:rsidRDefault="005809B4" w:rsidP="009A16E2">
      <w:pPr>
        <w:spacing w:before="30" w:line="360" w:lineRule="auto"/>
        <w:jc w:val="both"/>
        <w:rPr>
          <w:lang w:val="en-US"/>
        </w:rPr>
      </w:pPr>
      <w:r w:rsidRPr="00297109">
        <w:rPr>
          <w:lang w:val="en-US"/>
        </w:rPr>
        <w:t xml:space="preserve">     </w:t>
      </w:r>
    </w:p>
    <w:p w14:paraId="2670B4A6" w14:textId="584C5724" w:rsidR="00A32E81" w:rsidRPr="00297109" w:rsidRDefault="005809B4" w:rsidP="00541115">
      <w:pPr>
        <w:spacing w:before="30" w:line="360" w:lineRule="auto"/>
        <w:jc w:val="both"/>
        <w:rPr>
          <w:lang w:val="en-US"/>
        </w:rPr>
      </w:pPr>
      <w:r w:rsidRPr="00297109">
        <w:rPr>
          <w:lang w:val="en-US"/>
        </w:rPr>
        <w:t xml:space="preserve"> </w:t>
      </w:r>
    </w:p>
    <w:p w14:paraId="03B7DCFE" w14:textId="3FA5B8BE" w:rsidR="00025210" w:rsidRPr="00297109" w:rsidRDefault="00025210" w:rsidP="00541115">
      <w:pPr>
        <w:spacing w:before="30" w:line="360" w:lineRule="auto"/>
        <w:jc w:val="both"/>
        <w:rPr>
          <w:lang w:val="en-US"/>
        </w:rPr>
      </w:pPr>
    </w:p>
    <w:p w14:paraId="53AD1AE7" w14:textId="32EDED81" w:rsidR="00025210" w:rsidRPr="00297109" w:rsidRDefault="00025210" w:rsidP="00541115">
      <w:pPr>
        <w:spacing w:before="30" w:line="360" w:lineRule="auto"/>
        <w:jc w:val="both"/>
        <w:rPr>
          <w:lang w:val="en-US"/>
        </w:rPr>
      </w:pPr>
    </w:p>
    <w:p w14:paraId="6CBD42AE" w14:textId="33B3FEBA" w:rsidR="00025210" w:rsidRPr="00297109" w:rsidRDefault="00025210" w:rsidP="00541115">
      <w:pPr>
        <w:spacing w:before="30" w:line="360" w:lineRule="auto"/>
        <w:jc w:val="both"/>
        <w:rPr>
          <w:lang w:val="en-US"/>
        </w:rPr>
      </w:pPr>
    </w:p>
    <w:p w14:paraId="1B40069B" w14:textId="024A2468" w:rsidR="00025210" w:rsidRPr="00297109" w:rsidRDefault="00025210" w:rsidP="00541115">
      <w:pPr>
        <w:spacing w:before="30" w:line="360" w:lineRule="auto"/>
        <w:jc w:val="both"/>
        <w:rPr>
          <w:lang w:val="en-US"/>
        </w:rPr>
      </w:pPr>
    </w:p>
    <w:p w14:paraId="46E727F0" w14:textId="2CF3ED58" w:rsidR="00025210" w:rsidRPr="00297109" w:rsidRDefault="00025210" w:rsidP="00541115">
      <w:pPr>
        <w:spacing w:before="30" w:line="360" w:lineRule="auto"/>
        <w:jc w:val="both"/>
        <w:rPr>
          <w:lang w:val="en-US"/>
        </w:rPr>
      </w:pPr>
    </w:p>
    <w:p w14:paraId="24E50391" w14:textId="77777777" w:rsidR="00025210" w:rsidRPr="00297109" w:rsidRDefault="00025210" w:rsidP="00541115">
      <w:pPr>
        <w:spacing w:before="30" w:line="360" w:lineRule="auto"/>
        <w:jc w:val="both"/>
        <w:rPr>
          <w:lang w:val="en-US"/>
        </w:rPr>
      </w:pPr>
    </w:p>
    <w:p w14:paraId="40B02405" w14:textId="77777777" w:rsidR="00A32E81" w:rsidRPr="00297109" w:rsidRDefault="00A32E81" w:rsidP="00541115">
      <w:pPr>
        <w:spacing w:before="30" w:line="360" w:lineRule="auto"/>
        <w:jc w:val="both"/>
        <w:rPr>
          <w:color w:val="222222"/>
          <w:lang w:val="en-US"/>
        </w:rPr>
      </w:pPr>
    </w:p>
    <w:p w14:paraId="43636C3C" w14:textId="39AA3B42" w:rsidR="008E620E" w:rsidRDefault="003F1CC4" w:rsidP="00ED5956">
      <w:pPr>
        <w:pStyle w:val="Ttulo1"/>
        <w:numPr>
          <w:ilvl w:val="0"/>
          <w:numId w:val="0"/>
        </w:numPr>
        <w:spacing w:before="30" w:line="360" w:lineRule="auto"/>
        <w:ind w:left="720" w:hanging="360"/>
        <w:jc w:val="center"/>
        <w:rPr>
          <w:rFonts w:ascii="Times New Roman" w:hAnsi="Times New Roman"/>
          <w:color w:val="202020"/>
          <w:sz w:val="24"/>
          <w:szCs w:val="24"/>
        </w:rPr>
      </w:pPr>
      <w:r w:rsidRPr="00AC6A1D">
        <w:rPr>
          <w:rFonts w:ascii="Times New Roman" w:hAnsi="Times New Roman"/>
          <w:color w:val="202020"/>
          <w:sz w:val="24"/>
          <w:szCs w:val="24"/>
        </w:rPr>
        <w:lastRenderedPageBreak/>
        <w:t>REFERÊNCIAS</w:t>
      </w:r>
    </w:p>
    <w:p w14:paraId="14E74623" w14:textId="77777777" w:rsidR="00215564" w:rsidRPr="00215564" w:rsidRDefault="00215564" w:rsidP="00215564">
      <w:pPr>
        <w:rPr>
          <w:lang w:val="en-US" w:eastAsia="en-US"/>
        </w:rPr>
      </w:pPr>
    </w:p>
    <w:p w14:paraId="0D4AD9E0" w14:textId="0B9518BB" w:rsidR="00FE2BCF" w:rsidRPr="001B4588" w:rsidRDefault="00FE2BCF" w:rsidP="00A917C2">
      <w:pPr>
        <w:ind w:left="426" w:hanging="426"/>
        <w:jc w:val="both"/>
        <w:rPr>
          <w:lang w:val="en-US" w:eastAsia="en-US"/>
        </w:rPr>
      </w:pPr>
    </w:p>
    <w:p w14:paraId="0D12BF62" w14:textId="58C3FB36" w:rsidR="00262059" w:rsidRPr="00262059" w:rsidRDefault="00FE2BCF" w:rsidP="00A917C2">
      <w:pPr>
        <w:widowControl w:val="0"/>
        <w:autoSpaceDE w:val="0"/>
        <w:autoSpaceDN w:val="0"/>
        <w:adjustRightInd w:val="0"/>
        <w:spacing w:before="120" w:after="120"/>
        <w:ind w:left="426" w:hanging="426"/>
        <w:rPr>
          <w:lang w:val="en-US"/>
        </w:rPr>
      </w:pPr>
      <w:r w:rsidRPr="001B4588">
        <w:rPr>
          <w:lang w:val="en-US" w:eastAsia="en-US"/>
        </w:rPr>
        <w:fldChar w:fldCharType="begin"/>
      </w:r>
      <w:r w:rsidRPr="001B4588">
        <w:rPr>
          <w:lang w:val="en-US" w:eastAsia="en-US"/>
        </w:rPr>
        <w:instrText xml:space="preserve"> ADDIN ZOTERO_BIBL {"uncited":[],"omitted":[],"custom":[]} CSL_BIBLIOGRAPHY </w:instrText>
      </w:r>
      <w:r w:rsidRPr="001B4588">
        <w:rPr>
          <w:lang w:val="en-US" w:eastAsia="en-US"/>
        </w:rPr>
        <w:fldChar w:fldCharType="separate"/>
      </w:r>
      <w:r w:rsidR="00262059" w:rsidRPr="00262059">
        <w:rPr>
          <w:lang w:val="en-US"/>
        </w:rPr>
        <w:t>1.</w:t>
      </w:r>
      <w:r w:rsidR="00262059" w:rsidRPr="00262059">
        <w:rPr>
          <w:lang w:val="en-US"/>
        </w:rPr>
        <w:tab/>
        <w:t xml:space="preserve">Barbesino G. Thyroid </w:t>
      </w:r>
      <w:r w:rsidR="000E11DB" w:rsidRPr="00262059">
        <w:rPr>
          <w:lang w:val="en-US"/>
        </w:rPr>
        <w:t>function changes in the elderly and their relationship to cardiovascular health</w:t>
      </w:r>
      <w:r w:rsidR="00262059" w:rsidRPr="00262059">
        <w:rPr>
          <w:lang w:val="en-US"/>
        </w:rPr>
        <w:t>: A</w:t>
      </w:r>
      <w:r w:rsidR="000E11DB" w:rsidRPr="00262059">
        <w:rPr>
          <w:lang w:val="en-US"/>
        </w:rPr>
        <w:t xml:space="preserve"> mini-review</w:t>
      </w:r>
      <w:r w:rsidR="00262059" w:rsidRPr="00262059">
        <w:rPr>
          <w:lang w:val="en-US"/>
        </w:rPr>
        <w:t xml:space="preserve">. Gerontology. 2019;65(1):1–8. </w:t>
      </w:r>
    </w:p>
    <w:p w14:paraId="2344DC7C" w14:textId="3EB3EAAF"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2.</w:t>
      </w:r>
      <w:r w:rsidRPr="00262059">
        <w:rPr>
          <w:lang w:val="en-US"/>
        </w:rPr>
        <w:tab/>
        <w:t>United Nations</w:t>
      </w:r>
      <w:r w:rsidR="000E11DB">
        <w:rPr>
          <w:lang w:val="en-US"/>
        </w:rPr>
        <w:t>.</w:t>
      </w:r>
      <w:r w:rsidRPr="00262059">
        <w:rPr>
          <w:lang w:val="en-US"/>
        </w:rPr>
        <w:t xml:space="preserve"> Department of Economic and Social Affairs</w:t>
      </w:r>
      <w:r w:rsidR="000E11DB">
        <w:rPr>
          <w:lang w:val="en-US"/>
        </w:rPr>
        <w:t>.</w:t>
      </w:r>
      <w:r w:rsidRPr="00262059">
        <w:rPr>
          <w:lang w:val="en-US"/>
        </w:rPr>
        <w:t xml:space="preserve"> Population Division. World population prospects Highlights, 2019 revision </w:t>
      </w:r>
      <w:r w:rsidR="000E11DB">
        <w:rPr>
          <w:lang w:val="en-US"/>
        </w:rPr>
        <w:t>h</w:t>
      </w:r>
      <w:r w:rsidRPr="00262059">
        <w:rPr>
          <w:lang w:val="en-US"/>
        </w:rPr>
        <w:t>ighlights, 2019</w:t>
      </w:r>
      <w:r w:rsidR="000E11DB">
        <w:rPr>
          <w:lang w:val="en-US"/>
        </w:rPr>
        <w:t>.</w:t>
      </w:r>
      <w:r w:rsidRPr="00262059">
        <w:rPr>
          <w:lang w:val="en-US"/>
        </w:rPr>
        <w:t xml:space="preserve"> </w:t>
      </w:r>
    </w:p>
    <w:p w14:paraId="23CB3845" w14:textId="173F126B"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3.</w:t>
      </w:r>
      <w:r w:rsidRPr="00262059">
        <w:rPr>
          <w:lang w:val="en-US"/>
        </w:rPr>
        <w:tab/>
        <w:t>Bowers J, Terrien J, Clerget-Froidevaux MS, Gothié JD, Rozing MP, Westendorp RGJ, et al. Thyroid hormone signaling and homeostasis during aging. Endocr Rev.</w:t>
      </w:r>
      <w:r w:rsidR="000E11DB">
        <w:rPr>
          <w:lang w:val="en-US"/>
        </w:rPr>
        <w:t xml:space="preserve">Aug. </w:t>
      </w:r>
      <w:r w:rsidRPr="00262059">
        <w:rPr>
          <w:lang w:val="en-US"/>
        </w:rPr>
        <w:t xml:space="preserve">2013;34(4):556–89. </w:t>
      </w:r>
    </w:p>
    <w:p w14:paraId="463A83E3" w14:textId="7A411378" w:rsidR="00262059" w:rsidRPr="00262059" w:rsidRDefault="00262059" w:rsidP="00A917C2">
      <w:pPr>
        <w:widowControl w:val="0"/>
        <w:autoSpaceDE w:val="0"/>
        <w:autoSpaceDN w:val="0"/>
        <w:adjustRightInd w:val="0"/>
        <w:spacing w:before="120" w:after="120"/>
        <w:ind w:left="426" w:hanging="426"/>
        <w:rPr>
          <w:lang w:val="en-US"/>
        </w:rPr>
      </w:pPr>
      <w:r w:rsidRPr="00262059">
        <w:t>4.</w:t>
      </w:r>
      <w:r w:rsidRPr="00262059">
        <w:tab/>
        <w:t xml:space="preserve">Bianco AC, Dumitrescu A, Gereben B, Ribeiro MO, Fonseca TL, Fernandes GW, et al. </w:t>
      </w:r>
      <w:r w:rsidRPr="00262059">
        <w:rPr>
          <w:lang w:val="en-US"/>
        </w:rPr>
        <w:t>Paradigms of Dynamic Control of Thyroid Hormone Signaling. Endocrine Reviews. 1</w:t>
      </w:r>
      <w:r w:rsidR="000E11DB">
        <w:rPr>
          <w:lang w:val="en-US"/>
        </w:rPr>
        <w:t xml:space="preserve"> Aug.</w:t>
      </w:r>
      <w:r w:rsidRPr="00262059">
        <w:rPr>
          <w:lang w:val="en-US"/>
        </w:rPr>
        <w:t xml:space="preserve"> 2019;40(4):1000–47. </w:t>
      </w:r>
    </w:p>
    <w:p w14:paraId="4DE2669E" w14:textId="2D94EE90"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5.</w:t>
      </w:r>
      <w:r w:rsidRPr="00262059">
        <w:rPr>
          <w:lang w:val="en-US"/>
        </w:rPr>
        <w:tab/>
        <w:t xml:space="preserve">Fekete C, Lechan RM. Central Regulation of Hypothalamic-Pituitary-Thyroid Axis Under Physiological and Pathophysiological Conditions. </w:t>
      </w:r>
      <w:r w:rsidRPr="00215564">
        <w:rPr>
          <w:lang w:val="en-US"/>
        </w:rPr>
        <w:t>Endocrine Reviews. 1</w:t>
      </w:r>
      <w:r w:rsidRPr="00215564">
        <w:rPr>
          <w:vertAlign w:val="superscript"/>
          <w:lang w:val="en-US"/>
        </w:rPr>
        <w:t>o</w:t>
      </w:r>
      <w:r w:rsidRPr="00215564">
        <w:rPr>
          <w:lang w:val="en-US"/>
        </w:rPr>
        <w:t xml:space="preserve"> </w:t>
      </w:r>
      <w:r w:rsidR="000E11DB" w:rsidRPr="00215564">
        <w:rPr>
          <w:lang w:val="en-US"/>
        </w:rPr>
        <w:t>Apr.</w:t>
      </w:r>
      <w:r w:rsidRPr="00215564">
        <w:rPr>
          <w:lang w:val="en-US"/>
        </w:rPr>
        <w:t xml:space="preserve"> 2014;35(2):159–94. </w:t>
      </w:r>
    </w:p>
    <w:p w14:paraId="01879C5C" w14:textId="4590C97A" w:rsidR="00262059" w:rsidRPr="00215564" w:rsidRDefault="00262059" w:rsidP="00A917C2">
      <w:pPr>
        <w:widowControl w:val="0"/>
        <w:autoSpaceDE w:val="0"/>
        <w:autoSpaceDN w:val="0"/>
        <w:adjustRightInd w:val="0"/>
        <w:spacing w:before="120" w:after="120"/>
        <w:ind w:left="426" w:hanging="426"/>
        <w:rPr>
          <w:lang w:val="en-US"/>
        </w:rPr>
      </w:pPr>
      <w:r w:rsidRPr="00215564">
        <w:rPr>
          <w:lang w:val="en-US"/>
        </w:rPr>
        <w:t>6.</w:t>
      </w:r>
      <w:r w:rsidRPr="00215564">
        <w:rPr>
          <w:lang w:val="en-US"/>
        </w:rPr>
        <w:tab/>
        <w:t xml:space="preserve">Biondi B, Cappola AR, Cooper DS. Subclinical Hypothyroidism: A Review. JAMA. 9 </w:t>
      </w:r>
      <w:r w:rsidR="000E11DB" w:rsidRPr="00215564">
        <w:rPr>
          <w:lang w:val="en-US"/>
        </w:rPr>
        <w:t xml:space="preserve">Jul. </w:t>
      </w:r>
      <w:r w:rsidRPr="00215564">
        <w:rPr>
          <w:lang w:val="en-US"/>
        </w:rPr>
        <w:t xml:space="preserve">2019;322(2):153. </w:t>
      </w:r>
    </w:p>
    <w:p w14:paraId="4A862A8C" w14:textId="5E8E2BE1"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7.</w:t>
      </w:r>
      <w:r w:rsidRPr="00262059">
        <w:rPr>
          <w:lang w:val="en-US"/>
        </w:rPr>
        <w:tab/>
        <w:t xml:space="preserve">Andersen S, Pedersen KM, Bruun NH, Laurberg P. Narrow individual variations in serum T(4) and T(3) in normal subjects: a clue to the understanding of subclinical thyroid disease. </w:t>
      </w:r>
      <w:r w:rsidRPr="00215564">
        <w:rPr>
          <w:lang w:val="en-US"/>
        </w:rPr>
        <w:t xml:space="preserve">J Clin Endocrinol Metab. </w:t>
      </w:r>
      <w:r w:rsidR="000E11DB" w:rsidRPr="00215564">
        <w:rPr>
          <w:lang w:val="en-US"/>
        </w:rPr>
        <w:t>Mar.</w:t>
      </w:r>
      <w:r w:rsidRPr="00215564">
        <w:rPr>
          <w:lang w:val="en-US"/>
        </w:rPr>
        <w:t xml:space="preserve"> 2002;87(3):1068–72. </w:t>
      </w:r>
    </w:p>
    <w:p w14:paraId="181B0E63" w14:textId="0F36396C" w:rsidR="00262059" w:rsidRPr="00262059" w:rsidRDefault="00262059" w:rsidP="00A917C2">
      <w:pPr>
        <w:widowControl w:val="0"/>
        <w:autoSpaceDE w:val="0"/>
        <w:autoSpaceDN w:val="0"/>
        <w:adjustRightInd w:val="0"/>
        <w:spacing w:before="120" w:after="120"/>
        <w:ind w:left="426" w:hanging="426"/>
        <w:rPr>
          <w:lang w:val="en-US"/>
        </w:rPr>
      </w:pPr>
      <w:r w:rsidRPr="00215564">
        <w:rPr>
          <w:lang w:val="en-US"/>
        </w:rPr>
        <w:t>8.</w:t>
      </w:r>
      <w:r w:rsidRPr="00215564">
        <w:rPr>
          <w:lang w:val="en-US"/>
        </w:rPr>
        <w:tab/>
        <w:t xml:space="preserve">Peeters RP, van der Deure WM, Visser TJ. </w:t>
      </w:r>
      <w:r w:rsidRPr="00262059">
        <w:rPr>
          <w:lang w:val="en-US"/>
        </w:rPr>
        <w:t xml:space="preserve">Genetic variation in thyroid hormone pathway genes; polymorphisms in the TSH receptor and the iodothyronine deiodinases. Eur J Endocrinol. </w:t>
      </w:r>
      <w:r w:rsidR="000E11DB">
        <w:rPr>
          <w:lang w:val="en-US"/>
        </w:rPr>
        <w:t>Nov.</w:t>
      </w:r>
      <w:r w:rsidRPr="00262059">
        <w:rPr>
          <w:lang w:val="en-US"/>
        </w:rPr>
        <w:t xml:space="preserve"> 2006;155(5):655–62. </w:t>
      </w:r>
    </w:p>
    <w:p w14:paraId="61039C84" w14:textId="401EC42D"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9.</w:t>
      </w:r>
      <w:r w:rsidRPr="00262059">
        <w:rPr>
          <w:lang w:val="en-US"/>
        </w:rPr>
        <w:tab/>
        <w:t>Kuś A, Chaker L, Teumer A, Peeters RP, Medici M. The Genetic Basis of Thyroid Function: Novel Findings and New Approaches. The Journal of Clinical Endocrinology &amp; Metabolism. 1</w:t>
      </w:r>
      <w:r w:rsidR="000E11DB">
        <w:rPr>
          <w:lang w:val="en-US"/>
        </w:rPr>
        <w:t xml:space="preserve"> Jun</w:t>
      </w:r>
      <w:r w:rsidRPr="00262059">
        <w:rPr>
          <w:lang w:val="en-US"/>
        </w:rPr>
        <w:t xml:space="preserve"> 2020;105(6):1707–21. </w:t>
      </w:r>
    </w:p>
    <w:p w14:paraId="629868C4" w14:textId="7758C66A"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10.</w:t>
      </w:r>
      <w:r w:rsidRPr="00262059">
        <w:rPr>
          <w:lang w:val="en-US"/>
        </w:rPr>
        <w:tab/>
        <w:t xml:space="preserve">Hansen PS, Brix TH, Sørensen TIA, Kyvik KO, Hegedüs L. Major Genetic Influence on the Regulation of the Pituitary-Thyroid Axis: A Study of Healthy Danish Twins. The Journal of Clinical Endocrinology &amp; Metabolism. </w:t>
      </w:r>
      <w:r w:rsidR="000E11DB">
        <w:rPr>
          <w:lang w:val="en-US"/>
        </w:rPr>
        <w:t>Mar.</w:t>
      </w:r>
      <w:r w:rsidRPr="00262059">
        <w:rPr>
          <w:lang w:val="en-US"/>
        </w:rPr>
        <w:t xml:space="preserve"> 2004;89(3):1181–7. </w:t>
      </w:r>
    </w:p>
    <w:p w14:paraId="0BF807DD" w14:textId="23C0C912"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11.</w:t>
      </w:r>
      <w:r w:rsidRPr="00262059">
        <w:rPr>
          <w:lang w:val="en-US"/>
        </w:rPr>
        <w:tab/>
        <w:t xml:space="preserve">Atzmon G, Barzilai N, Hollowell JG, Surks MI, Gabriely I. Extreme Longevity Is Associated with Increased Serum Thyrotropin. The Journal of Clinical Endocrinology &amp; Metabolism. </w:t>
      </w:r>
      <w:r w:rsidR="000E11DB">
        <w:rPr>
          <w:lang w:val="en-US"/>
        </w:rPr>
        <w:t>Apr.</w:t>
      </w:r>
      <w:r w:rsidRPr="00262059">
        <w:rPr>
          <w:lang w:val="en-US"/>
        </w:rPr>
        <w:t xml:space="preserve"> 2009;94(4):1251–4. </w:t>
      </w:r>
    </w:p>
    <w:p w14:paraId="455268E6" w14:textId="35EE750E"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12.</w:t>
      </w:r>
      <w:r w:rsidRPr="00262059">
        <w:rPr>
          <w:lang w:val="en-US"/>
        </w:rPr>
        <w:tab/>
        <w:t xml:space="preserve">Bremner AP, Feddema P, Leedman PJ, Brown SJ, Beilby JP, Lim EM, et al. Age-Related Changes in Thyroid Function: A Longitudinal Study of a Community-Based Cohort. The Journal of Clinical Endocrinology &amp; Metabolism. </w:t>
      </w:r>
      <w:r w:rsidR="000E11DB">
        <w:rPr>
          <w:lang w:val="en-US"/>
        </w:rPr>
        <w:t>May</w:t>
      </w:r>
      <w:r w:rsidRPr="00262059">
        <w:rPr>
          <w:lang w:val="en-US"/>
        </w:rPr>
        <w:t xml:space="preserve"> 2012;97(5):1554–62. </w:t>
      </w:r>
    </w:p>
    <w:p w14:paraId="058F2191" w14:textId="57DFF45D"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13.</w:t>
      </w:r>
      <w:r w:rsidRPr="00262059">
        <w:rPr>
          <w:lang w:val="en-US"/>
        </w:rPr>
        <w:tab/>
        <w:t xml:space="preserve">Jansen SW, Roelfsema F, van der Spoel E, Akintola AA, Postmus I, Ballieux BE, et al. Familial Longevity Is Associated With Higher TSH Secretion and Strong TSH-fT3 Relationship. </w:t>
      </w:r>
      <w:r w:rsidRPr="00215564">
        <w:rPr>
          <w:lang w:val="en-US"/>
        </w:rPr>
        <w:t>The Journal of Clinical Endocrinology &amp; Metabolism. 1</w:t>
      </w:r>
      <w:r w:rsidR="000E11DB" w:rsidRPr="00215564">
        <w:rPr>
          <w:lang w:val="en-US"/>
        </w:rPr>
        <w:t xml:space="preserve"> Oct.</w:t>
      </w:r>
      <w:r w:rsidRPr="00215564">
        <w:rPr>
          <w:lang w:val="en-US"/>
        </w:rPr>
        <w:t xml:space="preserve"> 2015;100(10):3806–13. </w:t>
      </w:r>
    </w:p>
    <w:p w14:paraId="5F075B44" w14:textId="45AE6DD9"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14.</w:t>
      </w:r>
      <w:r w:rsidRPr="00262059">
        <w:rPr>
          <w:lang w:val="en-US"/>
        </w:rPr>
        <w:tab/>
        <w:t xml:space="preserve">Atzmon G, Barzilai N, Surks MI, Gabriely I. Genetic Predisposition to Elevated Serum Thyrotropin Is Associated with Exceptional Longevity. J Clin Endocrinol Metab. </w:t>
      </w:r>
      <w:r w:rsidR="000E11DB">
        <w:rPr>
          <w:lang w:val="en-US"/>
        </w:rPr>
        <w:t>Dec.</w:t>
      </w:r>
      <w:r w:rsidRPr="00262059">
        <w:rPr>
          <w:lang w:val="en-US"/>
        </w:rPr>
        <w:t xml:space="preserve"> 2009;94(12):4768–75. </w:t>
      </w:r>
    </w:p>
    <w:p w14:paraId="38452442" w14:textId="4FB90469"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lastRenderedPageBreak/>
        <w:t>15.</w:t>
      </w:r>
      <w:r w:rsidRPr="00262059">
        <w:rPr>
          <w:lang w:val="en-US"/>
        </w:rPr>
        <w:tab/>
        <w:t xml:space="preserve">Rozing MP, Houwing-Duistermaat JJ, Slagboom PE, Beekman M, Frölich M, de Craen AJM, et al. Familial longevity is associated with decreased thyroid function. J Clin Endocrinol Metab. </w:t>
      </w:r>
      <w:r w:rsidR="000E11DB">
        <w:rPr>
          <w:lang w:val="en-US"/>
        </w:rPr>
        <w:t>Nov.</w:t>
      </w:r>
      <w:r w:rsidRPr="00262059">
        <w:rPr>
          <w:lang w:val="en-US"/>
        </w:rPr>
        <w:t xml:space="preserve"> 2010;95(11):4979–84. </w:t>
      </w:r>
    </w:p>
    <w:p w14:paraId="4F8CC8AC" w14:textId="07EAFD2D"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16.</w:t>
      </w:r>
      <w:r w:rsidRPr="00262059">
        <w:rPr>
          <w:lang w:val="en-US"/>
        </w:rPr>
        <w:tab/>
        <w:t xml:space="preserve">Panicker V. Genetics of Thyroid Function and Disease. </w:t>
      </w:r>
      <w:r w:rsidRPr="00215564">
        <w:rPr>
          <w:lang w:val="en-US"/>
        </w:rPr>
        <w:t xml:space="preserve">Clin Biochem Rev. </w:t>
      </w:r>
      <w:r w:rsidR="000E11DB" w:rsidRPr="00215564">
        <w:rPr>
          <w:lang w:val="en-US"/>
        </w:rPr>
        <w:t>Nov.</w:t>
      </w:r>
      <w:r w:rsidRPr="00215564">
        <w:rPr>
          <w:lang w:val="en-US"/>
        </w:rPr>
        <w:t xml:space="preserve"> 2011;32(4):165–75. </w:t>
      </w:r>
    </w:p>
    <w:p w14:paraId="66FB6060" w14:textId="5CFF5055"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17.</w:t>
      </w:r>
      <w:r w:rsidRPr="00262059">
        <w:rPr>
          <w:lang w:val="en-US"/>
        </w:rPr>
        <w:tab/>
        <w:t xml:space="preserve">The UK10K Consortium, Taylor PN, Porcu E, Chew S, Campbell PJ, Traglia M, et al. Whole-genome sequence-based analysis of thyroid function. Nat Commun. 5 </w:t>
      </w:r>
      <w:r w:rsidR="000E11DB">
        <w:rPr>
          <w:lang w:val="en-US"/>
        </w:rPr>
        <w:t xml:space="preserve">May </w:t>
      </w:r>
      <w:r w:rsidRPr="00262059">
        <w:rPr>
          <w:lang w:val="en-US"/>
        </w:rPr>
        <w:t xml:space="preserve">2015;6(1):5681. </w:t>
      </w:r>
    </w:p>
    <w:p w14:paraId="54AD204F" w14:textId="49B9B46E"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18.</w:t>
      </w:r>
      <w:r w:rsidRPr="00262059">
        <w:rPr>
          <w:lang w:val="en-US"/>
        </w:rPr>
        <w:tab/>
        <w:t xml:space="preserve">Lifelines Cohort Study, Teumer A, Chaker L, Groeneweg S, Li Y, Di Munno C, et al. Genome-wide analyses identify a role for SLC17A4 and AADAT in thyroid hormone regulation. Nat Commun. </w:t>
      </w:r>
      <w:r w:rsidR="000E11DB">
        <w:rPr>
          <w:lang w:val="en-US"/>
        </w:rPr>
        <w:t>Dec.</w:t>
      </w:r>
      <w:r w:rsidRPr="00262059">
        <w:rPr>
          <w:lang w:val="en-US"/>
        </w:rPr>
        <w:t xml:space="preserve"> 2018;9(1):4455. </w:t>
      </w:r>
    </w:p>
    <w:p w14:paraId="10BD63F3" w14:textId="744BBAD9"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19.</w:t>
      </w:r>
      <w:r w:rsidRPr="00262059">
        <w:rPr>
          <w:lang w:val="en-US"/>
        </w:rPr>
        <w:tab/>
        <w:t xml:space="preserve">Zhou W, Brumpton B, Kabil O, Gudmundsson J, Thorleifsson G, Weinstock J, et al. GWAS of thyroid stimulating hormone highlights pleiotropic effects and inverse association with thyroid cancer. Nat Commun. </w:t>
      </w:r>
      <w:r w:rsidR="000E11DB">
        <w:rPr>
          <w:lang w:val="en-US"/>
        </w:rPr>
        <w:t>Dec.</w:t>
      </w:r>
      <w:r w:rsidRPr="00262059">
        <w:rPr>
          <w:lang w:val="en-US"/>
        </w:rPr>
        <w:t xml:space="preserve"> 2020;11(1):3981. </w:t>
      </w:r>
    </w:p>
    <w:p w14:paraId="4CB00E4F" w14:textId="184BFD56"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20.</w:t>
      </w:r>
      <w:r w:rsidRPr="00262059">
        <w:rPr>
          <w:lang w:val="en-US"/>
        </w:rPr>
        <w:tab/>
        <w:t>Peeters RP, van den Beld AW, Attalki H, Toor H van, de Rijke YB, Kuiper GGJM, et al. A new polymorphism in the type II deiodinase gene is associated with circulating thyroid hormone parameters. Am J Physiol Endocrinol Metab.</w:t>
      </w:r>
      <w:r w:rsidR="000E11DB">
        <w:rPr>
          <w:lang w:val="en-US"/>
        </w:rPr>
        <w:t>Jul.</w:t>
      </w:r>
      <w:r w:rsidRPr="00262059">
        <w:rPr>
          <w:lang w:val="en-US"/>
        </w:rPr>
        <w:t xml:space="preserve"> 2005;289(1):E75-81. </w:t>
      </w:r>
    </w:p>
    <w:p w14:paraId="1921CCE9" w14:textId="3642924D"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21.</w:t>
      </w:r>
      <w:r w:rsidRPr="00262059">
        <w:rPr>
          <w:lang w:val="en-US"/>
        </w:rPr>
        <w:tab/>
        <w:t xml:space="preserve">Chaker L, Wolters FJ, Bos D, Korevaar TIM, Hofman A, van der Lugt A, et al. Thyroid function and the risk of dementia: The Rotterdam Study. </w:t>
      </w:r>
      <w:r w:rsidRPr="00215564">
        <w:rPr>
          <w:lang w:val="en-US"/>
        </w:rPr>
        <w:t xml:space="preserve">Neurology. 18 </w:t>
      </w:r>
      <w:r w:rsidR="000E11DB" w:rsidRPr="00215564">
        <w:rPr>
          <w:lang w:val="en-US"/>
        </w:rPr>
        <w:t>Oct.</w:t>
      </w:r>
      <w:r w:rsidRPr="00215564">
        <w:rPr>
          <w:lang w:val="en-US"/>
        </w:rPr>
        <w:t xml:space="preserve"> 2016;87(16):1688–95. </w:t>
      </w:r>
    </w:p>
    <w:p w14:paraId="40BEC2D0" w14:textId="3ED4413A" w:rsidR="00262059" w:rsidRPr="00262059" w:rsidRDefault="00262059" w:rsidP="00A917C2">
      <w:pPr>
        <w:widowControl w:val="0"/>
        <w:autoSpaceDE w:val="0"/>
        <w:autoSpaceDN w:val="0"/>
        <w:adjustRightInd w:val="0"/>
        <w:spacing w:before="120" w:after="120"/>
        <w:ind w:left="426" w:hanging="426"/>
      </w:pPr>
      <w:r w:rsidRPr="00215564">
        <w:rPr>
          <w:lang w:val="en-US"/>
        </w:rPr>
        <w:t>22.</w:t>
      </w:r>
      <w:r w:rsidRPr="00215564">
        <w:rPr>
          <w:lang w:val="en-US"/>
        </w:rPr>
        <w:tab/>
        <w:t xml:space="preserve">Gussekloo J, van Exel E, de Craen AJM, Meinders AE, Frölich M, Westendorp RGJ. </w:t>
      </w:r>
      <w:r w:rsidRPr="00262059">
        <w:rPr>
          <w:lang w:val="en-US"/>
        </w:rPr>
        <w:t xml:space="preserve">Thyroid status, disability and cognitive function, and survival in old age. </w:t>
      </w:r>
      <w:r w:rsidRPr="00262059">
        <w:t>JAMA. 1</w:t>
      </w:r>
      <w:r w:rsidR="000E11DB">
        <w:t xml:space="preserve"> Dec.</w:t>
      </w:r>
      <w:r w:rsidRPr="00262059">
        <w:t xml:space="preserve"> 2004;292(21):2591–9. </w:t>
      </w:r>
    </w:p>
    <w:p w14:paraId="714479EE" w14:textId="6FD72C7A" w:rsidR="00262059" w:rsidRPr="00EF787F" w:rsidRDefault="00262059" w:rsidP="00A917C2">
      <w:pPr>
        <w:widowControl w:val="0"/>
        <w:autoSpaceDE w:val="0"/>
        <w:autoSpaceDN w:val="0"/>
        <w:adjustRightInd w:val="0"/>
        <w:spacing w:before="120" w:after="120"/>
        <w:ind w:left="426" w:hanging="426"/>
      </w:pPr>
      <w:r w:rsidRPr="00262059">
        <w:t>23.</w:t>
      </w:r>
      <w:r w:rsidRPr="00262059">
        <w:tab/>
        <w:t xml:space="preserve">Bano A, Chaker L, Mattace-Raso FUS, van der Lugt A, Ikram MA, Franco OH, et al. </w:t>
      </w:r>
      <w:r w:rsidRPr="00262059">
        <w:rPr>
          <w:lang w:val="en-US"/>
        </w:rPr>
        <w:t xml:space="preserve">Thyroid Function and the Risk of Atherosclerotic Cardiovascular Morbidity and Mortality: The Rotterdam Study. </w:t>
      </w:r>
      <w:r w:rsidRPr="007963A7">
        <w:t xml:space="preserve">Circ Res. 8 </w:t>
      </w:r>
      <w:r w:rsidR="000E11DB" w:rsidRPr="007963A7">
        <w:t>Dec.</w:t>
      </w:r>
      <w:r w:rsidRPr="00EF787F">
        <w:t xml:space="preserve"> 2017;121(12):1392–400. </w:t>
      </w:r>
    </w:p>
    <w:p w14:paraId="6B068D87" w14:textId="18D82339" w:rsidR="00262059" w:rsidRPr="00262059" w:rsidRDefault="00262059" w:rsidP="00A917C2">
      <w:pPr>
        <w:widowControl w:val="0"/>
        <w:autoSpaceDE w:val="0"/>
        <w:autoSpaceDN w:val="0"/>
        <w:adjustRightInd w:val="0"/>
        <w:spacing w:before="120" w:after="120"/>
        <w:ind w:left="426" w:hanging="426"/>
        <w:rPr>
          <w:lang w:val="en-US"/>
        </w:rPr>
      </w:pPr>
      <w:r w:rsidRPr="00EF787F">
        <w:t>24.</w:t>
      </w:r>
      <w:r w:rsidRPr="00EF787F">
        <w:tab/>
        <w:t xml:space="preserve">Aubert CE, Floriani C, Bauer DC, da Costa BR, Segna D, Blum MR, et al. </w:t>
      </w:r>
      <w:r w:rsidRPr="00262059">
        <w:rPr>
          <w:lang w:val="en-US"/>
        </w:rPr>
        <w:t>Thyroid Function Tests in the Reference Range and Fracture: Individual Participant Analysis of Prospective Cohorts. J Clin Endocrinol Metab. 1</w:t>
      </w:r>
      <w:r w:rsidR="000E11DB">
        <w:rPr>
          <w:lang w:val="en-US"/>
        </w:rPr>
        <w:t xml:space="preserve"> </w:t>
      </w:r>
      <w:r w:rsidR="000E11DB" w:rsidRPr="000E11DB">
        <w:rPr>
          <w:lang w:val="en-US"/>
        </w:rPr>
        <w:t>A</w:t>
      </w:r>
      <w:r w:rsidR="000E11DB">
        <w:rPr>
          <w:lang w:val="en-US"/>
        </w:rPr>
        <w:t>u</w:t>
      </w:r>
      <w:r w:rsidR="000E11DB" w:rsidRPr="000E11DB">
        <w:rPr>
          <w:lang w:val="en-US"/>
        </w:rPr>
        <w:t>g</w:t>
      </w:r>
      <w:r w:rsidR="000E11DB">
        <w:rPr>
          <w:lang w:val="en-US"/>
        </w:rPr>
        <w:t>.</w:t>
      </w:r>
      <w:r w:rsidRPr="00262059">
        <w:rPr>
          <w:lang w:val="en-US"/>
        </w:rPr>
        <w:t xml:space="preserve"> 2017;102(8):2719–28. </w:t>
      </w:r>
    </w:p>
    <w:p w14:paraId="75706DCC" w14:textId="36CC0764"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25.</w:t>
      </w:r>
      <w:r w:rsidRPr="00262059">
        <w:rPr>
          <w:lang w:val="en-US"/>
        </w:rPr>
        <w:tab/>
        <w:t xml:space="preserve">Inoue K, Tsujimoto T, Saito J, Sugiyama T. Association Between Serum Thyrotropin Levels and Mortality Among Euthyroid Adults in the United States. Thyroid. </w:t>
      </w:r>
      <w:r w:rsidR="000E11DB">
        <w:rPr>
          <w:lang w:val="en-US"/>
        </w:rPr>
        <w:t>Oct.</w:t>
      </w:r>
      <w:r w:rsidRPr="00262059">
        <w:rPr>
          <w:lang w:val="en-US"/>
        </w:rPr>
        <w:t xml:space="preserve"> 2016;26(10):1457–65. </w:t>
      </w:r>
    </w:p>
    <w:p w14:paraId="753131C1" w14:textId="4C445E52" w:rsidR="00262059" w:rsidRPr="00262059" w:rsidRDefault="00262059" w:rsidP="00A917C2">
      <w:pPr>
        <w:widowControl w:val="0"/>
        <w:autoSpaceDE w:val="0"/>
        <w:autoSpaceDN w:val="0"/>
        <w:adjustRightInd w:val="0"/>
        <w:spacing w:before="120" w:after="120"/>
        <w:ind w:left="426" w:hanging="426"/>
      </w:pPr>
      <w:r w:rsidRPr="00262059">
        <w:rPr>
          <w:lang w:val="en-US"/>
        </w:rPr>
        <w:t>26.</w:t>
      </w:r>
      <w:r w:rsidRPr="00262059">
        <w:rPr>
          <w:lang w:val="en-US"/>
        </w:rPr>
        <w:tab/>
        <w:t xml:space="preserve">Biondi B, Cooper DS. The clinical significance of subclinical thyroid dysfunction. </w:t>
      </w:r>
      <w:r w:rsidRPr="00262059">
        <w:t xml:space="preserve">Endocr Rev. </w:t>
      </w:r>
      <w:r w:rsidR="000E11DB">
        <w:t>Feb.</w:t>
      </w:r>
      <w:r w:rsidRPr="00262059">
        <w:t xml:space="preserve"> 2008;29(1):76–131. </w:t>
      </w:r>
    </w:p>
    <w:p w14:paraId="7B4EA2AF" w14:textId="77777777" w:rsidR="00262059" w:rsidRPr="00262059" w:rsidRDefault="00262059" w:rsidP="00A917C2">
      <w:pPr>
        <w:widowControl w:val="0"/>
        <w:autoSpaceDE w:val="0"/>
        <w:autoSpaceDN w:val="0"/>
        <w:adjustRightInd w:val="0"/>
        <w:spacing w:before="120" w:after="120"/>
        <w:ind w:left="426" w:hanging="426"/>
      </w:pPr>
      <w:r w:rsidRPr="00262059">
        <w:t>27.</w:t>
      </w:r>
      <w:r w:rsidRPr="00262059">
        <w:tab/>
        <w:t xml:space="preserve">Watad A, Bragazzi NL, Adawi M, Amital H, Toubi E, Porat BS, et al. </w:t>
      </w:r>
      <w:r w:rsidRPr="00262059">
        <w:rPr>
          <w:lang w:val="en-US"/>
        </w:rPr>
        <w:t xml:space="preserve">Autoimmunity in the Elderly: Insights from Basic Science and Clinics - A Mini-Review. </w:t>
      </w:r>
      <w:r w:rsidRPr="00262059">
        <w:t xml:space="preserve">Gerontology. 2017;63(6):515–23. </w:t>
      </w:r>
    </w:p>
    <w:p w14:paraId="12C4113B" w14:textId="77777777" w:rsidR="00262059" w:rsidRPr="00262059" w:rsidRDefault="00262059" w:rsidP="00A917C2">
      <w:pPr>
        <w:widowControl w:val="0"/>
        <w:autoSpaceDE w:val="0"/>
        <w:autoSpaceDN w:val="0"/>
        <w:adjustRightInd w:val="0"/>
        <w:spacing w:before="120" w:after="120"/>
        <w:ind w:left="426" w:hanging="426"/>
      </w:pPr>
      <w:r w:rsidRPr="00262059">
        <w:t>28.</w:t>
      </w:r>
      <w:r w:rsidRPr="00262059">
        <w:tab/>
        <w:t>IBGE | Portal do IBGE | IBGE [Internet]. [citado 27 de janeiro de 2022]. Disponível em: https://www.ibge.gov.br/</w:t>
      </w:r>
    </w:p>
    <w:p w14:paraId="06D5CF71" w14:textId="75E34534" w:rsidR="00262059" w:rsidRPr="00262059" w:rsidRDefault="00262059" w:rsidP="00A917C2">
      <w:pPr>
        <w:widowControl w:val="0"/>
        <w:autoSpaceDE w:val="0"/>
        <w:autoSpaceDN w:val="0"/>
        <w:adjustRightInd w:val="0"/>
        <w:spacing w:before="120" w:after="120"/>
        <w:ind w:left="426" w:hanging="426"/>
        <w:rPr>
          <w:lang w:val="en-US"/>
        </w:rPr>
      </w:pPr>
      <w:r w:rsidRPr="00262059">
        <w:t>29.</w:t>
      </w:r>
      <w:r w:rsidRPr="00262059">
        <w:tab/>
        <w:t xml:space="preserve">Mariotti S, Barbesino G, Caturegli P, Bartalena L, Sansoni P, Fagnoni F, et al. </w:t>
      </w:r>
      <w:r w:rsidRPr="00262059">
        <w:rPr>
          <w:lang w:val="en-US"/>
        </w:rPr>
        <w:t xml:space="preserve">Complex alteration of thyroid function in healthy centenarians. J Clin Endocrinol Metab. </w:t>
      </w:r>
      <w:r w:rsidR="000E11DB">
        <w:rPr>
          <w:lang w:val="en-US"/>
        </w:rPr>
        <w:t>Nov.</w:t>
      </w:r>
      <w:r w:rsidRPr="00262059">
        <w:rPr>
          <w:lang w:val="en-US"/>
        </w:rPr>
        <w:t xml:space="preserve"> 1993;77(5):1130–4. </w:t>
      </w:r>
    </w:p>
    <w:p w14:paraId="5383CEB5" w14:textId="2AE2DECB"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30.</w:t>
      </w:r>
      <w:r w:rsidRPr="00262059">
        <w:rPr>
          <w:lang w:val="en-US"/>
        </w:rPr>
        <w:tab/>
        <w:t xml:space="preserve">Hill M, Třískala Z, Honců P, Krejčí M, Kajzar J, Bičíková M, et al. Aging, hormones and receptors. Physiol Res. 30 </w:t>
      </w:r>
      <w:r w:rsidR="000E11DB">
        <w:rPr>
          <w:lang w:val="en-US"/>
        </w:rPr>
        <w:t>Sep.</w:t>
      </w:r>
      <w:r w:rsidRPr="00262059">
        <w:rPr>
          <w:lang w:val="en-US"/>
        </w:rPr>
        <w:t xml:space="preserve"> 2020;69(Suppl 2):S255–72. </w:t>
      </w:r>
    </w:p>
    <w:p w14:paraId="029DD97D" w14:textId="5C89D1CF"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lastRenderedPageBreak/>
        <w:t>31.</w:t>
      </w:r>
      <w:r w:rsidRPr="00262059">
        <w:rPr>
          <w:lang w:val="en-US"/>
        </w:rPr>
        <w:tab/>
        <w:t xml:space="preserve">Chaker L, Cappola AR, Mooijaart SP, Peeters RP. Clinical aspects of thyroid function during ageing. The Lancet Diabetes &amp; Endocrinology. </w:t>
      </w:r>
      <w:r w:rsidR="000E11DB">
        <w:rPr>
          <w:lang w:val="en-US"/>
        </w:rPr>
        <w:t>Sep.</w:t>
      </w:r>
      <w:r w:rsidRPr="00262059">
        <w:rPr>
          <w:lang w:val="en-US"/>
        </w:rPr>
        <w:t xml:space="preserve"> 2018;6(9):733–42. </w:t>
      </w:r>
    </w:p>
    <w:p w14:paraId="7CAD3AD1" w14:textId="2E42D7A7"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32.</w:t>
      </w:r>
      <w:r w:rsidRPr="00262059">
        <w:rPr>
          <w:lang w:val="en-US"/>
        </w:rPr>
        <w:tab/>
        <w:t xml:space="preserve">Hollowell JG, Staehling NW, Flanders WD, Hannon WH, Gunter EW, Spencer CA, et al. Serum TSH, T(4), and thyroid antibodies in the United States population (1988 to 1994): National Health and Nutrition Examination Survey (NHANES III). </w:t>
      </w:r>
      <w:r w:rsidRPr="00215564">
        <w:rPr>
          <w:lang w:val="en-US"/>
        </w:rPr>
        <w:t xml:space="preserve">J Clin Endocrinol Metab. </w:t>
      </w:r>
      <w:r w:rsidR="000E11DB" w:rsidRPr="00215564">
        <w:rPr>
          <w:lang w:val="en-US"/>
        </w:rPr>
        <w:t>Feb.</w:t>
      </w:r>
      <w:r w:rsidRPr="00215564">
        <w:rPr>
          <w:lang w:val="en-US"/>
        </w:rPr>
        <w:t xml:space="preserve"> 2002;87(2):489–99. </w:t>
      </w:r>
    </w:p>
    <w:p w14:paraId="1CB65CCA" w14:textId="5557F942" w:rsidR="00262059" w:rsidRPr="00262059" w:rsidRDefault="00262059" w:rsidP="00A917C2">
      <w:pPr>
        <w:widowControl w:val="0"/>
        <w:autoSpaceDE w:val="0"/>
        <w:autoSpaceDN w:val="0"/>
        <w:adjustRightInd w:val="0"/>
        <w:spacing w:before="120" w:after="120"/>
        <w:ind w:left="426" w:hanging="426"/>
        <w:rPr>
          <w:lang w:val="en-US"/>
        </w:rPr>
      </w:pPr>
      <w:r w:rsidRPr="00215564">
        <w:rPr>
          <w:lang w:val="en-US"/>
        </w:rPr>
        <w:t>33.</w:t>
      </w:r>
      <w:r w:rsidRPr="00215564">
        <w:rPr>
          <w:lang w:val="en-US"/>
        </w:rPr>
        <w:tab/>
        <w:t xml:space="preserve">Calsolaro V, Niccolai F, Pasqualetti G, Calabrese AM, Polini A, Okoye C, et al. </w:t>
      </w:r>
      <w:r w:rsidRPr="00262059">
        <w:rPr>
          <w:lang w:val="en-US"/>
        </w:rPr>
        <w:t xml:space="preserve">Overt and Subclinical Hypothyroidism in the Elderly: When to Treat? Front Endocrinol (Lausanne). 22 </w:t>
      </w:r>
      <w:r w:rsidR="000E11DB">
        <w:rPr>
          <w:lang w:val="en-US"/>
        </w:rPr>
        <w:t>Mar.</w:t>
      </w:r>
      <w:r w:rsidRPr="00262059">
        <w:rPr>
          <w:lang w:val="en-US"/>
        </w:rPr>
        <w:t xml:space="preserve"> 2019;10:177. </w:t>
      </w:r>
    </w:p>
    <w:p w14:paraId="1B127B57" w14:textId="2B023FC8" w:rsidR="00262059" w:rsidRPr="00215564" w:rsidRDefault="00262059" w:rsidP="00A917C2">
      <w:pPr>
        <w:widowControl w:val="0"/>
        <w:autoSpaceDE w:val="0"/>
        <w:autoSpaceDN w:val="0"/>
        <w:adjustRightInd w:val="0"/>
        <w:spacing w:before="120" w:after="120"/>
        <w:ind w:left="426" w:hanging="426"/>
      </w:pPr>
      <w:r w:rsidRPr="00262059">
        <w:rPr>
          <w:lang w:val="en-US"/>
        </w:rPr>
        <w:t>34.</w:t>
      </w:r>
      <w:r w:rsidRPr="00262059">
        <w:rPr>
          <w:lang w:val="en-US"/>
        </w:rPr>
        <w:tab/>
        <w:t xml:space="preserve">van Coevorden A, Mockel J, Laurent E, Kerkhofs M, L’Hermite-Balériaux M, Decoster C, et al. Neuroendocrine rhythms and sleep in aging men. Am J Physiol. </w:t>
      </w:r>
      <w:r w:rsidR="000E11DB" w:rsidRPr="00215564">
        <w:t>Apr.</w:t>
      </w:r>
      <w:r w:rsidRPr="00215564">
        <w:t xml:space="preserve">1991;260(4 Pt 1):E651-661. </w:t>
      </w:r>
    </w:p>
    <w:p w14:paraId="2F1276CC" w14:textId="1055973A" w:rsidR="00262059" w:rsidRPr="00262059" w:rsidRDefault="00262059" w:rsidP="00A917C2">
      <w:pPr>
        <w:widowControl w:val="0"/>
        <w:autoSpaceDE w:val="0"/>
        <w:autoSpaceDN w:val="0"/>
        <w:adjustRightInd w:val="0"/>
        <w:spacing w:before="120" w:after="120"/>
        <w:ind w:left="426" w:hanging="426"/>
      </w:pPr>
      <w:r w:rsidRPr="00262059">
        <w:t>35.</w:t>
      </w:r>
      <w:r w:rsidRPr="00262059">
        <w:tab/>
        <w:t xml:space="preserve">Moura EG de, Moura CCP de. Regulação da síntese e secreção de tireotrofina. Arq Bras Endocrinol Metab. </w:t>
      </w:r>
      <w:r w:rsidR="000E11DB">
        <w:t>Feb.</w:t>
      </w:r>
      <w:r w:rsidRPr="00262059">
        <w:t xml:space="preserve">2004;48(1):40–52. </w:t>
      </w:r>
    </w:p>
    <w:p w14:paraId="726440CE" w14:textId="77777777" w:rsidR="00262059" w:rsidRPr="00262059" w:rsidRDefault="00262059" w:rsidP="00A917C2">
      <w:pPr>
        <w:widowControl w:val="0"/>
        <w:autoSpaceDE w:val="0"/>
        <w:autoSpaceDN w:val="0"/>
        <w:adjustRightInd w:val="0"/>
        <w:spacing w:before="120" w:after="120"/>
        <w:ind w:left="426" w:hanging="426"/>
      </w:pPr>
      <w:r w:rsidRPr="00262059">
        <w:t>36.</w:t>
      </w:r>
      <w:r w:rsidRPr="00262059">
        <w:tab/>
        <w:t>Ortiga-Carvalho TM, Chiamolera MI, Pazos-Moura CC, Wondisford FE. Hypothalamus-Pituitary-Thyroid Axis. Em: Terjung R, organizador. Comprehensive Physiology [Internet]. Hoboken, NJ, USA: John Wiley &amp; Sons, Inc.; 2016 [citado 21 de março de 2021]. p. 1387–428. Disponível em: http://doi.wiley.com/10.1002/cphy.c150027</w:t>
      </w:r>
    </w:p>
    <w:p w14:paraId="0B1710BB" w14:textId="4DC0B4C3" w:rsidR="00262059" w:rsidRPr="00215564" w:rsidRDefault="00262059" w:rsidP="00A917C2">
      <w:pPr>
        <w:widowControl w:val="0"/>
        <w:autoSpaceDE w:val="0"/>
        <w:autoSpaceDN w:val="0"/>
        <w:adjustRightInd w:val="0"/>
        <w:spacing w:before="120" w:after="120"/>
        <w:ind w:left="426" w:hanging="426"/>
        <w:rPr>
          <w:lang w:val="en-US"/>
        </w:rPr>
      </w:pPr>
      <w:r w:rsidRPr="00262059">
        <w:t>37.</w:t>
      </w:r>
      <w:r w:rsidRPr="00262059">
        <w:tab/>
        <w:t xml:space="preserve">van den Beld AW, Visser TJ, Feelders RA, Grobbee DE, Lamberts SWJ. </w:t>
      </w:r>
      <w:r w:rsidRPr="00262059">
        <w:rPr>
          <w:lang w:val="en-US"/>
        </w:rPr>
        <w:t xml:space="preserve">Thyroid Hormone Concentrations, Disease, Physical Function, and Mortality in Elderly Men. </w:t>
      </w:r>
      <w:r w:rsidRPr="00215564">
        <w:rPr>
          <w:lang w:val="en-US"/>
        </w:rPr>
        <w:t>The Journal of Clinical Endocrinology &amp; Metabolism. 1</w:t>
      </w:r>
      <w:r w:rsidR="000E11DB" w:rsidRPr="00215564">
        <w:rPr>
          <w:lang w:val="en-US"/>
        </w:rPr>
        <w:t xml:space="preserve"> Dec.</w:t>
      </w:r>
      <w:r w:rsidRPr="00215564">
        <w:rPr>
          <w:lang w:val="en-US"/>
        </w:rPr>
        <w:t xml:space="preserve"> 2005;90(12):6403–9. </w:t>
      </w:r>
    </w:p>
    <w:p w14:paraId="0EE98D02" w14:textId="74E36D29"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38.</w:t>
      </w:r>
      <w:r w:rsidRPr="00262059">
        <w:rPr>
          <w:lang w:val="en-US"/>
        </w:rPr>
        <w:tab/>
        <w:t xml:space="preserve">Peeters RP. Thyroid function and longevity: new insights into an old dilemma. J Clin Endocrinol Metab. </w:t>
      </w:r>
      <w:r w:rsidR="000E11DB">
        <w:rPr>
          <w:lang w:val="en-US"/>
        </w:rPr>
        <w:t>Dec.</w:t>
      </w:r>
      <w:r w:rsidRPr="00262059">
        <w:rPr>
          <w:lang w:val="en-US"/>
        </w:rPr>
        <w:t xml:space="preserve"> 2009;94(12):4658–60. </w:t>
      </w:r>
    </w:p>
    <w:p w14:paraId="30D34C9C" w14:textId="77777777"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39.</w:t>
      </w:r>
      <w:r w:rsidRPr="00262059">
        <w:rPr>
          <w:lang w:val="en-US"/>
        </w:rPr>
        <w:tab/>
        <w:t xml:space="preserve">Aggarwal N, Razvi S. Thyroid and Aging or the Aging Thyroid? An Evidence-Based Analysis of the Literature. J Thyroid Res. 2013;2013:481287. </w:t>
      </w:r>
    </w:p>
    <w:p w14:paraId="352ED011" w14:textId="53DFB34E"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40.</w:t>
      </w:r>
      <w:r w:rsidRPr="00262059">
        <w:rPr>
          <w:lang w:val="en-US"/>
        </w:rPr>
        <w:tab/>
        <w:t xml:space="preserve">Duntas LH, Yen PM. Diagnosis and treatment of hypothyroidism in the elderly. Endocrine. </w:t>
      </w:r>
      <w:r w:rsidR="000E11DB">
        <w:rPr>
          <w:lang w:val="en-US"/>
        </w:rPr>
        <w:t>Oct.</w:t>
      </w:r>
      <w:r w:rsidRPr="00262059">
        <w:rPr>
          <w:lang w:val="en-US"/>
        </w:rPr>
        <w:t xml:space="preserve"> 2019;66(1):63–9. </w:t>
      </w:r>
    </w:p>
    <w:p w14:paraId="5FF0FC62" w14:textId="47EEA974" w:rsidR="00262059" w:rsidRPr="00262059" w:rsidRDefault="00262059" w:rsidP="00A917C2">
      <w:pPr>
        <w:widowControl w:val="0"/>
        <w:autoSpaceDE w:val="0"/>
        <w:autoSpaceDN w:val="0"/>
        <w:adjustRightInd w:val="0"/>
        <w:spacing w:before="120" w:after="120"/>
        <w:ind w:left="426" w:hanging="426"/>
      </w:pPr>
      <w:r w:rsidRPr="00262059">
        <w:rPr>
          <w:lang w:val="en-US"/>
        </w:rPr>
        <w:t>41.</w:t>
      </w:r>
      <w:r w:rsidRPr="00262059">
        <w:rPr>
          <w:lang w:val="en-US"/>
        </w:rPr>
        <w:tab/>
        <w:t xml:space="preserve">NHANES - Sobre o National Health and Nutrition Examination Survey [Internet]. </w:t>
      </w:r>
      <w:r w:rsidRPr="00262059">
        <w:t xml:space="preserve">2020 [citado 25 </w:t>
      </w:r>
      <w:r w:rsidR="000E11DB">
        <w:t>Jul.</w:t>
      </w:r>
      <w:r w:rsidRPr="00262059">
        <w:t xml:space="preserve"> 2021]. Disponível em: https://www.cdc.gov/nchs/nhanes/about_nhanes.htm</w:t>
      </w:r>
    </w:p>
    <w:p w14:paraId="3B0F1E22" w14:textId="29E7931F"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42.</w:t>
      </w:r>
      <w:r w:rsidRPr="00262059">
        <w:rPr>
          <w:lang w:val="en-US"/>
        </w:rPr>
        <w:tab/>
        <w:t xml:space="preserve">Waring AC, Arnold AM, Newman AB, Bùzková P, Hirsch C, Cappola AR. Longitudinal changes in thyroid function in the oldest old and survival: the cardiovascular health study all-stars study. J Clin Endocrinol Metab. </w:t>
      </w:r>
      <w:r w:rsidR="000E11DB">
        <w:rPr>
          <w:lang w:val="en-US"/>
        </w:rPr>
        <w:t>Nov.</w:t>
      </w:r>
      <w:r w:rsidRPr="00262059">
        <w:rPr>
          <w:lang w:val="en-US"/>
        </w:rPr>
        <w:t xml:space="preserve"> 2012;97(11):3944–50. </w:t>
      </w:r>
    </w:p>
    <w:p w14:paraId="4E03D2B8" w14:textId="3403C6C8"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43.</w:t>
      </w:r>
      <w:r w:rsidRPr="00262059">
        <w:rPr>
          <w:lang w:val="en-US"/>
        </w:rPr>
        <w:tab/>
        <w:t xml:space="preserve">Surks MI, Hollowell JG. Age-Specific Distribution of Serum Thyrotropin and Antithyroid Antibodies in the U.S. Population: Implications for the Prevalence of Subclinical Hypothyroidism. The Journal of Clinical Endocrinology &amp; Metabolism. </w:t>
      </w:r>
      <w:r w:rsidR="000E11DB">
        <w:rPr>
          <w:lang w:val="en-US"/>
        </w:rPr>
        <w:t>Dec.</w:t>
      </w:r>
      <w:r w:rsidRPr="00262059">
        <w:rPr>
          <w:lang w:val="en-US"/>
        </w:rPr>
        <w:t xml:space="preserve"> 2007;92(12):4575–82. </w:t>
      </w:r>
    </w:p>
    <w:p w14:paraId="03B7CAEB" w14:textId="0FEDBB2E"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44.</w:t>
      </w:r>
      <w:r w:rsidRPr="00262059">
        <w:rPr>
          <w:lang w:val="en-US"/>
        </w:rPr>
        <w:tab/>
        <w:t xml:space="preserve">Surks MI, Boucai L. Age- and race-based serum thyrotropin reference limits. J Clin Endocrinol Metab. </w:t>
      </w:r>
      <w:r w:rsidR="000E11DB">
        <w:rPr>
          <w:lang w:val="en-US"/>
        </w:rPr>
        <w:t>Feb.</w:t>
      </w:r>
      <w:r w:rsidRPr="00262059">
        <w:rPr>
          <w:lang w:val="en-US"/>
        </w:rPr>
        <w:t xml:space="preserve"> 2010;95(2):496–502. </w:t>
      </w:r>
    </w:p>
    <w:p w14:paraId="3CF04654" w14:textId="2E3282FE"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45.</w:t>
      </w:r>
      <w:r w:rsidRPr="00262059">
        <w:rPr>
          <w:lang w:val="en-US"/>
        </w:rPr>
        <w:tab/>
        <w:t xml:space="preserve">Rozing MP, Westendorp RGJ, de Craen AJM, Frölich M, Heijmans BT, Beekman M, et al. Low serum free triiodothyronine levels mark familial longevity: the Leiden Longevity Study. J Gerontol A Biol Sci Med Sci. </w:t>
      </w:r>
      <w:r w:rsidR="000E11DB">
        <w:rPr>
          <w:lang w:val="en-US"/>
        </w:rPr>
        <w:t>Apr.</w:t>
      </w:r>
      <w:r w:rsidRPr="00262059">
        <w:rPr>
          <w:lang w:val="en-US"/>
        </w:rPr>
        <w:t xml:space="preserve"> 2010;65(4):365–8. </w:t>
      </w:r>
    </w:p>
    <w:p w14:paraId="68C6DDC1" w14:textId="62D8155A"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46.</w:t>
      </w:r>
      <w:r w:rsidRPr="00262059">
        <w:rPr>
          <w:lang w:val="en-US"/>
        </w:rPr>
        <w:tab/>
        <w:t xml:space="preserve">Everitt AV, Seedsman NJ, Jones F. The effects of hypophysectomy and continuous food restriction, begun at ages 70 and 400 days, on collagen aging, proteinuria, incidence of </w:t>
      </w:r>
      <w:r w:rsidRPr="00262059">
        <w:rPr>
          <w:lang w:val="en-US"/>
        </w:rPr>
        <w:lastRenderedPageBreak/>
        <w:t xml:space="preserve">pathology and longevity in the male rat. Mech Ageing Dev. </w:t>
      </w:r>
      <w:r w:rsidR="000E11DB">
        <w:rPr>
          <w:lang w:val="en-US"/>
        </w:rPr>
        <w:t>Feb.</w:t>
      </w:r>
      <w:r w:rsidRPr="00262059">
        <w:rPr>
          <w:lang w:val="en-US"/>
        </w:rPr>
        <w:t xml:space="preserve"> 1980;12(2):161–72. </w:t>
      </w:r>
    </w:p>
    <w:p w14:paraId="30361BC4" w14:textId="16B7F7B0"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47.</w:t>
      </w:r>
      <w:r w:rsidRPr="00262059">
        <w:rPr>
          <w:lang w:val="en-US"/>
        </w:rPr>
        <w:tab/>
        <w:t xml:space="preserve">Ooka H, Fujita S, Yoshimoto E. Pituitary-thyroid activity and longevity in neonatally thyroxine-treated rats. Mech Ageing Dev. </w:t>
      </w:r>
      <w:r w:rsidR="000E11DB">
        <w:rPr>
          <w:lang w:val="en-US"/>
        </w:rPr>
        <w:t>Jun.</w:t>
      </w:r>
      <w:r w:rsidRPr="00262059">
        <w:rPr>
          <w:lang w:val="en-US"/>
        </w:rPr>
        <w:t xml:space="preserve"> 1983;22(2):113–20. </w:t>
      </w:r>
    </w:p>
    <w:p w14:paraId="26D40233" w14:textId="77777777" w:rsidR="00262059" w:rsidRPr="00262059" w:rsidRDefault="00262059" w:rsidP="00A917C2">
      <w:pPr>
        <w:widowControl w:val="0"/>
        <w:autoSpaceDE w:val="0"/>
        <w:autoSpaceDN w:val="0"/>
        <w:adjustRightInd w:val="0"/>
        <w:spacing w:before="120" w:after="120"/>
        <w:ind w:left="426" w:hanging="426"/>
      </w:pPr>
      <w:r w:rsidRPr="00262059">
        <w:rPr>
          <w:lang w:val="en-US"/>
        </w:rPr>
        <w:t>48.</w:t>
      </w:r>
      <w:r w:rsidRPr="00262059">
        <w:rPr>
          <w:lang w:val="en-US"/>
        </w:rPr>
        <w:tab/>
        <w:t xml:space="preserve">Retardation of the Ageing Process in Collagen Fibres from the Tail Tendon of the Old Hypophysectomized Rat | Nature [Internet]. </w:t>
      </w:r>
      <w:r w:rsidRPr="00262059">
        <w:t>[citado 6 de novembro de 2021]. Disponível em: https://www.nature.com/articles/206307b0</w:t>
      </w:r>
    </w:p>
    <w:p w14:paraId="2E6529C2" w14:textId="2AA5D42F"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49.</w:t>
      </w:r>
      <w:r w:rsidRPr="00262059">
        <w:rPr>
          <w:lang w:val="en-US"/>
        </w:rPr>
        <w:tab/>
        <w:t xml:space="preserve">Powers RW, Harrison DE, Flurkey K. Pituitary removal in adult mice increases life span. Mech Ageing Dev. </w:t>
      </w:r>
      <w:r w:rsidR="000E11DB">
        <w:rPr>
          <w:lang w:val="en-US"/>
        </w:rPr>
        <w:t>Aug.</w:t>
      </w:r>
      <w:r w:rsidRPr="00262059">
        <w:rPr>
          <w:lang w:val="en-US"/>
        </w:rPr>
        <w:t xml:space="preserve"> 2006;127(8):658–9. </w:t>
      </w:r>
    </w:p>
    <w:p w14:paraId="79FFB909" w14:textId="79ABB9AE"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50.</w:t>
      </w:r>
      <w:r w:rsidRPr="00262059">
        <w:rPr>
          <w:lang w:val="en-US"/>
        </w:rPr>
        <w:tab/>
        <w:t xml:space="preserve">Brown-Borg HM. Hormonal regulation of longevity in mammals. </w:t>
      </w:r>
      <w:r w:rsidRPr="00215564">
        <w:rPr>
          <w:lang w:val="en-US"/>
        </w:rPr>
        <w:t xml:space="preserve">Ageing Res Rev. </w:t>
      </w:r>
      <w:r w:rsidR="000E11DB" w:rsidRPr="00215564">
        <w:rPr>
          <w:lang w:val="en-US"/>
        </w:rPr>
        <w:t>May</w:t>
      </w:r>
      <w:r w:rsidRPr="00215564">
        <w:rPr>
          <w:lang w:val="en-US"/>
        </w:rPr>
        <w:t xml:space="preserve"> 2007;6(1):28–45. </w:t>
      </w:r>
    </w:p>
    <w:p w14:paraId="626A8BFF" w14:textId="4BFF3348"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51.</w:t>
      </w:r>
      <w:r w:rsidRPr="00262059">
        <w:rPr>
          <w:lang w:val="en-US"/>
        </w:rPr>
        <w:tab/>
        <w:t xml:space="preserve">Ooka H, Shinkai T. Effects of chronic hyperthyroidism on the lifespan of the rat. Mech Ageing Dev. </w:t>
      </w:r>
      <w:r w:rsidR="000E11DB">
        <w:rPr>
          <w:lang w:val="en-US"/>
        </w:rPr>
        <w:t>Feb.</w:t>
      </w:r>
      <w:r w:rsidRPr="00262059">
        <w:rPr>
          <w:lang w:val="en-US"/>
        </w:rPr>
        <w:t xml:space="preserve"> 1986;33(3):275–82. </w:t>
      </w:r>
    </w:p>
    <w:p w14:paraId="2C89AE0C" w14:textId="1942E4CF"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52.</w:t>
      </w:r>
      <w:r w:rsidRPr="00262059">
        <w:rPr>
          <w:lang w:val="en-US"/>
        </w:rPr>
        <w:tab/>
        <w:t xml:space="preserve">Bartke A, Brown-Borg H, Mattison J, Kinney B, Hauck S, Wright C. Prolonged longevity of hypopituitary dwarf mice. </w:t>
      </w:r>
      <w:r w:rsidRPr="00215564">
        <w:rPr>
          <w:lang w:val="en-US"/>
        </w:rPr>
        <w:t>Experimental Gerontology. 1</w:t>
      </w:r>
      <w:r w:rsidR="000E11DB" w:rsidRPr="00215564">
        <w:rPr>
          <w:lang w:val="en-US"/>
        </w:rPr>
        <w:t xml:space="preserve"> Jan.</w:t>
      </w:r>
      <w:r w:rsidRPr="00215564">
        <w:rPr>
          <w:lang w:val="en-US"/>
        </w:rPr>
        <w:t xml:space="preserve"> 2001;36(1):21–8. </w:t>
      </w:r>
    </w:p>
    <w:p w14:paraId="38E6D83A" w14:textId="36508662" w:rsidR="00262059" w:rsidRPr="00262059" w:rsidRDefault="00262059" w:rsidP="00A917C2">
      <w:pPr>
        <w:widowControl w:val="0"/>
        <w:autoSpaceDE w:val="0"/>
        <w:autoSpaceDN w:val="0"/>
        <w:adjustRightInd w:val="0"/>
        <w:spacing w:before="120" w:after="120"/>
        <w:ind w:left="426" w:hanging="426"/>
        <w:rPr>
          <w:lang w:val="en-US"/>
        </w:rPr>
      </w:pPr>
      <w:r w:rsidRPr="00215564">
        <w:rPr>
          <w:lang w:val="en-US"/>
        </w:rPr>
        <w:t>53.</w:t>
      </w:r>
      <w:r w:rsidRPr="00215564">
        <w:rPr>
          <w:lang w:val="en-US"/>
        </w:rPr>
        <w:tab/>
        <w:t xml:space="preserve">Vergara M, Smith-Wheelock M, Harper JM, Sigler R, Miller RA. </w:t>
      </w:r>
      <w:r w:rsidRPr="00262059">
        <w:rPr>
          <w:lang w:val="en-US"/>
        </w:rPr>
        <w:t xml:space="preserve">Hormone-Treated Snell Dwarf Mice Regain Fertility But Remain Long Lived and Disease Resistant. J Gerontol A Biol Sci Med Sci. </w:t>
      </w:r>
      <w:r w:rsidR="000E11DB">
        <w:rPr>
          <w:lang w:val="en-US"/>
        </w:rPr>
        <w:t>Dec.</w:t>
      </w:r>
      <w:r w:rsidRPr="00262059">
        <w:rPr>
          <w:lang w:val="en-US"/>
        </w:rPr>
        <w:t xml:space="preserve"> 2004;59(12):1244–50. </w:t>
      </w:r>
    </w:p>
    <w:p w14:paraId="0B02090F" w14:textId="4A402562"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54.</w:t>
      </w:r>
      <w:r w:rsidRPr="00262059">
        <w:rPr>
          <w:lang w:val="en-US"/>
        </w:rPr>
        <w:tab/>
        <w:t xml:space="preserve">Asayama K, Dobashi K, Hayashibe H, Megata Y, Kato K. Lipid peroxidation and free radical scavengers in thyroid dysfunction in the rat: a possible mechanism of injury to heart and skeletal muscle in hyperthyroidism. Endocrinology. </w:t>
      </w:r>
      <w:r w:rsidR="000E11DB">
        <w:rPr>
          <w:lang w:val="en-US"/>
        </w:rPr>
        <w:t>Dec.</w:t>
      </w:r>
      <w:r w:rsidRPr="00262059">
        <w:rPr>
          <w:lang w:val="en-US"/>
        </w:rPr>
        <w:t xml:space="preserve"> 1987;121(6):2112–8. </w:t>
      </w:r>
    </w:p>
    <w:p w14:paraId="68222BB6" w14:textId="19E6FAE5"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55.</w:t>
      </w:r>
      <w:r w:rsidRPr="00262059">
        <w:rPr>
          <w:lang w:val="en-US"/>
        </w:rPr>
        <w:tab/>
        <w:t xml:space="preserve">López-Torres M, Romero M, Barja G. Effect of thyroid hormones on mitochondrial oxygen free radical production and DNA oxidative damage in the rat heart. </w:t>
      </w:r>
      <w:r w:rsidRPr="00215564">
        <w:rPr>
          <w:lang w:val="en-US"/>
        </w:rPr>
        <w:t xml:space="preserve">Mol Cell Endocrinol. 25 </w:t>
      </w:r>
      <w:r w:rsidR="000E11DB" w:rsidRPr="00215564">
        <w:rPr>
          <w:lang w:val="en-US"/>
        </w:rPr>
        <w:t>Oct.</w:t>
      </w:r>
      <w:r w:rsidRPr="00215564">
        <w:rPr>
          <w:lang w:val="en-US"/>
        </w:rPr>
        <w:t xml:space="preserve"> 2000;168(1–2):127–34. </w:t>
      </w:r>
    </w:p>
    <w:p w14:paraId="01F3C5DB" w14:textId="4D33D1F2" w:rsidR="00262059" w:rsidRPr="00215564" w:rsidRDefault="00262059" w:rsidP="00A917C2">
      <w:pPr>
        <w:widowControl w:val="0"/>
        <w:autoSpaceDE w:val="0"/>
        <w:autoSpaceDN w:val="0"/>
        <w:adjustRightInd w:val="0"/>
        <w:spacing w:before="120" w:after="120"/>
        <w:ind w:left="426" w:hanging="426"/>
        <w:rPr>
          <w:lang w:val="en-US"/>
        </w:rPr>
      </w:pPr>
      <w:r w:rsidRPr="00215564">
        <w:rPr>
          <w:lang w:val="en-US"/>
        </w:rPr>
        <w:t>56.</w:t>
      </w:r>
      <w:r w:rsidRPr="00215564">
        <w:rPr>
          <w:lang w:val="en-US"/>
        </w:rPr>
        <w:tab/>
        <w:t>Cooper DS, Biondi B. Subclinical thyroid disease. Lancet. 24 d</w:t>
      </w:r>
      <w:r w:rsidR="000E11DB" w:rsidRPr="00215564">
        <w:rPr>
          <w:lang w:val="en-US"/>
        </w:rPr>
        <w:t xml:space="preserve">Mar. </w:t>
      </w:r>
      <w:r w:rsidRPr="00215564">
        <w:rPr>
          <w:lang w:val="en-US"/>
        </w:rPr>
        <w:t xml:space="preserve">2012;379(9821):1142–54. </w:t>
      </w:r>
    </w:p>
    <w:p w14:paraId="7FFA02C6" w14:textId="580A17F0" w:rsidR="00262059" w:rsidRPr="00262059" w:rsidRDefault="00262059" w:rsidP="00A917C2">
      <w:pPr>
        <w:widowControl w:val="0"/>
        <w:autoSpaceDE w:val="0"/>
        <w:autoSpaceDN w:val="0"/>
        <w:adjustRightInd w:val="0"/>
        <w:spacing w:before="120" w:after="120"/>
        <w:ind w:left="426" w:hanging="426"/>
        <w:rPr>
          <w:lang w:val="en-US"/>
        </w:rPr>
      </w:pPr>
      <w:r w:rsidRPr="00215564">
        <w:rPr>
          <w:lang w:val="en-US"/>
        </w:rPr>
        <w:t>57.</w:t>
      </w:r>
      <w:r w:rsidRPr="00215564">
        <w:rPr>
          <w:lang w:val="en-US"/>
        </w:rPr>
        <w:tab/>
        <w:t xml:space="preserve">Medici M, Visser TJ, Peeters RP. </w:t>
      </w:r>
      <w:r w:rsidRPr="00262059">
        <w:rPr>
          <w:lang w:val="en-US"/>
        </w:rPr>
        <w:t xml:space="preserve">Genetics of thyroid function. Best Practice &amp; Research Clinical Endocrinology &amp; Metabolism. </w:t>
      </w:r>
      <w:r w:rsidR="000E11DB">
        <w:rPr>
          <w:lang w:val="en-US"/>
        </w:rPr>
        <w:t>Mar.</w:t>
      </w:r>
      <w:r w:rsidRPr="00262059">
        <w:rPr>
          <w:lang w:val="en-US"/>
        </w:rPr>
        <w:t xml:space="preserve">2017;31(2):129–42. </w:t>
      </w:r>
    </w:p>
    <w:p w14:paraId="35496A2E" w14:textId="16454907"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58.</w:t>
      </w:r>
      <w:r w:rsidRPr="00262059">
        <w:rPr>
          <w:lang w:val="en-US"/>
        </w:rPr>
        <w:tab/>
        <w:t xml:space="preserve">Peeters RP. Subclinical Hypothyroidism. N Engl J Med. 29 </w:t>
      </w:r>
      <w:r w:rsidR="000E11DB">
        <w:rPr>
          <w:lang w:val="en-US"/>
        </w:rPr>
        <w:t>Jun.</w:t>
      </w:r>
      <w:r w:rsidRPr="00262059">
        <w:rPr>
          <w:lang w:val="en-US"/>
        </w:rPr>
        <w:t xml:space="preserve"> 2017;376(26):2556–65. </w:t>
      </w:r>
    </w:p>
    <w:p w14:paraId="5C7B480B" w14:textId="14505D0F"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59.</w:t>
      </w:r>
      <w:r w:rsidRPr="00262059">
        <w:rPr>
          <w:lang w:val="en-US"/>
        </w:rPr>
        <w:tab/>
        <w:t xml:space="preserve">Moon S, Kim MJ, Yu JM, Yoo HJ, Park YJ. Subclinical Hypothyroidism and the Risk of Cardiovascular Disease and All-Cause Mortality: A Meta-Analysis of Prospective Cohort Studies. Thyroid. </w:t>
      </w:r>
      <w:r w:rsidR="000E11DB">
        <w:rPr>
          <w:lang w:val="en-US"/>
        </w:rPr>
        <w:t>Sep.</w:t>
      </w:r>
      <w:r w:rsidRPr="00262059">
        <w:rPr>
          <w:lang w:val="en-US"/>
        </w:rPr>
        <w:t xml:space="preserve"> 2018;28(9):1101–10. </w:t>
      </w:r>
    </w:p>
    <w:p w14:paraId="0087A5F7" w14:textId="6A0ECE35"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60.</w:t>
      </w:r>
      <w:r w:rsidRPr="00262059">
        <w:rPr>
          <w:lang w:val="en-US"/>
        </w:rPr>
        <w:tab/>
        <w:t xml:space="preserve">Bielecka-Dabrowa A, Godoy B, Suzuki T, Banach M, von Haehling S. Subclinical hypothyroidism and the development of heart failure: an overview of risk and effects on cardiac function. Clin Res Cardiol. </w:t>
      </w:r>
      <w:r w:rsidR="000E11DB">
        <w:rPr>
          <w:lang w:val="en-US"/>
        </w:rPr>
        <w:t>Mar.</w:t>
      </w:r>
      <w:r w:rsidRPr="00262059">
        <w:rPr>
          <w:lang w:val="en-US"/>
        </w:rPr>
        <w:t xml:space="preserve"> 2019;108(3):225–33. </w:t>
      </w:r>
    </w:p>
    <w:p w14:paraId="6EF6B1A5" w14:textId="5509A537"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61.</w:t>
      </w:r>
      <w:r w:rsidRPr="00262059">
        <w:rPr>
          <w:lang w:val="en-US"/>
        </w:rPr>
        <w:tab/>
        <w:t xml:space="preserve">Taylor P, Bianco AC. Urgent need for further research in subclinical hypothyroidism. Nat Rev Endocrinol. </w:t>
      </w:r>
      <w:r w:rsidR="000E11DB">
        <w:rPr>
          <w:lang w:val="en-US"/>
        </w:rPr>
        <w:t>Sep.</w:t>
      </w:r>
      <w:r w:rsidRPr="00262059">
        <w:rPr>
          <w:lang w:val="en-US"/>
        </w:rPr>
        <w:t xml:space="preserve"> 2019;15(9):503–4. </w:t>
      </w:r>
    </w:p>
    <w:p w14:paraId="0909FAA3" w14:textId="6E140046"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62.</w:t>
      </w:r>
      <w:r w:rsidRPr="00262059">
        <w:rPr>
          <w:lang w:val="en-US"/>
        </w:rPr>
        <w:tab/>
        <w:t xml:space="preserve">Stott DJ, Gussekloo J, Kearney PM, Rodondi N, Westendorp RGJ, Mooijaart S, et al. Study protocol; Thyroid hormone Replacement for Untreated older adults with Subclinical hypothyroidism - a randomised placebo controlled Trial (TRUST). BMC Endocr Disord. 3 </w:t>
      </w:r>
      <w:r w:rsidR="00B61381">
        <w:rPr>
          <w:lang w:val="en-US"/>
        </w:rPr>
        <w:t>Feb.</w:t>
      </w:r>
      <w:r w:rsidRPr="00262059">
        <w:rPr>
          <w:lang w:val="en-US"/>
        </w:rPr>
        <w:t xml:space="preserve"> 2017;17:6. </w:t>
      </w:r>
    </w:p>
    <w:p w14:paraId="5EE0E940" w14:textId="105B80B5"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63.</w:t>
      </w:r>
      <w:r w:rsidRPr="00262059">
        <w:rPr>
          <w:lang w:val="en-US"/>
        </w:rPr>
        <w:tab/>
        <w:t xml:space="preserve">Stott DJ, Rodondi N, Kearney PM, Ford I, Westendorp RGJ, Mooijaart SP, et al. Thyroid Hormone Therapy for Older Adults with Subclinical Hypothyroidism. New England </w:t>
      </w:r>
      <w:r w:rsidRPr="00262059">
        <w:rPr>
          <w:lang w:val="en-US"/>
        </w:rPr>
        <w:lastRenderedPageBreak/>
        <w:t xml:space="preserve">Journal of Medicine. 29 </w:t>
      </w:r>
      <w:r w:rsidR="00B61381">
        <w:rPr>
          <w:lang w:val="en-US"/>
        </w:rPr>
        <w:t>Jun.</w:t>
      </w:r>
      <w:r w:rsidRPr="00262059">
        <w:rPr>
          <w:lang w:val="en-US"/>
        </w:rPr>
        <w:t xml:space="preserve">e 2017;376(26):2534–44. </w:t>
      </w:r>
    </w:p>
    <w:p w14:paraId="75611244" w14:textId="77777777" w:rsidR="00262059" w:rsidRPr="00262059" w:rsidRDefault="00262059" w:rsidP="00A917C2">
      <w:pPr>
        <w:widowControl w:val="0"/>
        <w:autoSpaceDE w:val="0"/>
        <w:autoSpaceDN w:val="0"/>
        <w:adjustRightInd w:val="0"/>
        <w:spacing w:before="120" w:after="120"/>
        <w:ind w:left="426" w:hanging="426"/>
      </w:pPr>
      <w:r w:rsidRPr="00262059">
        <w:rPr>
          <w:lang w:val="en-US"/>
        </w:rPr>
        <w:t>64.</w:t>
      </w:r>
      <w:r w:rsidRPr="00262059">
        <w:rPr>
          <w:lang w:val="en-US"/>
        </w:rPr>
        <w:tab/>
        <w:t xml:space="preserve">SNPs in disease gene mapping, medicinal drug development and evolution | Journal of Human Genetics [Internet]. </w:t>
      </w:r>
      <w:r w:rsidRPr="00262059">
        <w:t>[citado 22 de dezembro de 2021]. Disponível em: https://www.nature.com/articles/jhg2007117</w:t>
      </w:r>
    </w:p>
    <w:p w14:paraId="2806A8A0" w14:textId="21655C39"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65.</w:t>
      </w:r>
      <w:r w:rsidRPr="00262059">
        <w:rPr>
          <w:lang w:val="en-US"/>
        </w:rPr>
        <w:tab/>
        <w:t xml:space="preserve">Peeters RP, van Toor H, Klootwijk W, de Rijke YB, Kuiper GGJM, Uitterlinden AG, et al. Polymorphisms in thyroid hormone pathway genes are associated with plasma TSH and iodothyronine levels in healthy subjects. J Clin Endocrinol Metab. </w:t>
      </w:r>
      <w:r w:rsidR="00B61381">
        <w:rPr>
          <w:lang w:val="en-US"/>
        </w:rPr>
        <w:t>Jun.</w:t>
      </w:r>
      <w:r w:rsidRPr="00262059">
        <w:rPr>
          <w:lang w:val="en-US"/>
        </w:rPr>
        <w:t xml:space="preserve"> 2003;88(6):2880–8. </w:t>
      </w:r>
    </w:p>
    <w:p w14:paraId="227FC796" w14:textId="77777777" w:rsidR="00262059" w:rsidRPr="00262059" w:rsidRDefault="00262059" w:rsidP="00A917C2">
      <w:pPr>
        <w:widowControl w:val="0"/>
        <w:autoSpaceDE w:val="0"/>
        <w:autoSpaceDN w:val="0"/>
        <w:adjustRightInd w:val="0"/>
        <w:spacing w:before="120" w:after="120"/>
        <w:ind w:left="426" w:hanging="426"/>
      </w:pPr>
      <w:r w:rsidRPr="00262059">
        <w:rPr>
          <w:lang w:val="en-US"/>
        </w:rPr>
        <w:t>66.</w:t>
      </w:r>
      <w:r w:rsidRPr="00262059">
        <w:rPr>
          <w:lang w:val="en-US"/>
        </w:rPr>
        <w:tab/>
        <w:t xml:space="preserve">Manolio TA. Genomewide Association Studies and Assessment of the Risk of Disease. </w:t>
      </w:r>
      <w:r w:rsidRPr="00262059">
        <w:t xml:space="preserve">New England Journal of Medicine. 8 de julho de 2010;363(2):166–76. </w:t>
      </w:r>
    </w:p>
    <w:p w14:paraId="1B188795" w14:textId="488FC096" w:rsidR="00262059" w:rsidRPr="00262059" w:rsidRDefault="00262059" w:rsidP="00A917C2">
      <w:pPr>
        <w:widowControl w:val="0"/>
        <w:autoSpaceDE w:val="0"/>
        <w:autoSpaceDN w:val="0"/>
        <w:adjustRightInd w:val="0"/>
        <w:spacing w:before="120" w:after="120"/>
        <w:ind w:left="426" w:hanging="426"/>
        <w:rPr>
          <w:lang w:val="en-US"/>
        </w:rPr>
      </w:pPr>
      <w:r w:rsidRPr="00262059">
        <w:t>67.</w:t>
      </w:r>
      <w:r w:rsidRPr="00262059">
        <w:tab/>
        <w:t xml:space="preserve">Caetano AR. Marcadores SNP: conceitos básicos, aplicações no manejo e no melhoramento animal e perspectivas para o futuro. </w:t>
      </w:r>
      <w:r w:rsidRPr="00262059">
        <w:rPr>
          <w:lang w:val="en-US"/>
        </w:rPr>
        <w:t xml:space="preserve">R Bras Zootec. </w:t>
      </w:r>
      <w:r w:rsidR="00B61381">
        <w:rPr>
          <w:lang w:val="en-US"/>
        </w:rPr>
        <w:t>Jul.</w:t>
      </w:r>
      <w:r w:rsidRPr="00262059">
        <w:rPr>
          <w:lang w:val="en-US"/>
        </w:rPr>
        <w:t xml:space="preserve"> 2009;38:64–71. </w:t>
      </w:r>
    </w:p>
    <w:p w14:paraId="17161A8D" w14:textId="4DDC1814"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68.</w:t>
      </w:r>
      <w:r w:rsidRPr="00262059">
        <w:rPr>
          <w:lang w:val="en-US"/>
        </w:rPr>
        <w:tab/>
        <w:t xml:space="preserve">Bush WS, Moore JH. Chapter 11: Genome-Wide Association Studies. </w:t>
      </w:r>
      <w:r w:rsidRPr="00215564">
        <w:rPr>
          <w:lang w:val="en-US"/>
        </w:rPr>
        <w:t xml:space="preserve">Lewitter F, Kann M, organizadores. PLoS Comput Biol. 27 </w:t>
      </w:r>
      <w:r w:rsidR="00B61381" w:rsidRPr="00215564">
        <w:rPr>
          <w:lang w:val="en-US"/>
        </w:rPr>
        <w:t>Dec.</w:t>
      </w:r>
      <w:r w:rsidRPr="00215564">
        <w:rPr>
          <w:lang w:val="en-US"/>
        </w:rPr>
        <w:t xml:space="preserve"> 2012;8(12):e1002822. </w:t>
      </w:r>
    </w:p>
    <w:p w14:paraId="46054846" w14:textId="50CEF325"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69.</w:t>
      </w:r>
      <w:r w:rsidRPr="00262059">
        <w:rPr>
          <w:lang w:val="en-US"/>
        </w:rPr>
        <w:tab/>
        <w:t>Medici M, Visser WE, Visser TJ, Peeters RP. Genetic Determination of the Hypothalamic-Pituitary-Thyroid Axis: Where Do We Stand? Endocrine Reviews. 1</w:t>
      </w:r>
      <w:r w:rsidR="00B61381">
        <w:rPr>
          <w:lang w:val="en-US"/>
        </w:rPr>
        <w:t xml:space="preserve"> Apr.</w:t>
      </w:r>
      <w:r w:rsidRPr="00262059">
        <w:rPr>
          <w:lang w:val="en-US"/>
        </w:rPr>
        <w:t xml:space="preserve"> 2015;36(2):214–44. </w:t>
      </w:r>
    </w:p>
    <w:p w14:paraId="53B26FFC" w14:textId="2E52B366"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70.</w:t>
      </w:r>
      <w:r w:rsidRPr="00262059">
        <w:rPr>
          <w:lang w:val="en-US"/>
        </w:rPr>
        <w:tab/>
        <w:t xml:space="preserve">Zhan M, Chen G, Pan CM, Gu ZH, Zhao SX, Liu W, et al. Genome-wide association study identifies a novel susceptibility gene for serum TSH levels in Chinese populations. Hum Mol Genet. 15 </w:t>
      </w:r>
      <w:r w:rsidR="00B61381">
        <w:rPr>
          <w:lang w:val="en-US"/>
        </w:rPr>
        <w:t>Oct.</w:t>
      </w:r>
      <w:r w:rsidRPr="00262059">
        <w:rPr>
          <w:lang w:val="en-US"/>
        </w:rPr>
        <w:t xml:space="preserve"> 2014;23(20):5505–17. </w:t>
      </w:r>
    </w:p>
    <w:p w14:paraId="7F7EE61E" w14:textId="77777777" w:rsidR="00262059" w:rsidRPr="00262059" w:rsidRDefault="00262059" w:rsidP="00A917C2">
      <w:pPr>
        <w:widowControl w:val="0"/>
        <w:autoSpaceDE w:val="0"/>
        <w:autoSpaceDN w:val="0"/>
        <w:adjustRightInd w:val="0"/>
        <w:spacing w:before="120" w:after="120"/>
        <w:ind w:left="426" w:hanging="426"/>
      </w:pPr>
      <w:r w:rsidRPr="00262059">
        <w:rPr>
          <w:lang w:val="en-US"/>
        </w:rPr>
        <w:t>71.</w:t>
      </w:r>
      <w:r w:rsidRPr="00262059">
        <w:rPr>
          <w:lang w:val="en-US"/>
        </w:rPr>
        <w:tab/>
        <w:t xml:space="preserve">Barsh G, Copenhaver G, Gibson G, Williams S. Guidelines for Genome-Wide Association Studies. </w:t>
      </w:r>
      <w:r w:rsidRPr="00262059">
        <w:t>PLoS genetics. 1</w:t>
      </w:r>
      <w:r w:rsidRPr="00262059">
        <w:rPr>
          <w:vertAlign w:val="superscript"/>
        </w:rPr>
        <w:t>o</w:t>
      </w:r>
      <w:r w:rsidRPr="00262059">
        <w:t xml:space="preserve"> de julho de 2012;8:e1002812. </w:t>
      </w:r>
    </w:p>
    <w:p w14:paraId="424F095B" w14:textId="35B92B8B" w:rsidR="00262059" w:rsidRPr="00215564" w:rsidRDefault="00262059" w:rsidP="00A917C2">
      <w:pPr>
        <w:widowControl w:val="0"/>
        <w:autoSpaceDE w:val="0"/>
        <w:autoSpaceDN w:val="0"/>
        <w:adjustRightInd w:val="0"/>
        <w:spacing w:before="120" w:after="120"/>
        <w:ind w:left="426" w:hanging="426"/>
        <w:rPr>
          <w:lang w:val="en-US"/>
        </w:rPr>
      </w:pPr>
      <w:r w:rsidRPr="00262059">
        <w:t>72.</w:t>
      </w:r>
      <w:r w:rsidRPr="00262059">
        <w:tab/>
        <w:t xml:space="preserve">Beck T, Shorter T, Brookes AJ. </w:t>
      </w:r>
      <w:r w:rsidRPr="00262059">
        <w:rPr>
          <w:lang w:val="en-US"/>
        </w:rPr>
        <w:t xml:space="preserve">GWAS Central: a comprehensive resource for the discovery and comparison of genotype and phenotype data from genome-wide association studies. </w:t>
      </w:r>
      <w:r w:rsidRPr="00215564">
        <w:rPr>
          <w:lang w:val="en-US"/>
        </w:rPr>
        <w:t xml:space="preserve">Nucleic Acids Research. 8 </w:t>
      </w:r>
      <w:r w:rsidR="00B61381" w:rsidRPr="00215564">
        <w:rPr>
          <w:lang w:val="en-US"/>
        </w:rPr>
        <w:t>Jan.</w:t>
      </w:r>
      <w:r w:rsidRPr="00215564">
        <w:rPr>
          <w:lang w:val="en-US"/>
        </w:rPr>
        <w:t xml:space="preserve"> 2020;48(D1):D933–40. </w:t>
      </w:r>
    </w:p>
    <w:p w14:paraId="6D26B6A8" w14:textId="77777777" w:rsidR="00262059" w:rsidRPr="00262059" w:rsidRDefault="00262059" w:rsidP="00A917C2">
      <w:pPr>
        <w:widowControl w:val="0"/>
        <w:autoSpaceDE w:val="0"/>
        <w:autoSpaceDN w:val="0"/>
        <w:adjustRightInd w:val="0"/>
        <w:spacing w:before="120" w:after="120"/>
        <w:ind w:left="426" w:hanging="426"/>
        <w:rPr>
          <w:lang w:val="en-US"/>
        </w:rPr>
      </w:pPr>
      <w:r w:rsidRPr="00215564">
        <w:rPr>
          <w:lang w:val="en-US"/>
        </w:rPr>
        <w:t>73.</w:t>
      </w:r>
      <w:r w:rsidRPr="00215564">
        <w:rPr>
          <w:lang w:val="en-US"/>
        </w:rPr>
        <w:tab/>
        <w:t xml:space="preserve">Porcu E, Medici M, Pistis G, Volpato CB, Wilson SG, Cappola AR, et al. </w:t>
      </w:r>
      <w:r w:rsidRPr="00262059">
        <w:rPr>
          <w:lang w:val="en-US"/>
        </w:rPr>
        <w:t xml:space="preserve">A meta-analysis of thyroid-related traits reveals novel loci and gender-specific differences in the regulation of thyroid function. PLoS Genet. 2013;9(2):e1003266. </w:t>
      </w:r>
    </w:p>
    <w:p w14:paraId="013A39A1" w14:textId="77777777" w:rsidR="00262059" w:rsidRPr="00262059" w:rsidRDefault="00262059" w:rsidP="00A917C2">
      <w:pPr>
        <w:widowControl w:val="0"/>
        <w:autoSpaceDE w:val="0"/>
        <w:autoSpaceDN w:val="0"/>
        <w:adjustRightInd w:val="0"/>
        <w:spacing w:before="120" w:after="120"/>
        <w:ind w:left="426" w:hanging="426"/>
      </w:pPr>
      <w:r w:rsidRPr="00262059">
        <w:rPr>
          <w:lang w:val="en-US"/>
        </w:rPr>
        <w:t>74.</w:t>
      </w:r>
      <w:r w:rsidRPr="00262059">
        <w:rPr>
          <w:lang w:val="en-US"/>
        </w:rPr>
        <w:tab/>
        <w:t xml:space="preserve">Whole-genome sequence-based analysis of thyroid function | Nature Communications [Internet]. </w:t>
      </w:r>
      <w:r w:rsidRPr="00262059">
        <w:t>[citado 26 de dezembro de 2021]. Disponível em: https://www.nature.com/articles/ncomms6681</w:t>
      </w:r>
    </w:p>
    <w:p w14:paraId="31C18CDD" w14:textId="1BC84505"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75.</w:t>
      </w:r>
      <w:r w:rsidRPr="00262059">
        <w:rPr>
          <w:lang w:val="en-US"/>
        </w:rPr>
        <w:tab/>
        <w:t xml:space="preserve">Yamada M, Mori M. Mechanisms related to the pathophysiology and management of central hypothyroidism. Nat Clin Pract Endocrinol Metab. </w:t>
      </w:r>
      <w:r w:rsidR="00B61381">
        <w:rPr>
          <w:lang w:val="en-US"/>
        </w:rPr>
        <w:t>Dec.</w:t>
      </w:r>
      <w:r w:rsidRPr="00262059">
        <w:rPr>
          <w:lang w:val="en-US"/>
        </w:rPr>
        <w:t xml:space="preserve"> 2008;4(12):683–94. </w:t>
      </w:r>
    </w:p>
    <w:p w14:paraId="6945B6AD" w14:textId="6D0C9C44"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76.</w:t>
      </w:r>
      <w:r w:rsidRPr="00262059">
        <w:rPr>
          <w:lang w:val="en-US"/>
        </w:rPr>
        <w:tab/>
        <w:t xml:space="preserve">Senée V, Chelala C, Duchatelet S, Feng D, Blanc H, Cossec JC, et al. Mutations in GLIS3 are responsible for a rare syndrome with neonatal diabetes mellitus and congenital hypothyroidism. Nat Genet. </w:t>
      </w:r>
      <w:r w:rsidR="00B61381">
        <w:rPr>
          <w:lang w:val="en-US"/>
        </w:rPr>
        <w:t>Jun.</w:t>
      </w:r>
      <w:r w:rsidRPr="00262059">
        <w:rPr>
          <w:lang w:val="en-US"/>
        </w:rPr>
        <w:t xml:space="preserve"> 2006;38(6):682–7. </w:t>
      </w:r>
    </w:p>
    <w:p w14:paraId="327DFFA0" w14:textId="354D27EC"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77.</w:t>
      </w:r>
      <w:r w:rsidRPr="00262059">
        <w:rPr>
          <w:lang w:val="en-US"/>
        </w:rPr>
        <w:tab/>
        <w:t xml:space="preserve">Kang HS, Kumar D, Liao G, Lichti-Kaiser K, Gerrish K, Liao XH, et al. GLIS3 is indispensable for TSH/TSHR-dependent thyroid hormone biosynthesis and follicular cell proliferation. </w:t>
      </w:r>
      <w:r w:rsidRPr="00215564">
        <w:rPr>
          <w:lang w:val="en-US"/>
        </w:rPr>
        <w:t>J Clin Invest. 1</w:t>
      </w:r>
      <w:r w:rsidR="00B61381" w:rsidRPr="00215564">
        <w:rPr>
          <w:lang w:val="en-US"/>
        </w:rPr>
        <w:t xml:space="preserve"> DEc.</w:t>
      </w:r>
      <w:r w:rsidRPr="00215564">
        <w:rPr>
          <w:lang w:val="en-US"/>
        </w:rPr>
        <w:t xml:space="preserve"> 2017;127(12):4326–37. </w:t>
      </w:r>
    </w:p>
    <w:p w14:paraId="26C46728" w14:textId="77777777" w:rsidR="00262059" w:rsidRPr="00262059" w:rsidRDefault="00262059" w:rsidP="00A917C2">
      <w:pPr>
        <w:widowControl w:val="0"/>
        <w:autoSpaceDE w:val="0"/>
        <w:autoSpaceDN w:val="0"/>
        <w:adjustRightInd w:val="0"/>
        <w:spacing w:before="120" w:after="120"/>
        <w:ind w:left="426" w:hanging="426"/>
        <w:rPr>
          <w:lang w:val="en-US"/>
        </w:rPr>
      </w:pPr>
      <w:r w:rsidRPr="00215564">
        <w:rPr>
          <w:lang w:val="en-US"/>
        </w:rPr>
        <w:t>78.</w:t>
      </w:r>
      <w:r w:rsidRPr="00215564">
        <w:rPr>
          <w:lang w:val="en-US"/>
        </w:rPr>
        <w:tab/>
        <w:t xml:space="preserve">Rurale G, Persani L, Marelli F. GLIS3 and Thyroid: A Pleiotropic Candidate Gene for Congenital Hypothyroidism. </w:t>
      </w:r>
      <w:r w:rsidRPr="00262059">
        <w:rPr>
          <w:lang w:val="en-US"/>
        </w:rPr>
        <w:t xml:space="preserve">Frontiers in Endocrinology. 2018;9:730. </w:t>
      </w:r>
    </w:p>
    <w:p w14:paraId="57B62EB0" w14:textId="77777777"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79.</w:t>
      </w:r>
      <w:r w:rsidRPr="00262059">
        <w:rPr>
          <w:lang w:val="en-US"/>
        </w:rPr>
        <w:tab/>
        <w:t xml:space="preserve">Ransohoff JD, Wei Y, Khavari PA. The functions and unique features of long intergenic non-coding RNA. Nat Rev Mol Cell Biol. março de 2018;19(3):143–57. </w:t>
      </w:r>
    </w:p>
    <w:p w14:paraId="032A08E2" w14:textId="6C0169B0"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lastRenderedPageBreak/>
        <w:t>80.</w:t>
      </w:r>
      <w:r w:rsidRPr="00262059">
        <w:rPr>
          <w:lang w:val="en-US"/>
        </w:rPr>
        <w:tab/>
        <w:t xml:space="preserve">He H, Li W, Liyanarachchi S, Jendrzejewski J, Srinivas M, Davuluri RV, et al. Genetic Predisposition to Papillary Thyroid Carcinoma: Involvement of FOXE1, TSHR, and a Novel lincRNA Gene, PTCSC2. J Clin Endocrinol Metab. </w:t>
      </w:r>
      <w:r w:rsidR="00B61381">
        <w:rPr>
          <w:lang w:val="en-US"/>
        </w:rPr>
        <w:t>Jan.</w:t>
      </w:r>
      <w:r w:rsidRPr="00262059">
        <w:rPr>
          <w:lang w:val="en-US"/>
        </w:rPr>
        <w:t xml:space="preserve"> 2015;100(1):E164–72. </w:t>
      </w:r>
    </w:p>
    <w:p w14:paraId="7EA36BA3" w14:textId="7F7FC4FA"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81.</w:t>
      </w:r>
      <w:r w:rsidRPr="00262059">
        <w:rPr>
          <w:lang w:val="en-US"/>
        </w:rPr>
        <w:tab/>
        <w:t>Morillo-Bernal J, Fernández LP, Santisteban P. FOXE1 regulates migration and invasion in thyroid cancer cells and targets ZEB1. Endocrine-Related Cancer. 1</w:t>
      </w:r>
      <w:r w:rsidR="00B61381">
        <w:rPr>
          <w:lang w:val="en-US"/>
        </w:rPr>
        <w:t xml:space="preserve"> Mar.</w:t>
      </w:r>
      <w:r w:rsidRPr="00262059">
        <w:rPr>
          <w:lang w:val="en-US"/>
        </w:rPr>
        <w:t xml:space="preserve"> 2020;27(3):137–51. </w:t>
      </w:r>
    </w:p>
    <w:p w14:paraId="5E654C7E" w14:textId="63B4A39A"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82.</w:t>
      </w:r>
      <w:r w:rsidRPr="00262059">
        <w:rPr>
          <w:lang w:val="en-US"/>
        </w:rPr>
        <w:tab/>
        <w:t xml:space="preserve">Gudmundsson J, Sulem P, Gudbjartsson DF, Jonasson JG, Masson G, He H, et al. Discovery of common variants associated with low TSH levels and thyroid cancer risk. Nat Genet. 22 </w:t>
      </w:r>
      <w:r w:rsidR="00B61381">
        <w:rPr>
          <w:lang w:val="en-US"/>
        </w:rPr>
        <w:t xml:space="preserve">Jan. </w:t>
      </w:r>
      <w:r w:rsidRPr="00262059">
        <w:rPr>
          <w:lang w:val="en-US"/>
        </w:rPr>
        <w:t xml:space="preserve">2012;44(3):319–22. </w:t>
      </w:r>
    </w:p>
    <w:p w14:paraId="6F346D7D" w14:textId="77777777"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83.</w:t>
      </w:r>
      <w:r w:rsidRPr="00262059">
        <w:rPr>
          <w:lang w:val="en-US"/>
        </w:rPr>
        <w:tab/>
        <w:t xml:space="preserve">Malinowski JR, Denny JC, Bielinski SJ, Basford MA, Bradford Y, Peissig PL, et al. Genetic variants associated with serum thyroid stimulating hormone (TSH) levels in European Americans and African Americans from the eMERGE Network. PLoS One. 2014;9(12):e111301. </w:t>
      </w:r>
    </w:p>
    <w:p w14:paraId="49594DF2" w14:textId="23F543A8"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84.</w:t>
      </w:r>
      <w:r w:rsidRPr="00262059">
        <w:rPr>
          <w:lang w:val="en-US"/>
        </w:rPr>
        <w:tab/>
        <w:t xml:space="preserve">Fujishige K, Kotera J, Michibata H, Yuasa K, Takebayashi S, Okumura K, et al. Cloning and characterization of a novel human phosphodiesterase that hydrolyzes both cAMP and cGMP (PDE10A). </w:t>
      </w:r>
      <w:r w:rsidRPr="00215564">
        <w:rPr>
          <w:lang w:val="en-US"/>
        </w:rPr>
        <w:t xml:space="preserve">J Biol Chem. 25 </w:t>
      </w:r>
      <w:r w:rsidR="00B61381" w:rsidRPr="00215564">
        <w:rPr>
          <w:lang w:val="en-US"/>
        </w:rPr>
        <w:t>Jun.</w:t>
      </w:r>
      <w:r w:rsidRPr="00215564">
        <w:rPr>
          <w:lang w:val="en-US"/>
        </w:rPr>
        <w:t xml:space="preserve">1999;274(26):18438–45. </w:t>
      </w:r>
    </w:p>
    <w:p w14:paraId="0210085F" w14:textId="13314F6A" w:rsidR="00262059" w:rsidRPr="00262059" w:rsidRDefault="00262059" w:rsidP="00A917C2">
      <w:pPr>
        <w:widowControl w:val="0"/>
        <w:autoSpaceDE w:val="0"/>
        <w:autoSpaceDN w:val="0"/>
        <w:adjustRightInd w:val="0"/>
        <w:spacing w:before="120" w:after="120"/>
        <w:ind w:left="426" w:hanging="426"/>
        <w:rPr>
          <w:lang w:val="en-US"/>
        </w:rPr>
      </w:pPr>
      <w:r w:rsidRPr="00215564">
        <w:rPr>
          <w:lang w:val="en-US"/>
        </w:rPr>
        <w:t>85.</w:t>
      </w:r>
      <w:r w:rsidRPr="00215564">
        <w:rPr>
          <w:lang w:val="en-US"/>
        </w:rPr>
        <w:tab/>
        <w:t xml:space="preserve">Volpato CB, De Grandi A, Gögele M, Taliun D, Fuchsberger C, Facheris MF, et al. </w:t>
      </w:r>
      <w:r w:rsidRPr="00262059">
        <w:rPr>
          <w:lang w:val="en-US"/>
        </w:rPr>
        <w:t xml:space="preserve">Linkage and association analysis of hyperthyrotropinaemia in an Alpine population reveal two novel loci on chromosomes 3q28-29 and 6q26-27. J Med Genet. </w:t>
      </w:r>
      <w:r w:rsidR="00B61381">
        <w:rPr>
          <w:lang w:val="en-US"/>
        </w:rPr>
        <w:t>Aug.</w:t>
      </w:r>
      <w:r w:rsidRPr="00262059">
        <w:rPr>
          <w:lang w:val="en-US"/>
        </w:rPr>
        <w:t xml:space="preserve"> 2011;48(8):549–56. </w:t>
      </w:r>
    </w:p>
    <w:p w14:paraId="3C1DD49E" w14:textId="1B300F11"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86.</w:t>
      </w:r>
      <w:r w:rsidRPr="00262059">
        <w:rPr>
          <w:lang w:val="en-US"/>
        </w:rPr>
        <w:tab/>
        <w:t xml:space="preserve">Bianco AC. Minireview: Cracking the Metabolic Code for Thyroid Hormone Signaling. </w:t>
      </w:r>
      <w:r w:rsidRPr="00215564">
        <w:rPr>
          <w:lang w:val="en-US"/>
        </w:rPr>
        <w:t>Endocrinology. 1</w:t>
      </w:r>
      <w:r w:rsidR="00B61381" w:rsidRPr="00215564">
        <w:rPr>
          <w:vertAlign w:val="superscript"/>
          <w:lang w:val="en-US"/>
        </w:rPr>
        <w:t xml:space="preserve"> </w:t>
      </w:r>
      <w:r w:rsidR="00B61381" w:rsidRPr="00215564">
        <w:rPr>
          <w:lang w:val="en-US"/>
        </w:rPr>
        <w:t>Sep.</w:t>
      </w:r>
      <w:r w:rsidRPr="00215564">
        <w:rPr>
          <w:lang w:val="en-US"/>
        </w:rPr>
        <w:t xml:space="preserve"> 2011;152(9):3306–11. </w:t>
      </w:r>
    </w:p>
    <w:p w14:paraId="5F727C67" w14:textId="1DBED1D3" w:rsidR="00262059" w:rsidRPr="00215564" w:rsidRDefault="00262059" w:rsidP="00A917C2">
      <w:pPr>
        <w:widowControl w:val="0"/>
        <w:autoSpaceDE w:val="0"/>
        <w:autoSpaceDN w:val="0"/>
        <w:adjustRightInd w:val="0"/>
        <w:spacing w:before="120" w:after="120"/>
        <w:ind w:left="426" w:hanging="426"/>
        <w:rPr>
          <w:lang w:val="en-US"/>
        </w:rPr>
      </w:pPr>
      <w:r w:rsidRPr="00215564">
        <w:rPr>
          <w:lang w:val="en-US"/>
        </w:rPr>
        <w:t>87.</w:t>
      </w:r>
      <w:r w:rsidRPr="00215564">
        <w:rPr>
          <w:lang w:val="en-US"/>
        </w:rPr>
        <w:tab/>
        <w:t xml:space="preserve">Mentuccia D, Proietti-Pannunzi L, Tanner K, Bacci V, Pollin TI, Poehlman ET, et al. </w:t>
      </w:r>
      <w:r w:rsidRPr="00262059">
        <w:rPr>
          <w:lang w:val="en-US"/>
        </w:rPr>
        <w:t xml:space="preserve">Association between a novel variant of the human type 2 deiodinase gene Thr92Ala and insulin resistance: evidence of interaction with the Trp64Arg variant of the beta-3-adrenergic receptor. </w:t>
      </w:r>
      <w:r w:rsidRPr="00215564">
        <w:rPr>
          <w:lang w:val="en-US"/>
        </w:rPr>
        <w:t xml:space="preserve">Diabetes. </w:t>
      </w:r>
      <w:r w:rsidR="00B61381" w:rsidRPr="00215564">
        <w:rPr>
          <w:lang w:val="en-US"/>
        </w:rPr>
        <w:t xml:space="preserve"> Mar. </w:t>
      </w:r>
      <w:r w:rsidRPr="00215564">
        <w:rPr>
          <w:lang w:val="en-US"/>
        </w:rPr>
        <w:t xml:space="preserve">2002;51(3):880–3. </w:t>
      </w:r>
    </w:p>
    <w:p w14:paraId="461B6571" w14:textId="3A792F83" w:rsidR="00262059" w:rsidRPr="00215564" w:rsidRDefault="00262059" w:rsidP="00A917C2">
      <w:pPr>
        <w:widowControl w:val="0"/>
        <w:autoSpaceDE w:val="0"/>
        <w:autoSpaceDN w:val="0"/>
        <w:adjustRightInd w:val="0"/>
        <w:spacing w:before="120" w:after="120"/>
        <w:ind w:left="426" w:hanging="426"/>
        <w:rPr>
          <w:lang w:val="en-US"/>
        </w:rPr>
      </w:pPr>
      <w:r w:rsidRPr="00215564">
        <w:rPr>
          <w:lang w:val="en-US"/>
        </w:rPr>
        <w:t>88.</w:t>
      </w:r>
      <w:r w:rsidRPr="00215564">
        <w:rPr>
          <w:lang w:val="en-US"/>
        </w:rPr>
        <w:tab/>
        <w:t xml:space="preserve">Marsili A, Zavacki AM, Harney JW, Larsen PR. </w:t>
      </w:r>
      <w:r w:rsidRPr="00262059">
        <w:rPr>
          <w:lang w:val="en-US"/>
        </w:rPr>
        <w:t xml:space="preserve">Physiological role and regulation of iodothyronine deiodinases: a 2011 update. </w:t>
      </w:r>
      <w:r w:rsidRPr="00215564">
        <w:rPr>
          <w:lang w:val="en-US"/>
        </w:rPr>
        <w:t xml:space="preserve">J Endocrinol Invest. </w:t>
      </w:r>
      <w:r w:rsidR="00B61381" w:rsidRPr="00215564">
        <w:rPr>
          <w:lang w:val="en-US"/>
        </w:rPr>
        <w:t>May</w:t>
      </w:r>
      <w:r w:rsidRPr="00215564">
        <w:rPr>
          <w:lang w:val="en-US"/>
        </w:rPr>
        <w:t xml:space="preserve"> 2011;34(5):395–407. </w:t>
      </w:r>
    </w:p>
    <w:p w14:paraId="240F7AB7" w14:textId="77777777" w:rsidR="00262059" w:rsidRPr="00262059" w:rsidRDefault="00262059" w:rsidP="00A917C2">
      <w:pPr>
        <w:widowControl w:val="0"/>
        <w:autoSpaceDE w:val="0"/>
        <w:autoSpaceDN w:val="0"/>
        <w:adjustRightInd w:val="0"/>
        <w:spacing w:before="120" w:after="120"/>
        <w:ind w:left="426" w:hanging="426"/>
      </w:pPr>
      <w:r w:rsidRPr="00215564">
        <w:rPr>
          <w:lang w:val="en-US"/>
        </w:rPr>
        <w:t>89.</w:t>
      </w:r>
      <w:r w:rsidRPr="00215564">
        <w:rPr>
          <w:lang w:val="en-US"/>
        </w:rPr>
        <w:tab/>
        <w:t xml:space="preserve">Bianco AC, Kim BS. Pathophysiological relevance of deiodinase polymorphism. </w:t>
      </w:r>
      <w:r w:rsidRPr="00262059">
        <w:t xml:space="preserve">Curr Opin Endocrinol Diabetes Obes. outubro de 2018;25(5):341–6. </w:t>
      </w:r>
    </w:p>
    <w:p w14:paraId="00E39015" w14:textId="38A3538A" w:rsidR="00262059" w:rsidRPr="00215564" w:rsidRDefault="00262059" w:rsidP="00A917C2">
      <w:pPr>
        <w:widowControl w:val="0"/>
        <w:autoSpaceDE w:val="0"/>
        <w:autoSpaceDN w:val="0"/>
        <w:adjustRightInd w:val="0"/>
        <w:spacing w:before="120" w:after="120"/>
        <w:ind w:left="426" w:hanging="426"/>
        <w:rPr>
          <w:lang w:val="en-US"/>
        </w:rPr>
      </w:pPr>
      <w:r w:rsidRPr="00215564">
        <w:t>90.</w:t>
      </w:r>
      <w:r w:rsidRPr="00215564">
        <w:tab/>
        <w:t xml:space="preserve">Groeneweg S, van Geest FS, Peeters RP, Heuer H, Visser WE. </w:t>
      </w:r>
      <w:r w:rsidRPr="00215564">
        <w:rPr>
          <w:lang w:val="en-US"/>
        </w:rPr>
        <w:t>Thyroid Hormone Transporters. Endocr Rev. 1</w:t>
      </w:r>
      <w:r w:rsidR="00B61381" w:rsidRPr="00215564">
        <w:rPr>
          <w:lang w:val="en-US"/>
        </w:rPr>
        <w:t xml:space="preserve"> Apr.</w:t>
      </w:r>
      <w:r w:rsidRPr="00215564">
        <w:rPr>
          <w:lang w:val="en-US"/>
        </w:rPr>
        <w:t xml:space="preserve"> 2020;41(2):bnz008. </w:t>
      </w:r>
    </w:p>
    <w:p w14:paraId="351B21B0" w14:textId="77777777" w:rsidR="00262059" w:rsidRPr="00262059" w:rsidRDefault="00262059" w:rsidP="00A917C2">
      <w:pPr>
        <w:widowControl w:val="0"/>
        <w:autoSpaceDE w:val="0"/>
        <w:autoSpaceDN w:val="0"/>
        <w:adjustRightInd w:val="0"/>
        <w:spacing w:before="120" w:after="120"/>
        <w:ind w:left="426" w:hanging="426"/>
      </w:pPr>
      <w:r w:rsidRPr="00262059">
        <w:rPr>
          <w:lang w:val="en-US"/>
        </w:rPr>
        <w:t>91.</w:t>
      </w:r>
      <w:r w:rsidRPr="00262059">
        <w:rPr>
          <w:lang w:val="en-US"/>
        </w:rPr>
        <w:tab/>
        <w:t xml:space="preserve">Universität Düsseldorf: G*Power [Internet]. </w:t>
      </w:r>
      <w:r w:rsidRPr="00262059">
        <w:t>[citado 29 de maio de 2022]. Disponível em: https://www.psychologie.hhu.de/arbeitsgruppen/allgemeine-psychologie-und-arbeitspsychologie/gpower</w:t>
      </w:r>
    </w:p>
    <w:p w14:paraId="6CE82F48" w14:textId="6CC8B6B0"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92.</w:t>
      </w:r>
      <w:r w:rsidRPr="00262059">
        <w:rPr>
          <w:lang w:val="en-US"/>
        </w:rPr>
        <w:tab/>
        <w:t xml:space="preserve">Faul F, Erdfelder E, Lang AG, Buchner A. G*Power 3: a flexible statistical power analysis program for the social, behavioral, and biomedical sciences. Behav Res Methods. </w:t>
      </w:r>
      <w:r w:rsidR="00B61381">
        <w:rPr>
          <w:lang w:val="en-US"/>
        </w:rPr>
        <w:t>May</w:t>
      </w:r>
      <w:r w:rsidRPr="00262059">
        <w:rPr>
          <w:lang w:val="en-US"/>
        </w:rPr>
        <w:t xml:space="preserve"> 2007;39(2):175–91. </w:t>
      </w:r>
    </w:p>
    <w:p w14:paraId="226ADA67" w14:textId="6B156ACE" w:rsidR="00262059" w:rsidRPr="00262059" w:rsidRDefault="00262059" w:rsidP="00A917C2">
      <w:pPr>
        <w:widowControl w:val="0"/>
        <w:autoSpaceDE w:val="0"/>
        <w:autoSpaceDN w:val="0"/>
        <w:adjustRightInd w:val="0"/>
        <w:spacing w:before="120" w:after="120"/>
        <w:ind w:left="426" w:hanging="426"/>
      </w:pPr>
      <w:r w:rsidRPr="00262059">
        <w:rPr>
          <w:lang w:val="en-US"/>
        </w:rPr>
        <w:t>93.</w:t>
      </w:r>
      <w:r w:rsidRPr="00262059">
        <w:rPr>
          <w:lang w:val="en-US"/>
        </w:rPr>
        <w:tab/>
        <w:t xml:space="preserve">Faul F, Erdfelder E, Buchner A, Lang AG. Statistical power analyses using G*Power 3.1: tests for correlation and regression analyses. </w:t>
      </w:r>
      <w:r w:rsidRPr="00262059">
        <w:t xml:space="preserve">Behav Res Methods. </w:t>
      </w:r>
      <w:r w:rsidR="00B61381">
        <w:t xml:space="preserve">Nov. </w:t>
      </w:r>
      <w:r w:rsidRPr="00262059">
        <w:t xml:space="preserve">2009;41(4):1149–60. </w:t>
      </w:r>
    </w:p>
    <w:p w14:paraId="7849593D" w14:textId="2FAF5E31" w:rsidR="00262059" w:rsidRPr="00262059" w:rsidRDefault="00262059" w:rsidP="00A917C2">
      <w:pPr>
        <w:widowControl w:val="0"/>
        <w:autoSpaceDE w:val="0"/>
        <w:autoSpaceDN w:val="0"/>
        <w:adjustRightInd w:val="0"/>
        <w:spacing w:before="120" w:after="120"/>
        <w:ind w:left="426" w:hanging="426"/>
        <w:rPr>
          <w:lang w:val="en-US"/>
        </w:rPr>
      </w:pPr>
      <w:r w:rsidRPr="00262059">
        <w:t>94.</w:t>
      </w:r>
      <w:r w:rsidRPr="00262059">
        <w:tab/>
        <w:t xml:space="preserve">Félix LN, Souza EMT de. Avaliação nutricional de idosos em uma instituição por diferentes instrumentos. </w:t>
      </w:r>
      <w:r w:rsidRPr="00262059">
        <w:rPr>
          <w:lang w:val="en-US"/>
        </w:rPr>
        <w:t xml:space="preserve">Rev Nutr. </w:t>
      </w:r>
      <w:r w:rsidR="00B61381">
        <w:rPr>
          <w:lang w:val="en-US"/>
        </w:rPr>
        <w:t>Aug.</w:t>
      </w:r>
      <w:r w:rsidRPr="00262059">
        <w:rPr>
          <w:lang w:val="en-US"/>
        </w:rPr>
        <w:t xml:space="preserve"> 2009;22:571–80. </w:t>
      </w:r>
    </w:p>
    <w:p w14:paraId="30F15F5D" w14:textId="66AA1314" w:rsidR="00262059" w:rsidRPr="00D959CE" w:rsidRDefault="00262059" w:rsidP="00A917C2">
      <w:pPr>
        <w:widowControl w:val="0"/>
        <w:autoSpaceDE w:val="0"/>
        <w:autoSpaceDN w:val="0"/>
        <w:adjustRightInd w:val="0"/>
        <w:spacing w:before="120" w:after="120"/>
        <w:ind w:left="426" w:hanging="426"/>
        <w:rPr>
          <w:lang w:val="en-US"/>
        </w:rPr>
      </w:pPr>
      <w:r w:rsidRPr="00262059">
        <w:rPr>
          <w:lang w:val="en-US"/>
        </w:rPr>
        <w:t>95.</w:t>
      </w:r>
      <w:r w:rsidRPr="00262059">
        <w:rPr>
          <w:lang w:val="en-US"/>
        </w:rPr>
        <w:tab/>
        <w:t xml:space="preserve">Mini Nutritional Assessment (MNA): Research and Practice in the Elderly | Karger Book </w:t>
      </w:r>
      <w:r w:rsidRPr="00D959CE">
        <w:rPr>
          <w:lang w:val="en-US"/>
        </w:rPr>
        <w:lastRenderedPageBreak/>
        <w:t>Disponível em: https://www.karger.com/Book/Home/223519</w:t>
      </w:r>
    </w:p>
    <w:p w14:paraId="36E44355" w14:textId="632423B1"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96.</w:t>
      </w:r>
      <w:r w:rsidRPr="00262059">
        <w:rPr>
          <w:lang w:val="en-US"/>
        </w:rPr>
        <w:tab/>
        <w:t>Vellas B, Villars H, Abellan G, Soto ME, Rolland Y, Guigoz Y, et al. O</w:t>
      </w:r>
      <w:r w:rsidR="00B61381" w:rsidRPr="00262059">
        <w:rPr>
          <w:lang w:val="en-US"/>
        </w:rPr>
        <w:t>verview of the</w:t>
      </w:r>
      <w:r w:rsidRPr="00262059">
        <w:rPr>
          <w:lang w:val="en-US"/>
        </w:rPr>
        <w:t xml:space="preserve"> MNA® – I</w:t>
      </w:r>
      <w:r w:rsidR="00B61381" w:rsidRPr="00262059">
        <w:rPr>
          <w:lang w:val="en-US"/>
        </w:rPr>
        <w:t>ts history and challenges</w:t>
      </w:r>
      <w:r w:rsidRPr="00262059">
        <w:rPr>
          <w:lang w:val="en-US"/>
        </w:rPr>
        <w:t xml:space="preserve">. The Journal of Nutrition. 2006;10(6):11. </w:t>
      </w:r>
    </w:p>
    <w:p w14:paraId="6DF7F7D5" w14:textId="75BD534A"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97.</w:t>
      </w:r>
      <w:r w:rsidRPr="00262059">
        <w:rPr>
          <w:lang w:val="en-US"/>
        </w:rPr>
        <w:tab/>
        <w:t xml:space="preserve">Hengstermann S, Nieczaj R, Steinhagen-Thiessen E, Schulz RJ. Which are the most efficient items of mini nutritional assessment in multimorbid patients? </w:t>
      </w:r>
      <w:r w:rsidRPr="00215564">
        <w:rPr>
          <w:lang w:val="en-US"/>
        </w:rPr>
        <w:t xml:space="preserve">J Nutr Health Aging. </w:t>
      </w:r>
      <w:r w:rsidR="00B61381" w:rsidRPr="00215564">
        <w:rPr>
          <w:lang w:val="en-US"/>
        </w:rPr>
        <w:t>Feb.</w:t>
      </w:r>
      <w:r w:rsidRPr="00215564">
        <w:rPr>
          <w:lang w:val="en-US"/>
        </w:rPr>
        <w:t xml:space="preserve"> 2008;12(2):117–22. </w:t>
      </w:r>
    </w:p>
    <w:p w14:paraId="5CEB8C0E" w14:textId="5A6B4007" w:rsidR="00262059" w:rsidRPr="00262059" w:rsidRDefault="00262059" w:rsidP="00A917C2">
      <w:pPr>
        <w:widowControl w:val="0"/>
        <w:autoSpaceDE w:val="0"/>
        <w:autoSpaceDN w:val="0"/>
        <w:adjustRightInd w:val="0"/>
        <w:spacing w:before="120" w:after="120"/>
        <w:ind w:left="426" w:hanging="426"/>
        <w:rPr>
          <w:lang w:val="en-US"/>
        </w:rPr>
      </w:pPr>
      <w:r w:rsidRPr="00B20016">
        <w:rPr>
          <w:lang w:val="en-US"/>
        </w:rPr>
        <w:t>98.</w:t>
      </w:r>
      <w:r w:rsidRPr="00B20016">
        <w:rPr>
          <w:lang w:val="en-US"/>
        </w:rPr>
        <w:tab/>
        <w:t xml:space="preserve">Maeda SS, Peters BSE, Martini LA, Antunes HKM, Gonzalez MC, Arantes HP, et al. </w:t>
      </w:r>
      <w:r w:rsidRPr="00262059">
        <w:rPr>
          <w:lang w:val="en-US"/>
        </w:rPr>
        <w:t>Official position of the Brazilian Association of Bone Assessment and Metabolism (ABRASSO) on the evaluation of body composition by densitometry: part I (technical aspects)</w:t>
      </w:r>
      <w:r w:rsidR="007756DF">
        <w:rPr>
          <w:lang w:val="en-US"/>
        </w:rPr>
        <w:t xml:space="preserve"> - </w:t>
      </w:r>
      <w:r w:rsidRPr="00262059">
        <w:rPr>
          <w:lang w:val="en-US"/>
        </w:rPr>
        <w:t xml:space="preserve">general concepts, indications, acquisition, and analysis. Advances in Rheumatology. 20 </w:t>
      </w:r>
      <w:r w:rsidR="00B61381">
        <w:rPr>
          <w:lang w:val="en-US"/>
        </w:rPr>
        <w:t>Mar.</w:t>
      </w:r>
      <w:r w:rsidRPr="00262059">
        <w:rPr>
          <w:lang w:val="en-US"/>
        </w:rPr>
        <w:t xml:space="preserve"> 2022;62(1):7. </w:t>
      </w:r>
    </w:p>
    <w:p w14:paraId="5368E1A8" w14:textId="77777777" w:rsidR="00262059" w:rsidRPr="00262059" w:rsidRDefault="00262059" w:rsidP="00A917C2">
      <w:pPr>
        <w:widowControl w:val="0"/>
        <w:autoSpaceDE w:val="0"/>
        <w:autoSpaceDN w:val="0"/>
        <w:adjustRightInd w:val="0"/>
        <w:spacing w:before="120" w:after="120"/>
        <w:ind w:left="426" w:hanging="426"/>
      </w:pPr>
      <w:r w:rsidRPr="00262059">
        <w:rPr>
          <w:lang w:val="en-US"/>
        </w:rPr>
        <w:t>99.</w:t>
      </w:r>
      <w:r w:rsidRPr="00262059">
        <w:rPr>
          <w:lang w:val="en-US"/>
        </w:rPr>
        <w:tab/>
        <w:t xml:space="preserve">Official Position of the Brazilian Association of Bone Assessment and Metabolism (ABRASSO) on the evaluation of body composition by densitometry—part II (clinical aspects): interpretation, reporting, and special situations | Advances in Rheumatology | Full Text [Internet]. </w:t>
      </w:r>
      <w:r w:rsidRPr="00262059">
        <w:t>[citado 10 de julho de 2022]. Disponível em: https://advancesinrheumatology.biomedcentral.com/articles/10.1186/s42358-022-00240-9</w:t>
      </w:r>
    </w:p>
    <w:p w14:paraId="79A5CB6F" w14:textId="3C39E61E" w:rsidR="00262059" w:rsidRPr="00262059" w:rsidRDefault="00262059" w:rsidP="00A917C2">
      <w:pPr>
        <w:widowControl w:val="0"/>
        <w:autoSpaceDE w:val="0"/>
        <w:autoSpaceDN w:val="0"/>
        <w:adjustRightInd w:val="0"/>
        <w:spacing w:before="120" w:after="120"/>
        <w:ind w:left="426" w:hanging="426"/>
        <w:rPr>
          <w:lang w:val="en-US"/>
        </w:rPr>
      </w:pPr>
      <w:r w:rsidRPr="00262059">
        <w:t>100.</w:t>
      </w:r>
      <w:r w:rsidRPr="00262059">
        <w:tab/>
        <w:t xml:space="preserve">Cruz-Jentoft AJ, Baeyens JP, Bauer JM, Boirie Y, Cederholm T, Landi F, et al. </w:t>
      </w:r>
      <w:r w:rsidRPr="00262059">
        <w:rPr>
          <w:lang w:val="en-US"/>
        </w:rPr>
        <w:t>Sarcopenia: European consensus on definition and diagnosis: Report of the European Working Group on Sarcopenia in Older People. Age and Ageing. 1</w:t>
      </w:r>
      <w:r w:rsidR="00B61381">
        <w:rPr>
          <w:lang w:val="en-US"/>
        </w:rPr>
        <w:t xml:space="preserve"> Jul.</w:t>
      </w:r>
      <w:r w:rsidRPr="00262059">
        <w:rPr>
          <w:lang w:val="en-US"/>
        </w:rPr>
        <w:t xml:space="preserve">2010;39(4):412–23. </w:t>
      </w:r>
    </w:p>
    <w:p w14:paraId="687A669F" w14:textId="143DEC0F"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101.</w:t>
      </w:r>
      <w:r w:rsidRPr="00262059">
        <w:rPr>
          <w:lang w:val="en-US"/>
        </w:rPr>
        <w:tab/>
        <w:t xml:space="preserve">Taylor PN, Panicker V, Sayers A, Shields B, Iqbal A, Bremner AP, et al. A meta-analysis of the associations between common variation in the PDE8B gene and thyroid hormone parameters, including assessment of longitudinal stability of associations over time and effect of thyroid hormone replacement. </w:t>
      </w:r>
      <w:r w:rsidRPr="00215564">
        <w:rPr>
          <w:lang w:val="en-US"/>
        </w:rPr>
        <w:t xml:space="preserve">Eur J Endocrinol. </w:t>
      </w:r>
      <w:r w:rsidR="00B61381" w:rsidRPr="00215564">
        <w:rPr>
          <w:lang w:val="en-US"/>
        </w:rPr>
        <w:t xml:space="preserve">May </w:t>
      </w:r>
      <w:r w:rsidRPr="00215564">
        <w:rPr>
          <w:lang w:val="en-US"/>
        </w:rPr>
        <w:t xml:space="preserve">2011;164(5):773–80. </w:t>
      </w:r>
    </w:p>
    <w:p w14:paraId="3ABFC0FF" w14:textId="77777777" w:rsidR="00262059" w:rsidRPr="00262059" w:rsidRDefault="00262059" w:rsidP="00A917C2">
      <w:pPr>
        <w:widowControl w:val="0"/>
        <w:autoSpaceDE w:val="0"/>
        <w:autoSpaceDN w:val="0"/>
        <w:adjustRightInd w:val="0"/>
        <w:spacing w:before="120" w:after="120"/>
        <w:ind w:left="426" w:hanging="426"/>
        <w:rPr>
          <w:lang w:val="en-US"/>
        </w:rPr>
      </w:pPr>
      <w:r w:rsidRPr="00215564">
        <w:rPr>
          <w:lang w:val="en-US"/>
        </w:rPr>
        <w:t>102.</w:t>
      </w:r>
      <w:r w:rsidRPr="00215564">
        <w:rPr>
          <w:lang w:val="en-US"/>
        </w:rPr>
        <w:tab/>
        <w:t xml:space="preserve">Taylor PN, Porcu E, Chew S, Campbell PJ, Traglia M, Brown SJ, et al. </w:t>
      </w:r>
      <w:r w:rsidRPr="00262059">
        <w:rPr>
          <w:lang w:val="en-US"/>
        </w:rPr>
        <w:t xml:space="preserve">Whole-genome sequence-based analysis of thyroid function. Nat Commun. 6 de março de 2015;6:5681. </w:t>
      </w:r>
    </w:p>
    <w:p w14:paraId="695BCB4E" w14:textId="77777777" w:rsidR="00262059" w:rsidRPr="00262059" w:rsidRDefault="00262059" w:rsidP="00A917C2">
      <w:pPr>
        <w:widowControl w:val="0"/>
        <w:autoSpaceDE w:val="0"/>
        <w:autoSpaceDN w:val="0"/>
        <w:adjustRightInd w:val="0"/>
        <w:spacing w:before="120" w:after="120"/>
        <w:ind w:left="426" w:hanging="426"/>
      </w:pPr>
      <w:r w:rsidRPr="00262059">
        <w:rPr>
          <w:lang w:val="en-US"/>
        </w:rPr>
        <w:t>103.</w:t>
      </w:r>
      <w:r w:rsidRPr="00262059">
        <w:rPr>
          <w:lang w:val="en-US"/>
        </w:rPr>
        <w:tab/>
        <w:t xml:space="preserve">PLOS Genetics: A Meta-Analysis of Thyroid-Related Traits Reveals Novel Loci and Gender-Specific Differences in the Regulation of Thyroid Function [Internet]. </w:t>
      </w:r>
      <w:r w:rsidRPr="00262059">
        <w:t>[citado 26 de dezembro de 2021]. Disponível em: https://journals.plos.org/plosgenetics/article/figure?id=10.1371/journal.pgen.1003266.g002</w:t>
      </w:r>
    </w:p>
    <w:p w14:paraId="019352EB" w14:textId="5B529E81"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104.</w:t>
      </w:r>
      <w:r w:rsidRPr="00262059">
        <w:rPr>
          <w:lang w:val="en-US"/>
        </w:rPr>
        <w:tab/>
        <w:t xml:space="preserve">De la Vega FM, Lazaruk KD, Rhodes MD, Wenz MH. Assessment of two flexible and compatible SNP genotyping platforms: TaqMan SNP Genotyping Assays and the SNPlex Genotyping System. </w:t>
      </w:r>
      <w:r w:rsidRPr="00215564">
        <w:rPr>
          <w:lang w:val="en-US"/>
        </w:rPr>
        <w:t>Mutat Res. 1</w:t>
      </w:r>
      <w:r w:rsidR="00B61381" w:rsidRPr="00215564">
        <w:rPr>
          <w:vertAlign w:val="superscript"/>
          <w:lang w:val="en-US"/>
        </w:rPr>
        <w:t xml:space="preserve"> </w:t>
      </w:r>
      <w:r w:rsidR="00B61381" w:rsidRPr="00215564">
        <w:rPr>
          <w:lang w:val="en-US"/>
        </w:rPr>
        <w:t xml:space="preserve">Jun. </w:t>
      </w:r>
      <w:r w:rsidRPr="00215564">
        <w:rPr>
          <w:lang w:val="en-US"/>
        </w:rPr>
        <w:t xml:space="preserve">2005;573(1–2):111–35. </w:t>
      </w:r>
    </w:p>
    <w:p w14:paraId="0BE0C436" w14:textId="536F7532" w:rsidR="00262059" w:rsidRPr="00262059" w:rsidRDefault="00262059" w:rsidP="00A917C2">
      <w:pPr>
        <w:widowControl w:val="0"/>
        <w:autoSpaceDE w:val="0"/>
        <w:autoSpaceDN w:val="0"/>
        <w:adjustRightInd w:val="0"/>
        <w:spacing w:before="120" w:after="120"/>
        <w:ind w:left="426" w:hanging="426"/>
        <w:rPr>
          <w:lang w:val="en-US"/>
        </w:rPr>
      </w:pPr>
      <w:r w:rsidRPr="00215564">
        <w:rPr>
          <w:lang w:val="en-US"/>
        </w:rPr>
        <w:t>105.</w:t>
      </w:r>
      <w:r w:rsidRPr="00215564">
        <w:rPr>
          <w:lang w:val="en-US"/>
        </w:rPr>
        <w:tab/>
        <w:t xml:space="preserve">McAninch EA, Rajan KB, Evans DA, Jo S, Chaker L, Peeters RP, et al. </w:t>
      </w:r>
      <w:r w:rsidRPr="00262059">
        <w:rPr>
          <w:lang w:val="en-US"/>
        </w:rPr>
        <w:t>A Common DIO2 Polymorphism and Alzheimer Disease Dementia in African and European Americans. The Journal of Clinical Endocrinology &amp; Metabolism. 1</w:t>
      </w:r>
      <w:r w:rsidR="00B61381">
        <w:rPr>
          <w:lang w:val="en-US"/>
        </w:rPr>
        <w:t>May</w:t>
      </w:r>
      <w:r w:rsidRPr="00262059">
        <w:rPr>
          <w:lang w:val="en-US"/>
        </w:rPr>
        <w:t xml:space="preserve"> 2018;103(5):1818–26. </w:t>
      </w:r>
    </w:p>
    <w:p w14:paraId="48D3FFFE" w14:textId="75EFEC55" w:rsidR="00262059" w:rsidRPr="00262059" w:rsidRDefault="00262059" w:rsidP="00A917C2">
      <w:pPr>
        <w:widowControl w:val="0"/>
        <w:autoSpaceDE w:val="0"/>
        <w:autoSpaceDN w:val="0"/>
        <w:adjustRightInd w:val="0"/>
        <w:spacing w:before="120" w:after="120"/>
        <w:ind w:left="426" w:hanging="426"/>
      </w:pPr>
      <w:r w:rsidRPr="00262059">
        <w:rPr>
          <w:lang w:val="en-US"/>
        </w:rPr>
        <w:t>106.</w:t>
      </w:r>
      <w:r w:rsidRPr="00262059">
        <w:rPr>
          <w:lang w:val="en-US"/>
        </w:rPr>
        <w:tab/>
        <w:t xml:space="preserve">Naslavsky MS, Scliar MO, Yamamoto GL, Wang JYT, Zverinova S, Karp T, et al. Whole-genome sequencing of 1,171 elderly admixed individuals from Brazil. Nat Commun. </w:t>
      </w:r>
      <w:r w:rsidR="00B61381">
        <w:t>4 Mar.</w:t>
      </w:r>
      <w:r w:rsidRPr="00262059">
        <w:t xml:space="preserve"> 2022;13(1):1004. </w:t>
      </w:r>
    </w:p>
    <w:p w14:paraId="08109758" w14:textId="775C3E61" w:rsidR="00262059" w:rsidRPr="00262059" w:rsidRDefault="00262059" w:rsidP="00A917C2">
      <w:pPr>
        <w:widowControl w:val="0"/>
        <w:autoSpaceDE w:val="0"/>
        <w:autoSpaceDN w:val="0"/>
        <w:adjustRightInd w:val="0"/>
        <w:spacing w:before="120" w:after="120"/>
        <w:ind w:left="426" w:hanging="426"/>
      </w:pPr>
      <w:r w:rsidRPr="00262059">
        <w:t>107.</w:t>
      </w:r>
      <w:r w:rsidRPr="00262059">
        <w:tab/>
        <w:t>B</w:t>
      </w:r>
      <w:r w:rsidR="00A22143" w:rsidRPr="00262059">
        <w:t>rasil</w:t>
      </w:r>
      <w:r w:rsidR="00A22143">
        <w:t>-</w:t>
      </w:r>
      <w:r w:rsidRPr="00262059">
        <w:t xml:space="preserve">500 anos de povoamento.pdf. </w:t>
      </w:r>
    </w:p>
    <w:p w14:paraId="7F8AC183" w14:textId="104A6BAC" w:rsidR="00262059" w:rsidRPr="00262059" w:rsidRDefault="00262059" w:rsidP="00A917C2">
      <w:pPr>
        <w:widowControl w:val="0"/>
        <w:autoSpaceDE w:val="0"/>
        <w:autoSpaceDN w:val="0"/>
        <w:adjustRightInd w:val="0"/>
        <w:spacing w:before="120" w:after="120"/>
        <w:ind w:left="426" w:hanging="426"/>
        <w:rPr>
          <w:lang w:val="en-US"/>
        </w:rPr>
      </w:pPr>
      <w:r w:rsidRPr="00262059">
        <w:t>108.</w:t>
      </w:r>
      <w:r w:rsidRPr="00262059">
        <w:tab/>
        <w:t xml:space="preserve">Coppotelli G, Summers A, Chidakel A, Ross JM, Celi FS. </w:t>
      </w:r>
      <w:r w:rsidRPr="00262059">
        <w:rPr>
          <w:lang w:val="en-US"/>
        </w:rPr>
        <w:t xml:space="preserve">Functional characterization of the 258 A/G (D2-ORFa-Gly3Asp) human type-2 deiodinase polymorphism: a naturally </w:t>
      </w:r>
      <w:r w:rsidRPr="00262059">
        <w:rPr>
          <w:lang w:val="en-US"/>
        </w:rPr>
        <w:lastRenderedPageBreak/>
        <w:t xml:space="preserve">occurring variant increases the enzymatic activity by removing a putative repressor site in the 5’ UTR of the gene. Thyroid. </w:t>
      </w:r>
      <w:r w:rsidR="00B61381">
        <w:rPr>
          <w:lang w:val="en-US"/>
        </w:rPr>
        <w:t xml:space="preserve">Jul. </w:t>
      </w:r>
      <w:r w:rsidRPr="00262059">
        <w:rPr>
          <w:lang w:val="en-US"/>
        </w:rPr>
        <w:t xml:space="preserve">2006;16(7):625–32. </w:t>
      </w:r>
    </w:p>
    <w:p w14:paraId="092EC7CA" w14:textId="502CECB7"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109.</w:t>
      </w:r>
      <w:r w:rsidRPr="00262059">
        <w:rPr>
          <w:lang w:val="en-US"/>
        </w:rPr>
        <w:tab/>
        <w:t xml:space="preserve">Hoftijzer HC, Heemstra KA, Visser TJ, le Cessie S, Peeters RP, Corssmit EPM, et al. The Type 2 Deiodinase ORFa-Gly3Asp Polymorphism (rs12885300) Influences the Set Point of the Hypothalamus-Pituitary-Thyroid Axis in Patients Treated for Differentiated Thyroid Carcinoma. </w:t>
      </w:r>
      <w:r w:rsidRPr="00215564">
        <w:rPr>
          <w:lang w:val="en-US"/>
        </w:rPr>
        <w:t xml:space="preserve">The Journal of Clinical Endocrinology &amp; Metabolism. </w:t>
      </w:r>
      <w:r w:rsidR="00B61381" w:rsidRPr="00215564">
        <w:rPr>
          <w:lang w:val="en-US"/>
        </w:rPr>
        <w:t xml:space="preserve">1 Sep. </w:t>
      </w:r>
      <w:r w:rsidRPr="00215564">
        <w:rPr>
          <w:lang w:val="en-US"/>
        </w:rPr>
        <w:t xml:space="preserve">2011;96(9):E1527–33. </w:t>
      </w:r>
    </w:p>
    <w:p w14:paraId="62B333F9" w14:textId="668204CA"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110.</w:t>
      </w:r>
      <w:r w:rsidRPr="00262059">
        <w:rPr>
          <w:lang w:val="en-US"/>
        </w:rPr>
        <w:tab/>
        <w:t xml:space="preserve">Canani LH, Capp C, Dora JM, Meyer ELS, Wagner MS, Harney JW, et al. The Type 2 Deiodinase A/G (Thr92Ala) Polymorphism Is Associated with Decreased Enzyme Velocity and Increased Insulin Resistance in Patients with Type 2 Diabetes Mellitus. The Journal of Clinical Endocrinology &amp; Metabolism. </w:t>
      </w:r>
      <w:r w:rsidR="00B61381">
        <w:rPr>
          <w:lang w:val="en-US"/>
        </w:rPr>
        <w:t>Jun.</w:t>
      </w:r>
      <w:r w:rsidRPr="00262059">
        <w:rPr>
          <w:lang w:val="en-US"/>
        </w:rPr>
        <w:t xml:space="preserve">2005;90(6):3472–8. </w:t>
      </w:r>
    </w:p>
    <w:p w14:paraId="0FDDBC04" w14:textId="24FEB132"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111.</w:t>
      </w:r>
      <w:r w:rsidRPr="00262059">
        <w:rPr>
          <w:lang w:val="en-US"/>
        </w:rPr>
        <w:tab/>
        <w:t xml:space="preserve">Maino F, Cantara S, Forleo R, Pilli T, Castagna MG. Clinical significance of type 2 iodothyronine deiodinase polymorphism. Expert Rev Endocrinol Metab. </w:t>
      </w:r>
      <w:r w:rsidR="00B61381">
        <w:rPr>
          <w:lang w:val="en-US"/>
        </w:rPr>
        <w:t xml:space="preserve">Sep. </w:t>
      </w:r>
      <w:r w:rsidRPr="00262059">
        <w:rPr>
          <w:lang w:val="en-US"/>
        </w:rPr>
        <w:t xml:space="preserve">2018;13(5):273–7. </w:t>
      </w:r>
    </w:p>
    <w:p w14:paraId="48828FCA" w14:textId="16F3ADE5"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112.</w:t>
      </w:r>
      <w:r w:rsidRPr="00262059">
        <w:rPr>
          <w:lang w:val="en-US"/>
        </w:rPr>
        <w:tab/>
        <w:t xml:space="preserve">Peeters RP, van Toor H, Klootwijk W, de Rijke YB, Kuiper GGJM, Uitterlinden AG, et al. Polymorphisms in Thyroid Hormone Pathway Genes Are Associated with Plasma TSH and Iodothyronine Levels in Healthy Subjects. </w:t>
      </w:r>
      <w:r w:rsidRPr="00215564">
        <w:rPr>
          <w:lang w:val="en-US"/>
        </w:rPr>
        <w:t>The Journal of Clinical Endocrinology &amp; Metabolism. 1</w:t>
      </w:r>
      <w:r w:rsidR="00B61381" w:rsidRPr="00215564">
        <w:rPr>
          <w:lang w:val="en-US"/>
        </w:rPr>
        <w:t xml:space="preserve"> Jun</w:t>
      </w:r>
      <w:r w:rsidRPr="00215564">
        <w:rPr>
          <w:lang w:val="en-US"/>
        </w:rPr>
        <w:t xml:space="preserve"> 2003;88(6):2880–8. </w:t>
      </w:r>
    </w:p>
    <w:p w14:paraId="53D303E9" w14:textId="3AAEA75A" w:rsidR="00262059" w:rsidRPr="00262059" w:rsidRDefault="00262059" w:rsidP="00A917C2">
      <w:pPr>
        <w:widowControl w:val="0"/>
        <w:autoSpaceDE w:val="0"/>
        <w:autoSpaceDN w:val="0"/>
        <w:adjustRightInd w:val="0"/>
        <w:spacing w:before="120" w:after="120"/>
        <w:ind w:left="426" w:hanging="426"/>
        <w:rPr>
          <w:lang w:val="en-US"/>
        </w:rPr>
      </w:pPr>
      <w:r w:rsidRPr="00215564">
        <w:rPr>
          <w:lang w:val="en-US"/>
        </w:rPr>
        <w:t>113.</w:t>
      </w:r>
      <w:r w:rsidRPr="00215564">
        <w:rPr>
          <w:lang w:val="en-US"/>
        </w:rPr>
        <w:tab/>
        <w:t xml:space="preserve">Castagna MG, Dentice M, Cantara S, Ambrosio R, Maino F, Porcelli T, et al. </w:t>
      </w:r>
      <w:r w:rsidRPr="00262059">
        <w:rPr>
          <w:lang w:val="en-US"/>
        </w:rPr>
        <w:t xml:space="preserve">DIO2 Thr92Ala Reduces Deiodinase-2 Activity and Serum-T3 Levels in Thyroid-Deficient Patients. The Journal of Clinical Endocrinology &amp; Metabolism. </w:t>
      </w:r>
      <w:r w:rsidR="00B61381">
        <w:rPr>
          <w:lang w:val="en-US"/>
        </w:rPr>
        <w:t>1 May</w:t>
      </w:r>
      <w:r w:rsidRPr="00262059">
        <w:rPr>
          <w:lang w:val="en-US"/>
        </w:rPr>
        <w:t xml:space="preserve"> 2017;102(5):1623–30. </w:t>
      </w:r>
    </w:p>
    <w:p w14:paraId="6149DF14" w14:textId="5956F6BE"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114.</w:t>
      </w:r>
      <w:r w:rsidRPr="00262059">
        <w:rPr>
          <w:lang w:val="en-US"/>
        </w:rPr>
        <w:tab/>
        <w:t xml:space="preserve">Maia AL, Dupuis J, Manning A, Liu C, Meigs JB, Cupples LA, et al. The type 2 deiodinase (DIO2) A/G polymorphism is not associated with glycemic traits: the Framingham Heart Study. Thyroid. </w:t>
      </w:r>
      <w:r w:rsidR="00B61381">
        <w:rPr>
          <w:lang w:val="en-US"/>
        </w:rPr>
        <w:t>Mar.</w:t>
      </w:r>
      <w:r w:rsidRPr="00262059">
        <w:rPr>
          <w:lang w:val="en-US"/>
        </w:rPr>
        <w:t xml:space="preserve">2007;17(3):199–202. </w:t>
      </w:r>
    </w:p>
    <w:p w14:paraId="69FFEF82" w14:textId="7844C910"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115.</w:t>
      </w:r>
      <w:r w:rsidRPr="00262059">
        <w:rPr>
          <w:lang w:val="en-US"/>
        </w:rPr>
        <w:tab/>
        <w:t xml:space="preserve">Mentuccia D, Thomas MJ, Coppotelli G, Reinhart LJ, Mitchell BD, Shuldiner AR, et al. The Thr92Ala Deiodinase Type 2 (DIO2) Variant Is Not Associated with Type 2 Diabetes or Indices of Insulin Resistance in the Old Order of Amish. </w:t>
      </w:r>
      <w:r w:rsidRPr="00215564">
        <w:rPr>
          <w:lang w:val="en-US"/>
        </w:rPr>
        <w:t xml:space="preserve">Thyroid. </w:t>
      </w:r>
      <w:r w:rsidR="00B61381" w:rsidRPr="00215564">
        <w:rPr>
          <w:lang w:val="en-US"/>
        </w:rPr>
        <w:t>Nov.</w:t>
      </w:r>
      <w:r w:rsidRPr="00215564">
        <w:rPr>
          <w:lang w:val="en-US"/>
        </w:rPr>
        <w:t xml:space="preserve">2005;15(11):1223–7. </w:t>
      </w:r>
    </w:p>
    <w:p w14:paraId="1A9447FD" w14:textId="01E25630" w:rsidR="00262059" w:rsidRPr="00262059" w:rsidRDefault="00262059" w:rsidP="00A917C2">
      <w:pPr>
        <w:widowControl w:val="0"/>
        <w:autoSpaceDE w:val="0"/>
        <w:autoSpaceDN w:val="0"/>
        <w:adjustRightInd w:val="0"/>
        <w:spacing w:before="120" w:after="120"/>
        <w:ind w:left="426" w:hanging="426"/>
        <w:rPr>
          <w:lang w:val="en-US"/>
        </w:rPr>
      </w:pPr>
      <w:r w:rsidRPr="00215564">
        <w:rPr>
          <w:lang w:val="en-US"/>
        </w:rPr>
        <w:t>116.</w:t>
      </w:r>
      <w:r w:rsidRPr="00215564">
        <w:rPr>
          <w:lang w:val="en-US"/>
        </w:rPr>
        <w:tab/>
        <w:t xml:space="preserve">Porcu E, Medici M, Pistis G, Volpato CB, Wilson SG, Cappola AR, et al. </w:t>
      </w:r>
      <w:r w:rsidRPr="00262059">
        <w:rPr>
          <w:lang w:val="en-US"/>
        </w:rPr>
        <w:t xml:space="preserve">A Meta-Analysis of Thyroid-Related Traits Reveals Novel Loci and Gender-Specific Differences in the Regulation of Thyroid Function. PLOS Genetics. 7 </w:t>
      </w:r>
      <w:r w:rsidR="00B61381">
        <w:rPr>
          <w:lang w:val="en-US"/>
        </w:rPr>
        <w:t>Feb.</w:t>
      </w:r>
      <w:r w:rsidRPr="00262059">
        <w:rPr>
          <w:lang w:val="en-US"/>
        </w:rPr>
        <w:t xml:space="preserve">2013;9(2):e1003266. </w:t>
      </w:r>
    </w:p>
    <w:p w14:paraId="459A6EC1" w14:textId="77777777"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117.</w:t>
      </w:r>
      <w:r w:rsidRPr="00262059">
        <w:rPr>
          <w:lang w:val="en-US"/>
        </w:rPr>
        <w:tab/>
        <w:t xml:space="preserve">van der Deure WM, Peeters RP, Uitterlinden AG, Hofman A, Breteler MMB, Witteman J, et al. Impact of thyroid function and polymorphisms in the type 2 deiodinase on blood pressure: the Rotterdam Study and the Rotterdam Scan Study. Clin Endocrinol (Oxf). julho de 2009;71(1):137–44. </w:t>
      </w:r>
    </w:p>
    <w:p w14:paraId="5097C4A5" w14:textId="63112E27"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118.</w:t>
      </w:r>
      <w:r w:rsidRPr="00262059">
        <w:rPr>
          <w:lang w:val="en-US"/>
        </w:rPr>
        <w:tab/>
        <w:t xml:space="preserve">Meulenbelt I, Min JL, Bos S, Riyazi N, Houwing-Duistermaat JJ, van der Wijk HJ, et al. Identification of DIO2 as a new susceptibility locus for symptomatic osteoarthritis. Human Molecular Genetics. 15 </w:t>
      </w:r>
      <w:r w:rsidR="00B61381">
        <w:rPr>
          <w:lang w:val="en-US"/>
        </w:rPr>
        <w:t xml:space="preserve">Jun. </w:t>
      </w:r>
      <w:r w:rsidRPr="00262059">
        <w:rPr>
          <w:lang w:val="en-US"/>
        </w:rPr>
        <w:t xml:space="preserve">2008;17(12):1867–75. </w:t>
      </w:r>
    </w:p>
    <w:p w14:paraId="695FC24F" w14:textId="25246949" w:rsidR="00262059" w:rsidRPr="00262059" w:rsidRDefault="00262059" w:rsidP="00A917C2">
      <w:pPr>
        <w:widowControl w:val="0"/>
        <w:autoSpaceDE w:val="0"/>
        <w:autoSpaceDN w:val="0"/>
        <w:adjustRightInd w:val="0"/>
        <w:spacing w:before="120" w:after="120"/>
        <w:ind w:left="426" w:hanging="426"/>
      </w:pPr>
      <w:r w:rsidRPr="00262059">
        <w:rPr>
          <w:lang w:val="en-US"/>
        </w:rPr>
        <w:t>119.</w:t>
      </w:r>
      <w:r w:rsidRPr="00262059">
        <w:rPr>
          <w:lang w:val="en-US"/>
        </w:rPr>
        <w:tab/>
        <w:t xml:space="preserve">He B, Li J, Wang G, Ju W, Lu Y, Shi Y, et al. Association of genetic polymorphisms in the type II deiodinase gene with bipolar disorder in a subset of Chinese population. </w:t>
      </w:r>
      <w:r w:rsidRPr="00262059">
        <w:t xml:space="preserve">Prog Neuropsychopharmacol Biol Psychiatry. 31 </w:t>
      </w:r>
      <w:r w:rsidR="00B61381">
        <w:t>Aug.</w:t>
      </w:r>
      <w:r w:rsidRPr="00262059">
        <w:t xml:space="preserve"> 2009;33(6):986–90. </w:t>
      </w:r>
    </w:p>
    <w:p w14:paraId="19AE3EC6" w14:textId="508B94D5" w:rsidR="00262059" w:rsidRPr="00262059" w:rsidRDefault="00A22143" w:rsidP="00A917C2">
      <w:pPr>
        <w:widowControl w:val="0"/>
        <w:autoSpaceDE w:val="0"/>
        <w:autoSpaceDN w:val="0"/>
        <w:adjustRightInd w:val="0"/>
        <w:spacing w:before="120" w:after="120"/>
        <w:ind w:left="426" w:hanging="426"/>
        <w:rPr>
          <w:lang w:val="en-US"/>
        </w:rPr>
      </w:pPr>
      <w:r>
        <w:t>120.</w:t>
      </w:r>
      <w:r>
        <w:tab/>
      </w:r>
      <w:r w:rsidR="00262059" w:rsidRPr="00262059">
        <w:t xml:space="preserve">Lima Beltrão FE, de Almeida Beltrão DC, Carvalhal G, de Lima Beltrão FE, de Souza Braga Filho J, de Brito Oliveira J, et al. </w:t>
      </w:r>
      <w:r w:rsidR="00262059" w:rsidRPr="00262059">
        <w:rPr>
          <w:lang w:val="en-US"/>
        </w:rPr>
        <w:t xml:space="preserve">Heterozygote Advantage of the Type II Deiodinase Thr92Ala Polymorphism on Intrahospital Mortality of COVID-19. J Clin </w:t>
      </w:r>
      <w:r w:rsidR="00262059" w:rsidRPr="00262059">
        <w:rPr>
          <w:lang w:val="en-US"/>
        </w:rPr>
        <w:lastRenderedPageBreak/>
        <w:t xml:space="preserve">Endocrinol Metab. 9 </w:t>
      </w:r>
      <w:r w:rsidR="00B61381">
        <w:rPr>
          <w:lang w:val="en-US"/>
        </w:rPr>
        <w:t>Feb.</w:t>
      </w:r>
      <w:r w:rsidR="00262059" w:rsidRPr="00262059">
        <w:rPr>
          <w:lang w:val="en-US"/>
        </w:rPr>
        <w:t xml:space="preserve"> 2022;dgac075. </w:t>
      </w:r>
    </w:p>
    <w:p w14:paraId="4CAADEE3" w14:textId="00E7DB35" w:rsidR="00262059" w:rsidRPr="00262059" w:rsidRDefault="00262059" w:rsidP="00A917C2">
      <w:pPr>
        <w:widowControl w:val="0"/>
        <w:autoSpaceDE w:val="0"/>
        <w:autoSpaceDN w:val="0"/>
        <w:adjustRightInd w:val="0"/>
        <w:spacing w:before="120" w:after="120"/>
        <w:ind w:left="426" w:hanging="426"/>
        <w:rPr>
          <w:lang w:val="en-US"/>
        </w:rPr>
      </w:pPr>
      <w:r w:rsidRPr="00262059">
        <w:rPr>
          <w:lang w:val="en-US"/>
        </w:rPr>
        <w:t>121.</w:t>
      </w:r>
      <w:r w:rsidRPr="00262059">
        <w:rPr>
          <w:lang w:val="en-US"/>
        </w:rPr>
        <w:tab/>
        <w:t xml:space="preserve">Panicker V, Cluett C, Shields B, Murray A, Parnell KS, Perry JRB, et al. A common variation in deiodinase 1 gene DIO1 is associated with the relative levels of free thyroxine and triiodothyronine. J Clin Endocrinol Metab. </w:t>
      </w:r>
      <w:r w:rsidR="00B61381">
        <w:rPr>
          <w:lang w:val="en-US"/>
        </w:rPr>
        <w:t>Aug.</w:t>
      </w:r>
      <w:r w:rsidRPr="00262059">
        <w:rPr>
          <w:lang w:val="en-US"/>
        </w:rPr>
        <w:t xml:space="preserve"> 2008;93(8):3075–81. </w:t>
      </w:r>
    </w:p>
    <w:p w14:paraId="523583B4" w14:textId="494D2385" w:rsidR="00262059" w:rsidRPr="00215564" w:rsidRDefault="00262059" w:rsidP="00A917C2">
      <w:pPr>
        <w:widowControl w:val="0"/>
        <w:autoSpaceDE w:val="0"/>
        <w:autoSpaceDN w:val="0"/>
        <w:adjustRightInd w:val="0"/>
        <w:spacing w:before="120" w:after="120"/>
        <w:ind w:left="426" w:hanging="426"/>
        <w:rPr>
          <w:lang w:val="en-US"/>
        </w:rPr>
      </w:pPr>
      <w:r w:rsidRPr="00262059">
        <w:rPr>
          <w:lang w:val="en-US"/>
        </w:rPr>
        <w:t>122.</w:t>
      </w:r>
      <w:r w:rsidRPr="00262059">
        <w:rPr>
          <w:lang w:val="en-US"/>
        </w:rPr>
        <w:tab/>
        <w:t xml:space="preserve">Medici M, Deure WM van der, Verbiest M, Vermeulen SH, Hansen PS, Kiemeney LA, et al. A large-scale association analysis of 68 thyroid hormone pathway genes with serum TSH and FT4 levels. </w:t>
      </w:r>
      <w:r w:rsidRPr="00215564">
        <w:rPr>
          <w:lang w:val="en-US"/>
        </w:rPr>
        <w:t>European Journal of Endocrinology. 1</w:t>
      </w:r>
      <w:r w:rsidR="00B61381" w:rsidRPr="00215564">
        <w:rPr>
          <w:lang w:val="en-US"/>
        </w:rPr>
        <w:t xml:space="preserve"> May</w:t>
      </w:r>
      <w:r w:rsidRPr="00215564">
        <w:rPr>
          <w:lang w:val="en-US"/>
        </w:rPr>
        <w:t xml:space="preserve"> 2011;164(5):781–8. </w:t>
      </w:r>
    </w:p>
    <w:p w14:paraId="6A0A770A" w14:textId="2F588D51" w:rsidR="00262059" w:rsidRPr="00215564" w:rsidRDefault="00262059" w:rsidP="00A917C2">
      <w:pPr>
        <w:widowControl w:val="0"/>
        <w:autoSpaceDE w:val="0"/>
        <w:autoSpaceDN w:val="0"/>
        <w:adjustRightInd w:val="0"/>
        <w:spacing w:before="120" w:after="120"/>
        <w:ind w:left="426" w:hanging="426"/>
        <w:rPr>
          <w:lang w:val="en-US"/>
        </w:rPr>
      </w:pPr>
      <w:r w:rsidRPr="00215564">
        <w:rPr>
          <w:lang w:val="en-US"/>
        </w:rPr>
        <w:t>123.</w:t>
      </w:r>
      <w:r w:rsidRPr="00215564">
        <w:rPr>
          <w:lang w:val="en-US"/>
        </w:rPr>
        <w:tab/>
        <w:t xml:space="preserve">Porcu E, Medici M, Pistis G, Volpato CB, Wilson SG, Cappola AR, et al. </w:t>
      </w:r>
      <w:r w:rsidRPr="00262059">
        <w:rPr>
          <w:lang w:val="en-US"/>
        </w:rPr>
        <w:t xml:space="preserve">A Meta-Analysis of Thyroid-Related Traits Reveals Novel Loci and Gender-Specific Differences in the Regulation of Thyroid Function. </w:t>
      </w:r>
      <w:r w:rsidRPr="00215564">
        <w:rPr>
          <w:lang w:val="en-US"/>
        </w:rPr>
        <w:t xml:space="preserve">PLOS Genetics. 7 </w:t>
      </w:r>
      <w:r w:rsidR="00B61381" w:rsidRPr="00215564">
        <w:rPr>
          <w:lang w:val="en-US"/>
        </w:rPr>
        <w:t>Feb.</w:t>
      </w:r>
      <w:r w:rsidRPr="00215564">
        <w:rPr>
          <w:lang w:val="en-US"/>
        </w:rPr>
        <w:t xml:space="preserve"> 2013;9(2):e1003266. </w:t>
      </w:r>
    </w:p>
    <w:p w14:paraId="2E85B4FE" w14:textId="25190B3C" w:rsidR="00262059" w:rsidRDefault="00262059" w:rsidP="00A917C2">
      <w:pPr>
        <w:widowControl w:val="0"/>
        <w:autoSpaceDE w:val="0"/>
        <w:autoSpaceDN w:val="0"/>
        <w:adjustRightInd w:val="0"/>
        <w:spacing w:before="120" w:after="120"/>
        <w:ind w:left="426" w:hanging="426"/>
      </w:pPr>
      <w:r w:rsidRPr="00215564">
        <w:rPr>
          <w:lang w:val="en-US"/>
        </w:rPr>
        <w:t>124.</w:t>
      </w:r>
      <w:r w:rsidRPr="00215564">
        <w:rPr>
          <w:lang w:val="en-US"/>
        </w:rPr>
        <w:tab/>
        <w:t xml:space="preserve">Nielsen TRH, Appel EVR, Svendstrup M, Ohrt JD, Dahl M, Fonvig CE, et al. </w:t>
      </w:r>
      <w:r w:rsidRPr="00262059">
        <w:rPr>
          <w:lang w:val="en-US"/>
        </w:rPr>
        <w:t xml:space="preserve">A genome-wide association study of thyroid stimulating hormone and free thyroxine in Danish children and adolescents. </w:t>
      </w:r>
      <w:r w:rsidRPr="00262059">
        <w:t xml:space="preserve">PLoS One. 2017;12(3):e0174204. </w:t>
      </w:r>
    </w:p>
    <w:p w14:paraId="4CD0D044" w14:textId="48590911" w:rsidR="00B53006" w:rsidRPr="00262059" w:rsidRDefault="00B53006" w:rsidP="00A917C2">
      <w:pPr>
        <w:widowControl w:val="0"/>
        <w:autoSpaceDE w:val="0"/>
        <w:autoSpaceDN w:val="0"/>
        <w:adjustRightInd w:val="0"/>
        <w:spacing w:before="120" w:after="120"/>
        <w:ind w:left="426" w:hanging="426"/>
      </w:pPr>
      <w:r>
        <w:t>125. Vilar, Lucio</w:t>
      </w:r>
    </w:p>
    <w:p w14:paraId="71E273CE" w14:textId="778B9B18" w:rsidR="00FE2BCF" w:rsidRPr="00421A62" w:rsidRDefault="00FE2BCF" w:rsidP="00A917C2">
      <w:pPr>
        <w:ind w:left="426" w:hanging="426"/>
        <w:jc w:val="both"/>
        <w:rPr>
          <w:lang w:eastAsia="en-US"/>
        </w:rPr>
      </w:pPr>
      <w:r w:rsidRPr="001B4588">
        <w:rPr>
          <w:lang w:val="en-US" w:eastAsia="en-US"/>
        </w:rPr>
        <w:fldChar w:fldCharType="end"/>
      </w:r>
    </w:p>
    <w:p w14:paraId="55E6D02F" w14:textId="12CD86F9" w:rsidR="00FE2BCF" w:rsidRPr="00421A62" w:rsidRDefault="00FE2BCF" w:rsidP="00AC68C9">
      <w:pPr>
        <w:jc w:val="both"/>
        <w:rPr>
          <w:lang w:eastAsia="en-US"/>
        </w:rPr>
      </w:pPr>
    </w:p>
    <w:p w14:paraId="71BFC782" w14:textId="6555CA40" w:rsidR="00FE2BCF" w:rsidRPr="00421A62" w:rsidRDefault="00FE2BCF" w:rsidP="00AC68C9">
      <w:pPr>
        <w:jc w:val="both"/>
        <w:rPr>
          <w:lang w:eastAsia="en-US"/>
        </w:rPr>
      </w:pPr>
    </w:p>
    <w:p w14:paraId="273CD530" w14:textId="77777777" w:rsidR="00FE2BCF" w:rsidRPr="00421A62" w:rsidRDefault="00FE2BCF" w:rsidP="00AC68C9">
      <w:pPr>
        <w:jc w:val="both"/>
        <w:rPr>
          <w:lang w:eastAsia="en-US"/>
        </w:rPr>
      </w:pPr>
    </w:p>
    <w:p w14:paraId="6C2C61C3" w14:textId="7DAF6076" w:rsidR="001C17F9" w:rsidRPr="00421A62" w:rsidRDefault="001C17F9" w:rsidP="00AC68C9">
      <w:pPr>
        <w:jc w:val="both"/>
        <w:rPr>
          <w:lang w:eastAsia="en-US"/>
        </w:rPr>
      </w:pPr>
    </w:p>
    <w:p w14:paraId="4C147AFD" w14:textId="77777777" w:rsidR="001C17F9" w:rsidRPr="00421A62" w:rsidRDefault="001C17F9" w:rsidP="00AC68C9">
      <w:pPr>
        <w:jc w:val="both"/>
        <w:rPr>
          <w:lang w:eastAsia="en-US"/>
        </w:rPr>
      </w:pPr>
    </w:p>
    <w:p w14:paraId="046AFEA8" w14:textId="17B82F0D" w:rsidR="001C17F9" w:rsidRPr="00421A62" w:rsidRDefault="001C17F9" w:rsidP="00AC68C9">
      <w:pPr>
        <w:jc w:val="both"/>
        <w:rPr>
          <w:lang w:eastAsia="en-US"/>
        </w:rPr>
      </w:pPr>
    </w:p>
    <w:p w14:paraId="0FF1CC29" w14:textId="77777777" w:rsidR="001C17F9" w:rsidRPr="00421A62" w:rsidRDefault="001C17F9" w:rsidP="00AC68C9">
      <w:pPr>
        <w:jc w:val="both"/>
        <w:rPr>
          <w:lang w:eastAsia="en-US"/>
        </w:rPr>
      </w:pPr>
    </w:p>
    <w:p w14:paraId="11825B5B" w14:textId="50F765D5" w:rsidR="001C17F9" w:rsidRPr="00421A62" w:rsidRDefault="001C17F9" w:rsidP="00AC68C9">
      <w:pPr>
        <w:jc w:val="both"/>
        <w:rPr>
          <w:lang w:eastAsia="en-US"/>
        </w:rPr>
      </w:pPr>
    </w:p>
    <w:p w14:paraId="3E0A89ED" w14:textId="77777777" w:rsidR="001C17F9" w:rsidRPr="00421A62" w:rsidRDefault="001C17F9" w:rsidP="00AC68C9">
      <w:pPr>
        <w:jc w:val="both"/>
        <w:rPr>
          <w:lang w:eastAsia="en-US"/>
        </w:rPr>
      </w:pPr>
    </w:p>
    <w:p w14:paraId="7678B97A" w14:textId="107063C0" w:rsidR="00EA3192" w:rsidRPr="00421A62" w:rsidRDefault="00EA3192" w:rsidP="00AC68C9">
      <w:pPr>
        <w:jc w:val="both"/>
        <w:rPr>
          <w:lang w:eastAsia="en-US"/>
        </w:rPr>
      </w:pPr>
    </w:p>
    <w:p w14:paraId="42AF7BEA" w14:textId="509E467F" w:rsidR="00EA3192" w:rsidRPr="00421A62" w:rsidRDefault="00F05EB3" w:rsidP="00AC68C9">
      <w:pPr>
        <w:jc w:val="both"/>
        <w:rPr>
          <w:lang w:eastAsia="en-US"/>
        </w:rPr>
      </w:pPr>
      <w:r w:rsidRPr="00421A62">
        <w:t xml:space="preserve"> </w:t>
      </w:r>
    </w:p>
    <w:p w14:paraId="3C0A33B5" w14:textId="6E6E883C" w:rsidR="008D5BF9" w:rsidRPr="00421A62" w:rsidRDefault="008D5BF9" w:rsidP="00AC68C9">
      <w:pPr>
        <w:jc w:val="both"/>
        <w:rPr>
          <w:lang w:eastAsia="en-US"/>
        </w:rPr>
      </w:pPr>
    </w:p>
    <w:p w14:paraId="216D4BB4" w14:textId="164C1DDE" w:rsidR="008D5BF9" w:rsidRPr="00421A62" w:rsidRDefault="00DE42CD" w:rsidP="00AC68C9">
      <w:pPr>
        <w:jc w:val="both"/>
        <w:rPr>
          <w:lang w:eastAsia="en-US"/>
        </w:rPr>
      </w:pPr>
      <w:r w:rsidRPr="00421A62">
        <w:t xml:space="preserve"> </w:t>
      </w:r>
    </w:p>
    <w:p w14:paraId="5DF379CD" w14:textId="6094A1AF" w:rsidR="00F95CE4" w:rsidRPr="00421A62" w:rsidRDefault="00F95CE4" w:rsidP="00AC68C9">
      <w:pPr>
        <w:jc w:val="both"/>
        <w:rPr>
          <w:lang w:eastAsia="en-US"/>
        </w:rPr>
      </w:pPr>
    </w:p>
    <w:p w14:paraId="410BAC36" w14:textId="77DA7432" w:rsidR="00F95CE4" w:rsidRPr="00421A62" w:rsidRDefault="00F95CE4" w:rsidP="00AC68C9">
      <w:pPr>
        <w:jc w:val="both"/>
        <w:rPr>
          <w:lang w:eastAsia="en-US"/>
        </w:rPr>
      </w:pPr>
    </w:p>
    <w:p w14:paraId="12A8A78A" w14:textId="4A56CC1A" w:rsidR="00F95CE4" w:rsidRPr="00421A62" w:rsidRDefault="00D87470" w:rsidP="00AC68C9">
      <w:pPr>
        <w:jc w:val="both"/>
        <w:rPr>
          <w:lang w:eastAsia="en-US"/>
        </w:rPr>
      </w:pPr>
      <w:r w:rsidRPr="00421A62">
        <w:t xml:space="preserve"> </w:t>
      </w:r>
    </w:p>
    <w:p w14:paraId="5D314BB8" w14:textId="4732B520" w:rsidR="00E4753A" w:rsidRPr="00421A62" w:rsidRDefault="00E4753A" w:rsidP="00AC68C9">
      <w:pPr>
        <w:jc w:val="both"/>
        <w:rPr>
          <w:lang w:eastAsia="en-US"/>
        </w:rPr>
      </w:pPr>
    </w:p>
    <w:p w14:paraId="7F5B59F3" w14:textId="3957A204" w:rsidR="00E4753A" w:rsidRPr="00421A62" w:rsidRDefault="00C954AE" w:rsidP="00AC68C9">
      <w:pPr>
        <w:jc w:val="both"/>
      </w:pPr>
      <w:r w:rsidRPr="00421A62">
        <w:t xml:space="preserve"> </w:t>
      </w:r>
    </w:p>
    <w:p w14:paraId="71EF3C35" w14:textId="01E5A569" w:rsidR="00773F67" w:rsidRDefault="00773F67" w:rsidP="00AC68C9">
      <w:pPr>
        <w:jc w:val="both"/>
      </w:pPr>
    </w:p>
    <w:p w14:paraId="077A70C1" w14:textId="77777777" w:rsidR="00215564" w:rsidRDefault="00215564" w:rsidP="00AC68C9">
      <w:pPr>
        <w:jc w:val="both"/>
      </w:pPr>
    </w:p>
    <w:p w14:paraId="7F445864" w14:textId="77777777" w:rsidR="00215564" w:rsidRDefault="00215564" w:rsidP="00AC68C9">
      <w:pPr>
        <w:jc w:val="both"/>
      </w:pPr>
    </w:p>
    <w:p w14:paraId="7BFFE654" w14:textId="77777777" w:rsidR="00215564" w:rsidRDefault="00215564" w:rsidP="00AC68C9">
      <w:pPr>
        <w:jc w:val="both"/>
      </w:pPr>
    </w:p>
    <w:p w14:paraId="23341FA0" w14:textId="77777777" w:rsidR="00215564" w:rsidRDefault="00215564" w:rsidP="00AC68C9">
      <w:pPr>
        <w:jc w:val="both"/>
      </w:pPr>
    </w:p>
    <w:p w14:paraId="21AE0163" w14:textId="77777777" w:rsidR="00215564" w:rsidRDefault="00215564" w:rsidP="00AC68C9">
      <w:pPr>
        <w:jc w:val="both"/>
      </w:pPr>
    </w:p>
    <w:p w14:paraId="2B77F8A6" w14:textId="77777777" w:rsidR="00215564" w:rsidRDefault="00215564" w:rsidP="00AC68C9">
      <w:pPr>
        <w:jc w:val="both"/>
      </w:pPr>
    </w:p>
    <w:p w14:paraId="348ACF4C" w14:textId="77777777" w:rsidR="00215564" w:rsidRDefault="00215564" w:rsidP="00AC68C9">
      <w:pPr>
        <w:jc w:val="both"/>
      </w:pPr>
    </w:p>
    <w:p w14:paraId="4C3F6C07" w14:textId="77777777" w:rsidR="00215564" w:rsidRDefault="00215564" w:rsidP="00AC68C9">
      <w:pPr>
        <w:jc w:val="both"/>
      </w:pPr>
    </w:p>
    <w:p w14:paraId="38202515" w14:textId="77777777" w:rsidR="00215564" w:rsidRDefault="00215564" w:rsidP="00AC68C9">
      <w:pPr>
        <w:jc w:val="both"/>
      </w:pPr>
    </w:p>
    <w:p w14:paraId="443B569E" w14:textId="77777777" w:rsidR="00215564" w:rsidRDefault="00215564" w:rsidP="00AC68C9">
      <w:pPr>
        <w:jc w:val="both"/>
      </w:pPr>
    </w:p>
    <w:p w14:paraId="3376C9E2" w14:textId="77777777" w:rsidR="00215564" w:rsidRDefault="00215564" w:rsidP="00AC68C9">
      <w:pPr>
        <w:jc w:val="both"/>
      </w:pPr>
    </w:p>
    <w:p w14:paraId="6F2BBED0" w14:textId="77777777" w:rsidR="00215564" w:rsidRDefault="00215564" w:rsidP="00AC68C9">
      <w:pPr>
        <w:jc w:val="both"/>
      </w:pPr>
    </w:p>
    <w:p w14:paraId="7C4417FC" w14:textId="77777777" w:rsidR="00215564" w:rsidRDefault="00215564" w:rsidP="00AC68C9">
      <w:pPr>
        <w:jc w:val="both"/>
      </w:pPr>
    </w:p>
    <w:p w14:paraId="25AAC5F3" w14:textId="77777777" w:rsidR="00D959CE" w:rsidRDefault="00D959CE" w:rsidP="00AC68C9">
      <w:pPr>
        <w:jc w:val="both"/>
      </w:pPr>
    </w:p>
    <w:p w14:paraId="3B4BB766" w14:textId="77777777" w:rsidR="00A22143" w:rsidRPr="00215564" w:rsidRDefault="00A22143" w:rsidP="00A22143">
      <w:pPr>
        <w:pStyle w:val="Ttulo1"/>
        <w:numPr>
          <w:ilvl w:val="0"/>
          <w:numId w:val="0"/>
        </w:numPr>
        <w:spacing w:before="30" w:line="360" w:lineRule="auto"/>
        <w:jc w:val="both"/>
        <w:rPr>
          <w:rFonts w:ascii="Times New Roman" w:hAnsi="Times New Roman"/>
          <w:sz w:val="24"/>
          <w:szCs w:val="24"/>
          <w:lang w:val="pt-BR"/>
        </w:rPr>
      </w:pPr>
      <w:r w:rsidRPr="00215564">
        <w:rPr>
          <w:rFonts w:ascii="Times New Roman" w:hAnsi="Times New Roman"/>
          <w:sz w:val="24"/>
          <w:szCs w:val="24"/>
          <w:lang w:val="pt-BR"/>
        </w:rPr>
        <w:lastRenderedPageBreak/>
        <w:t xml:space="preserve">APÊNDICE – </w:t>
      </w:r>
      <w:r w:rsidRPr="00215564">
        <w:rPr>
          <w:rFonts w:ascii="Times New Roman" w:hAnsi="Times New Roman"/>
          <w:b w:val="0"/>
          <w:sz w:val="24"/>
          <w:szCs w:val="24"/>
          <w:lang w:val="pt-BR"/>
        </w:rPr>
        <w:t>Mini Avaliação Nutricional</w:t>
      </w:r>
    </w:p>
    <w:p w14:paraId="62C79FEA" w14:textId="77777777" w:rsidR="00A22143" w:rsidRDefault="00A22143" w:rsidP="00A22143">
      <w:pPr>
        <w:pStyle w:val="Ttulo1"/>
        <w:numPr>
          <w:ilvl w:val="0"/>
          <w:numId w:val="0"/>
        </w:numPr>
        <w:spacing w:before="30" w:line="360" w:lineRule="auto"/>
        <w:jc w:val="both"/>
        <w:rPr>
          <w:rFonts w:ascii="Times New Roman" w:hAnsi="Times New Roman"/>
          <w:sz w:val="24"/>
          <w:szCs w:val="24"/>
          <w:lang w:val="pt-BR"/>
        </w:rPr>
      </w:pPr>
    </w:p>
    <w:p w14:paraId="1F4EC860" w14:textId="77777777" w:rsidR="00A22143" w:rsidRPr="00F4403B" w:rsidRDefault="00A22143" w:rsidP="00A22143">
      <w:pPr>
        <w:pStyle w:val="Ttulo1"/>
        <w:numPr>
          <w:ilvl w:val="0"/>
          <w:numId w:val="0"/>
        </w:numPr>
        <w:spacing w:before="30" w:line="360" w:lineRule="auto"/>
        <w:jc w:val="center"/>
        <w:rPr>
          <w:rFonts w:ascii="Times New Roman" w:hAnsi="Times New Roman"/>
          <w:sz w:val="24"/>
          <w:szCs w:val="24"/>
          <w:lang w:val="pt-BR"/>
        </w:rPr>
      </w:pPr>
      <w:r w:rsidRPr="00421A62">
        <w:rPr>
          <w:rFonts w:ascii="Times New Roman" w:hAnsi="Times New Roman"/>
          <w:sz w:val="24"/>
          <w:szCs w:val="24"/>
          <w:lang w:val="pt-BR"/>
        </w:rPr>
        <w:t>MINI AVALIAÇÃO NUTRICIONAL (MNA)</w:t>
      </w:r>
    </w:p>
    <w:p w14:paraId="2C69C1B9" w14:textId="77777777" w:rsidR="00A22143" w:rsidRPr="00421A62" w:rsidRDefault="00A22143" w:rsidP="00A22143">
      <w:pPr>
        <w:rPr>
          <w:lang w:eastAsia="en-US"/>
        </w:rPr>
      </w:pPr>
    </w:p>
    <w:p w14:paraId="7039AE8B" w14:textId="77777777" w:rsidR="00A22143" w:rsidRPr="00C7380F" w:rsidRDefault="00A22143" w:rsidP="00A37AE3">
      <w:pPr>
        <w:autoSpaceDE w:val="0"/>
        <w:autoSpaceDN w:val="0"/>
        <w:adjustRightInd w:val="0"/>
        <w:spacing w:line="360" w:lineRule="auto"/>
        <w:ind w:firstLine="708"/>
        <w:jc w:val="both"/>
        <w:rPr>
          <w:bCs/>
          <w:color w:val="000000"/>
        </w:rPr>
      </w:pPr>
      <w:r w:rsidRPr="00C7380F">
        <w:rPr>
          <w:bCs/>
          <w:color w:val="000000"/>
        </w:rPr>
        <w:t>Preencher a primeira parte deste questionário, indicando a resposta. Somar os pontos da triagem. Caso o escore seja igual ou inferior a 11, concluir o questionário para obter a avaliação do estado nutricional.</w:t>
      </w:r>
    </w:p>
    <w:p w14:paraId="6FEA109D" w14:textId="77777777" w:rsidR="00A22143" w:rsidRPr="00C7380F" w:rsidRDefault="00A22143" w:rsidP="00A22143">
      <w:pPr>
        <w:autoSpaceDE w:val="0"/>
        <w:autoSpaceDN w:val="0"/>
        <w:adjustRightInd w:val="0"/>
        <w:spacing w:line="360" w:lineRule="auto"/>
        <w:jc w:val="both"/>
        <w:rPr>
          <w:bCs/>
          <w:color w:val="000000"/>
        </w:rPr>
      </w:pPr>
    </w:p>
    <w:p w14:paraId="018C5CA3" w14:textId="77777777" w:rsidR="00A22143" w:rsidRPr="00C7380F" w:rsidRDefault="00A22143" w:rsidP="00A22143">
      <w:pPr>
        <w:autoSpaceDE w:val="0"/>
        <w:autoSpaceDN w:val="0"/>
        <w:adjustRightInd w:val="0"/>
        <w:jc w:val="both"/>
        <w:rPr>
          <w:b/>
          <w:bCs/>
          <w:color w:val="000000"/>
        </w:rPr>
      </w:pPr>
      <w:r w:rsidRPr="00C7380F">
        <w:rPr>
          <w:b/>
          <w:bCs/>
          <w:color w:val="000000"/>
        </w:rPr>
        <w:t>Triagem</w:t>
      </w:r>
    </w:p>
    <w:p w14:paraId="00CA879A" w14:textId="77777777" w:rsidR="00A22143" w:rsidRPr="00C7380F" w:rsidRDefault="00A22143" w:rsidP="00A22143">
      <w:pPr>
        <w:autoSpaceDE w:val="0"/>
        <w:autoSpaceDN w:val="0"/>
        <w:adjustRightInd w:val="0"/>
        <w:jc w:val="both"/>
        <w:rPr>
          <w:b/>
          <w:bCs/>
          <w:color w:val="000000"/>
        </w:rPr>
      </w:pPr>
    </w:p>
    <w:p w14:paraId="74C0BCC4" w14:textId="77777777" w:rsidR="00A22143" w:rsidRPr="00C7380F" w:rsidRDefault="00A22143" w:rsidP="00A22143">
      <w:pPr>
        <w:autoSpaceDE w:val="0"/>
        <w:autoSpaceDN w:val="0"/>
        <w:adjustRightInd w:val="0"/>
        <w:jc w:val="both"/>
        <w:rPr>
          <w:b/>
          <w:bCs/>
          <w:color w:val="000000"/>
        </w:rPr>
      </w:pPr>
      <w:r w:rsidRPr="00C7380F">
        <w:rPr>
          <w:b/>
          <w:bCs/>
          <w:color w:val="000000"/>
        </w:rPr>
        <w:t>A) Nos últimos meses houve diminuição da ingesta alimentar devido à perda de apetite, problemas digestivos ou dificuldade para mastigar ou deglutir?</w:t>
      </w:r>
    </w:p>
    <w:p w14:paraId="21169BC8" w14:textId="77777777" w:rsidR="00A22143" w:rsidRPr="00C7380F" w:rsidRDefault="00A22143" w:rsidP="00A22143">
      <w:pPr>
        <w:autoSpaceDE w:val="0"/>
        <w:autoSpaceDN w:val="0"/>
        <w:adjustRightInd w:val="0"/>
        <w:jc w:val="both"/>
        <w:rPr>
          <w:bCs/>
          <w:color w:val="000000"/>
        </w:rPr>
      </w:pPr>
    </w:p>
    <w:p w14:paraId="7B631A73" w14:textId="77777777" w:rsidR="00A22143" w:rsidRPr="00C7380F" w:rsidRDefault="00A22143" w:rsidP="00A22143">
      <w:pPr>
        <w:autoSpaceDE w:val="0"/>
        <w:autoSpaceDN w:val="0"/>
        <w:adjustRightInd w:val="0"/>
        <w:jc w:val="both"/>
        <w:rPr>
          <w:bCs/>
          <w:color w:val="000000"/>
        </w:rPr>
      </w:pPr>
      <w:r w:rsidRPr="00C7380F">
        <w:rPr>
          <w:bCs/>
          <w:color w:val="000000"/>
        </w:rPr>
        <w:t xml:space="preserve">0 – </w:t>
      </w:r>
      <w:proofErr w:type="gramStart"/>
      <w:r w:rsidRPr="00C7380F">
        <w:rPr>
          <w:bCs/>
          <w:color w:val="000000"/>
        </w:rPr>
        <w:t>diminuição</w:t>
      </w:r>
      <w:proofErr w:type="gramEnd"/>
      <w:r w:rsidRPr="00C7380F">
        <w:rPr>
          <w:bCs/>
          <w:color w:val="000000"/>
        </w:rPr>
        <w:t xml:space="preserve"> severa da ingesta</w:t>
      </w:r>
    </w:p>
    <w:p w14:paraId="23FAA2F8" w14:textId="77777777" w:rsidR="00A22143" w:rsidRPr="00C7380F" w:rsidRDefault="00A22143" w:rsidP="00A22143">
      <w:pPr>
        <w:autoSpaceDE w:val="0"/>
        <w:autoSpaceDN w:val="0"/>
        <w:adjustRightInd w:val="0"/>
        <w:jc w:val="both"/>
        <w:rPr>
          <w:bCs/>
          <w:color w:val="000000"/>
        </w:rPr>
      </w:pPr>
      <w:r w:rsidRPr="00C7380F">
        <w:rPr>
          <w:bCs/>
          <w:color w:val="000000"/>
        </w:rPr>
        <w:t xml:space="preserve">1 – </w:t>
      </w:r>
      <w:proofErr w:type="gramStart"/>
      <w:r w:rsidRPr="00C7380F">
        <w:rPr>
          <w:bCs/>
          <w:color w:val="000000"/>
        </w:rPr>
        <w:t>diminuição</w:t>
      </w:r>
      <w:proofErr w:type="gramEnd"/>
      <w:r w:rsidRPr="00C7380F">
        <w:rPr>
          <w:bCs/>
          <w:color w:val="000000"/>
        </w:rPr>
        <w:t xml:space="preserve"> moderada da ingesta</w:t>
      </w:r>
    </w:p>
    <w:p w14:paraId="614ABADD" w14:textId="77777777" w:rsidR="00A22143" w:rsidRPr="00C7380F" w:rsidRDefault="00A22143" w:rsidP="00A22143">
      <w:pPr>
        <w:autoSpaceDE w:val="0"/>
        <w:autoSpaceDN w:val="0"/>
        <w:adjustRightInd w:val="0"/>
        <w:jc w:val="both"/>
        <w:rPr>
          <w:bCs/>
          <w:color w:val="000000"/>
        </w:rPr>
      </w:pPr>
      <w:r w:rsidRPr="00C7380F">
        <w:rPr>
          <w:bCs/>
          <w:color w:val="000000"/>
        </w:rPr>
        <w:t xml:space="preserve">2 – </w:t>
      </w:r>
      <w:proofErr w:type="gramStart"/>
      <w:r w:rsidRPr="00C7380F">
        <w:rPr>
          <w:bCs/>
          <w:color w:val="000000"/>
        </w:rPr>
        <w:t>sem</w:t>
      </w:r>
      <w:proofErr w:type="gramEnd"/>
      <w:r w:rsidRPr="00C7380F">
        <w:rPr>
          <w:bCs/>
          <w:color w:val="000000"/>
        </w:rPr>
        <w:t xml:space="preserve"> diminuição da ingesta</w:t>
      </w:r>
    </w:p>
    <w:p w14:paraId="0AEFA806" w14:textId="77777777" w:rsidR="00A22143" w:rsidRPr="00C7380F" w:rsidRDefault="00A22143" w:rsidP="00A22143">
      <w:pPr>
        <w:autoSpaceDE w:val="0"/>
        <w:autoSpaceDN w:val="0"/>
        <w:adjustRightInd w:val="0"/>
        <w:jc w:val="both"/>
        <w:rPr>
          <w:b/>
          <w:bCs/>
          <w:color w:val="000000"/>
        </w:rPr>
      </w:pPr>
    </w:p>
    <w:p w14:paraId="270DABB3" w14:textId="77777777" w:rsidR="00A22143" w:rsidRPr="00C7380F" w:rsidRDefault="00A22143" w:rsidP="00A22143">
      <w:pPr>
        <w:autoSpaceDE w:val="0"/>
        <w:autoSpaceDN w:val="0"/>
        <w:adjustRightInd w:val="0"/>
        <w:jc w:val="both"/>
        <w:rPr>
          <w:b/>
          <w:bCs/>
          <w:color w:val="000000"/>
        </w:rPr>
      </w:pPr>
      <w:r w:rsidRPr="00C7380F">
        <w:rPr>
          <w:b/>
          <w:bCs/>
          <w:color w:val="000000"/>
        </w:rPr>
        <w:t>B) Perda de peso nos últimos meses</w:t>
      </w:r>
    </w:p>
    <w:p w14:paraId="5280AA5F" w14:textId="77777777" w:rsidR="00A22143" w:rsidRPr="00C7380F" w:rsidRDefault="00A22143" w:rsidP="00A22143">
      <w:pPr>
        <w:autoSpaceDE w:val="0"/>
        <w:autoSpaceDN w:val="0"/>
        <w:adjustRightInd w:val="0"/>
        <w:jc w:val="both"/>
        <w:rPr>
          <w:b/>
          <w:bCs/>
          <w:color w:val="000000"/>
        </w:rPr>
      </w:pPr>
    </w:p>
    <w:p w14:paraId="2D14EF21" w14:textId="77777777" w:rsidR="00A22143" w:rsidRPr="00C7380F" w:rsidRDefault="00A22143" w:rsidP="00A22143">
      <w:pPr>
        <w:autoSpaceDE w:val="0"/>
        <w:autoSpaceDN w:val="0"/>
        <w:adjustRightInd w:val="0"/>
        <w:jc w:val="both"/>
        <w:rPr>
          <w:bCs/>
          <w:color w:val="000000"/>
        </w:rPr>
      </w:pPr>
      <w:r w:rsidRPr="00C7380F">
        <w:rPr>
          <w:bCs/>
          <w:color w:val="000000"/>
        </w:rPr>
        <w:t xml:space="preserve">0 – </w:t>
      </w:r>
      <w:proofErr w:type="gramStart"/>
      <w:r w:rsidRPr="00C7380F">
        <w:rPr>
          <w:bCs/>
          <w:color w:val="000000"/>
        </w:rPr>
        <w:t>superior</w:t>
      </w:r>
      <w:proofErr w:type="gramEnd"/>
      <w:r w:rsidRPr="00C7380F">
        <w:rPr>
          <w:bCs/>
          <w:color w:val="000000"/>
        </w:rPr>
        <w:t xml:space="preserve"> a 3 kg</w:t>
      </w:r>
    </w:p>
    <w:p w14:paraId="17269F0E" w14:textId="77777777" w:rsidR="00A22143" w:rsidRPr="00C7380F" w:rsidRDefault="00A22143" w:rsidP="00A22143">
      <w:pPr>
        <w:autoSpaceDE w:val="0"/>
        <w:autoSpaceDN w:val="0"/>
        <w:adjustRightInd w:val="0"/>
        <w:jc w:val="both"/>
        <w:rPr>
          <w:bCs/>
          <w:color w:val="000000"/>
        </w:rPr>
      </w:pPr>
      <w:r w:rsidRPr="00C7380F">
        <w:rPr>
          <w:bCs/>
          <w:color w:val="000000"/>
        </w:rPr>
        <w:t xml:space="preserve">1 – </w:t>
      </w:r>
      <w:proofErr w:type="gramStart"/>
      <w:r w:rsidRPr="00C7380F">
        <w:rPr>
          <w:bCs/>
          <w:color w:val="000000"/>
        </w:rPr>
        <w:t>não</w:t>
      </w:r>
      <w:proofErr w:type="gramEnd"/>
      <w:r w:rsidRPr="00C7380F">
        <w:rPr>
          <w:bCs/>
          <w:color w:val="000000"/>
        </w:rPr>
        <w:t xml:space="preserve"> sabe informar</w:t>
      </w:r>
    </w:p>
    <w:p w14:paraId="3FB09C4D" w14:textId="77777777" w:rsidR="00A22143" w:rsidRPr="00C7380F" w:rsidRDefault="00A22143" w:rsidP="00A22143">
      <w:pPr>
        <w:autoSpaceDE w:val="0"/>
        <w:autoSpaceDN w:val="0"/>
        <w:adjustRightInd w:val="0"/>
        <w:jc w:val="both"/>
        <w:rPr>
          <w:bCs/>
          <w:color w:val="000000"/>
        </w:rPr>
      </w:pPr>
      <w:r w:rsidRPr="00C7380F">
        <w:rPr>
          <w:bCs/>
          <w:color w:val="000000"/>
        </w:rPr>
        <w:t xml:space="preserve">2 – </w:t>
      </w:r>
      <w:proofErr w:type="gramStart"/>
      <w:r w:rsidRPr="00C7380F">
        <w:rPr>
          <w:bCs/>
          <w:color w:val="000000"/>
        </w:rPr>
        <w:t>entre</w:t>
      </w:r>
      <w:proofErr w:type="gramEnd"/>
      <w:r w:rsidRPr="00C7380F">
        <w:rPr>
          <w:bCs/>
          <w:color w:val="000000"/>
        </w:rPr>
        <w:t xml:space="preserve"> 1 e 3 kg</w:t>
      </w:r>
    </w:p>
    <w:p w14:paraId="756902FF" w14:textId="77777777" w:rsidR="00A22143" w:rsidRPr="00C7380F" w:rsidRDefault="00A22143" w:rsidP="00A22143">
      <w:pPr>
        <w:autoSpaceDE w:val="0"/>
        <w:autoSpaceDN w:val="0"/>
        <w:adjustRightInd w:val="0"/>
        <w:jc w:val="both"/>
        <w:rPr>
          <w:bCs/>
          <w:color w:val="000000"/>
        </w:rPr>
      </w:pPr>
      <w:r w:rsidRPr="00C7380F">
        <w:rPr>
          <w:bCs/>
          <w:color w:val="000000"/>
        </w:rPr>
        <w:t xml:space="preserve">3 – </w:t>
      </w:r>
      <w:proofErr w:type="gramStart"/>
      <w:r w:rsidRPr="00C7380F">
        <w:rPr>
          <w:bCs/>
          <w:color w:val="000000"/>
        </w:rPr>
        <w:t>sem</w:t>
      </w:r>
      <w:proofErr w:type="gramEnd"/>
      <w:r w:rsidRPr="00C7380F">
        <w:rPr>
          <w:bCs/>
          <w:color w:val="000000"/>
        </w:rPr>
        <w:t xml:space="preserve"> perda de peso</w:t>
      </w:r>
    </w:p>
    <w:p w14:paraId="58A4E659" w14:textId="77777777" w:rsidR="00A22143" w:rsidRPr="00C7380F" w:rsidRDefault="00A22143" w:rsidP="00A22143">
      <w:pPr>
        <w:autoSpaceDE w:val="0"/>
        <w:autoSpaceDN w:val="0"/>
        <w:adjustRightInd w:val="0"/>
        <w:jc w:val="both"/>
        <w:rPr>
          <w:b/>
          <w:bCs/>
          <w:color w:val="000000"/>
        </w:rPr>
      </w:pPr>
    </w:p>
    <w:p w14:paraId="4925CBF5" w14:textId="77777777" w:rsidR="00A22143" w:rsidRPr="00C7380F" w:rsidRDefault="00A22143" w:rsidP="00A22143">
      <w:pPr>
        <w:autoSpaceDE w:val="0"/>
        <w:autoSpaceDN w:val="0"/>
        <w:adjustRightInd w:val="0"/>
        <w:jc w:val="both"/>
        <w:rPr>
          <w:b/>
          <w:bCs/>
          <w:color w:val="000000"/>
        </w:rPr>
      </w:pPr>
      <w:r w:rsidRPr="00C7380F">
        <w:rPr>
          <w:b/>
          <w:bCs/>
          <w:color w:val="000000"/>
        </w:rPr>
        <w:t>C) Mobilidade</w:t>
      </w:r>
    </w:p>
    <w:p w14:paraId="4A0E57DC" w14:textId="77777777" w:rsidR="00A22143" w:rsidRPr="00C7380F" w:rsidRDefault="00A22143" w:rsidP="00A22143">
      <w:pPr>
        <w:autoSpaceDE w:val="0"/>
        <w:autoSpaceDN w:val="0"/>
        <w:adjustRightInd w:val="0"/>
        <w:jc w:val="both"/>
        <w:rPr>
          <w:b/>
          <w:bCs/>
          <w:color w:val="000000"/>
        </w:rPr>
      </w:pPr>
    </w:p>
    <w:p w14:paraId="234D754E" w14:textId="77777777" w:rsidR="00A22143" w:rsidRPr="00C7380F" w:rsidRDefault="00A22143" w:rsidP="00A22143">
      <w:pPr>
        <w:autoSpaceDE w:val="0"/>
        <w:autoSpaceDN w:val="0"/>
        <w:adjustRightInd w:val="0"/>
        <w:jc w:val="both"/>
        <w:rPr>
          <w:bCs/>
          <w:color w:val="000000"/>
        </w:rPr>
      </w:pPr>
      <w:r w:rsidRPr="00C7380F">
        <w:rPr>
          <w:bCs/>
          <w:color w:val="000000"/>
        </w:rPr>
        <w:t xml:space="preserve">0 – </w:t>
      </w:r>
      <w:proofErr w:type="gramStart"/>
      <w:r w:rsidRPr="00C7380F">
        <w:rPr>
          <w:bCs/>
          <w:color w:val="000000"/>
        </w:rPr>
        <w:t>restrito</w:t>
      </w:r>
      <w:proofErr w:type="gramEnd"/>
      <w:r w:rsidRPr="00C7380F">
        <w:rPr>
          <w:bCs/>
          <w:color w:val="000000"/>
        </w:rPr>
        <w:t xml:space="preserve"> ao leito ou à cadeira de rodas</w:t>
      </w:r>
    </w:p>
    <w:p w14:paraId="6D99F7C4" w14:textId="77777777" w:rsidR="00A22143" w:rsidRPr="00C7380F" w:rsidRDefault="00A22143" w:rsidP="00A22143">
      <w:pPr>
        <w:autoSpaceDE w:val="0"/>
        <w:autoSpaceDN w:val="0"/>
        <w:adjustRightInd w:val="0"/>
        <w:jc w:val="both"/>
        <w:rPr>
          <w:bCs/>
          <w:color w:val="000000"/>
        </w:rPr>
      </w:pPr>
      <w:r w:rsidRPr="00C7380F">
        <w:rPr>
          <w:bCs/>
          <w:color w:val="000000"/>
        </w:rPr>
        <w:t xml:space="preserve">1 – </w:t>
      </w:r>
      <w:proofErr w:type="gramStart"/>
      <w:r w:rsidRPr="00C7380F">
        <w:rPr>
          <w:bCs/>
          <w:color w:val="000000"/>
        </w:rPr>
        <w:t>deambula</w:t>
      </w:r>
      <w:proofErr w:type="gramEnd"/>
      <w:r w:rsidRPr="00C7380F">
        <w:rPr>
          <w:bCs/>
          <w:color w:val="000000"/>
        </w:rPr>
        <w:t xml:space="preserve"> mas não é capaz de sair de casa</w:t>
      </w:r>
    </w:p>
    <w:p w14:paraId="46C31084" w14:textId="77777777" w:rsidR="00A22143" w:rsidRPr="00C7380F" w:rsidRDefault="00A22143" w:rsidP="00A22143">
      <w:pPr>
        <w:autoSpaceDE w:val="0"/>
        <w:autoSpaceDN w:val="0"/>
        <w:adjustRightInd w:val="0"/>
        <w:jc w:val="both"/>
        <w:rPr>
          <w:bCs/>
          <w:color w:val="000000"/>
        </w:rPr>
      </w:pPr>
      <w:r w:rsidRPr="00C7380F">
        <w:rPr>
          <w:bCs/>
          <w:color w:val="000000"/>
        </w:rPr>
        <w:t xml:space="preserve">2 – </w:t>
      </w:r>
      <w:proofErr w:type="gramStart"/>
      <w:r w:rsidRPr="00C7380F">
        <w:rPr>
          <w:bCs/>
          <w:color w:val="000000"/>
        </w:rPr>
        <w:t>normal</w:t>
      </w:r>
      <w:proofErr w:type="gramEnd"/>
    </w:p>
    <w:p w14:paraId="445D6A99" w14:textId="77777777" w:rsidR="00A22143" w:rsidRPr="00C7380F" w:rsidRDefault="00A22143" w:rsidP="00A22143">
      <w:pPr>
        <w:autoSpaceDE w:val="0"/>
        <w:autoSpaceDN w:val="0"/>
        <w:adjustRightInd w:val="0"/>
        <w:jc w:val="both"/>
        <w:rPr>
          <w:bCs/>
          <w:color w:val="000000"/>
        </w:rPr>
      </w:pPr>
    </w:p>
    <w:p w14:paraId="4ECF56D5" w14:textId="77777777" w:rsidR="00A22143" w:rsidRPr="00C7380F" w:rsidRDefault="00A22143" w:rsidP="00A22143">
      <w:pPr>
        <w:autoSpaceDE w:val="0"/>
        <w:autoSpaceDN w:val="0"/>
        <w:adjustRightInd w:val="0"/>
        <w:jc w:val="both"/>
        <w:rPr>
          <w:b/>
          <w:bCs/>
          <w:color w:val="000000"/>
        </w:rPr>
      </w:pPr>
      <w:r w:rsidRPr="00C7380F">
        <w:rPr>
          <w:b/>
          <w:bCs/>
          <w:color w:val="000000"/>
        </w:rPr>
        <w:t>D) Passou por algum estresse psicológico ou doença aguda nos últimos três meses?</w:t>
      </w:r>
    </w:p>
    <w:p w14:paraId="03430EC3" w14:textId="77777777" w:rsidR="00A22143" w:rsidRPr="00C7380F" w:rsidRDefault="00A22143" w:rsidP="00A22143">
      <w:pPr>
        <w:autoSpaceDE w:val="0"/>
        <w:autoSpaceDN w:val="0"/>
        <w:adjustRightInd w:val="0"/>
        <w:jc w:val="both"/>
        <w:rPr>
          <w:b/>
          <w:bCs/>
          <w:color w:val="000000"/>
        </w:rPr>
      </w:pPr>
    </w:p>
    <w:p w14:paraId="3E99F91A" w14:textId="77777777" w:rsidR="00A22143" w:rsidRPr="00C7380F" w:rsidRDefault="00A22143" w:rsidP="00A22143">
      <w:pPr>
        <w:autoSpaceDE w:val="0"/>
        <w:autoSpaceDN w:val="0"/>
        <w:adjustRightInd w:val="0"/>
        <w:jc w:val="both"/>
        <w:rPr>
          <w:bCs/>
          <w:color w:val="000000"/>
        </w:rPr>
      </w:pPr>
      <w:r w:rsidRPr="00C7380F">
        <w:rPr>
          <w:bCs/>
          <w:color w:val="000000"/>
        </w:rPr>
        <w:t xml:space="preserve">0 – </w:t>
      </w:r>
      <w:proofErr w:type="gramStart"/>
      <w:r w:rsidRPr="00C7380F">
        <w:rPr>
          <w:bCs/>
          <w:color w:val="000000"/>
        </w:rPr>
        <w:t>sim</w:t>
      </w:r>
      <w:proofErr w:type="gramEnd"/>
    </w:p>
    <w:p w14:paraId="33F61F02" w14:textId="77777777" w:rsidR="00A22143" w:rsidRPr="00C7380F" w:rsidRDefault="00A22143" w:rsidP="00A22143">
      <w:pPr>
        <w:autoSpaceDE w:val="0"/>
        <w:autoSpaceDN w:val="0"/>
        <w:adjustRightInd w:val="0"/>
        <w:jc w:val="both"/>
        <w:rPr>
          <w:bCs/>
          <w:color w:val="000000"/>
        </w:rPr>
      </w:pPr>
      <w:r w:rsidRPr="00C7380F">
        <w:rPr>
          <w:bCs/>
          <w:color w:val="000000"/>
        </w:rPr>
        <w:t xml:space="preserve">2 – </w:t>
      </w:r>
      <w:proofErr w:type="gramStart"/>
      <w:r w:rsidRPr="00C7380F">
        <w:rPr>
          <w:bCs/>
          <w:color w:val="000000"/>
        </w:rPr>
        <w:t>não</w:t>
      </w:r>
      <w:proofErr w:type="gramEnd"/>
    </w:p>
    <w:p w14:paraId="041061ED" w14:textId="77777777" w:rsidR="00A22143" w:rsidRPr="00C7380F" w:rsidRDefault="00A22143" w:rsidP="00A22143">
      <w:pPr>
        <w:autoSpaceDE w:val="0"/>
        <w:autoSpaceDN w:val="0"/>
        <w:adjustRightInd w:val="0"/>
        <w:jc w:val="both"/>
        <w:rPr>
          <w:b/>
          <w:bCs/>
          <w:color w:val="000000"/>
        </w:rPr>
      </w:pPr>
    </w:p>
    <w:p w14:paraId="03897E8B" w14:textId="77777777" w:rsidR="00A22143" w:rsidRPr="00C7380F" w:rsidRDefault="00A22143" w:rsidP="00A22143">
      <w:pPr>
        <w:autoSpaceDE w:val="0"/>
        <w:autoSpaceDN w:val="0"/>
        <w:adjustRightInd w:val="0"/>
        <w:jc w:val="both"/>
        <w:rPr>
          <w:b/>
          <w:bCs/>
          <w:color w:val="000000"/>
        </w:rPr>
      </w:pPr>
      <w:r w:rsidRPr="00C7380F">
        <w:rPr>
          <w:b/>
          <w:bCs/>
          <w:color w:val="000000"/>
        </w:rPr>
        <w:t>E) Problemas neuropsicológicos</w:t>
      </w:r>
    </w:p>
    <w:p w14:paraId="4CC84BE0" w14:textId="77777777" w:rsidR="00A22143" w:rsidRPr="00C7380F" w:rsidRDefault="00A22143" w:rsidP="00A22143">
      <w:pPr>
        <w:autoSpaceDE w:val="0"/>
        <w:autoSpaceDN w:val="0"/>
        <w:adjustRightInd w:val="0"/>
        <w:jc w:val="both"/>
        <w:rPr>
          <w:b/>
          <w:bCs/>
          <w:color w:val="000000"/>
        </w:rPr>
      </w:pPr>
    </w:p>
    <w:p w14:paraId="3B139EC0" w14:textId="77777777" w:rsidR="00A22143" w:rsidRPr="00C7380F" w:rsidRDefault="00A22143" w:rsidP="00A22143">
      <w:pPr>
        <w:autoSpaceDE w:val="0"/>
        <w:autoSpaceDN w:val="0"/>
        <w:adjustRightInd w:val="0"/>
        <w:jc w:val="both"/>
        <w:rPr>
          <w:bCs/>
          <w:color w:val="000000"/>
        </w:rPr>
      </w:pPr>
      <w:r w:rsidRPr="00C7380F">
        <w:rPr>
          <w:bCs/>
          <w:color w:val="000000"/>
        </w:rPr>
        <w:t>0 – demência ou depressão graves</w:t>
      </w:r>
    </w:p>
    <w:p w14:paraId="7ABE0570" w14:textId="77777777" w:rsidR="00A22143" w:rsidRPr="00C7380F" w:rsidRDefault="00A22143" w:rsidP="00A22143">
      <w:pPr>
        <w:autoSpaceDE w:val="0"/>
        <w:autoSpaceDN w:val="0"/>
        <w:adjustRightInd w:val="0"/>
        <w:jc w:val="both"/>
        <w:rPr>
          <w:bCs/>
          <w:color w:val="000000"/>
        </w:rPr>
      </w:pPr>
      <w:r w:rsidRPr="00C7380F">
        <w:rPr>
          <w:bCs/>
          <w:color w:val="000000"/>
        </w:rPr>
        <w:t xml:space="preserve">1 – </w:t>
      </w:r>
      <w:proofErr w:type="gramStart"/>
      <w:r w:rsidRPr="00C7380F">
        <w:rPr>
          <w:bCs/>
          <w:color w:val="000000"/>
        </w:rPr>
        <w:t>demência</w:t>
      </w:r>
      <w:proofErr w:type="gramEnd"/>
      <w:r w:rsidRPr="00C7380F">
        <w:rPr>
          <w:bCs/>
          <w:color w:val="000000"/>
        </w:rPr>
        <w:t xml:space="preserve"> leve</w:t>
      </w:r>
    </w:p>
    <w:p w14:paraId="66E383C9" w14:textId="77777777" w:rsidR="00A22143" w:rsidRPr="00C7380F" w:rsidRDefault="00A22143" w:rsidP="00A22143">
      <w:pPr>
        <w:jc w:val="both"/>
        <w:rPr>
          <w:bCs/>
          <w:color w:val="000000"/>
        </w:rPr>
      </w:pPr>
      <w:r w:rsidRPr="00C7380F">
        <w:rPr>
          <w:bCs/>
          <w:color w:val="000000"/>
        </w:rPr>
        <w:t xml:space="preserve">2 – </w:t>
      </w:r>
      <w:proofErr w:type="gramStart"/>
      <w:r w:rsidRPr="00C7380F">
        <w:rPr>
          <w:bCs/>
          <w:color w:val="000000"/>
        </w:rPr>
        <w:t>sem</w:t>
      </w:r>
      <w:proofErr w:type="gramEnd"/>
      <w:r w:rsidRPr="00C7380F">
        <w:rPr>
          <w:bCs/>
          <w:color w:val="000000"/>
        </w:rPr>
        <w:t xml:space="preserve"> problemas psicológicos</w:t>
      </w:r>
    </w:p>
    <w:p w14:paraId="414397A7" w14:textId="77777777" w:rsidR="00A22143" w:rsidRPr="00C7380F" w:rsidRDefault="00A22143" w:rsidP="00A22143">
      <w:pPr>
        <w:autoSpaceDE w:val="0"/>
        <w:autoSpaceDN w:val="0"/>
        <w:adjustRightInd w:val="0"/>
        <w:jc w:val="both"/>
        <w:rPr>
          <w:b/>
          <w:bCs/>
        </w:rPr>
      </w:pPr>
    </w:p>
    <w:p w14:paraId="591DAF25" w14:textId="77777777" w:rsidR="00A22143" w:rsidRPr="00C7380F" w:rsidRDefault="00A22143" w:rsidP="00A22143">
      <w:pPr>
        <w:autoSpaceDE w:val="0"/>
        <w:autoSpaceDN w:val="0"/>
        <w:adjustRightInd w:val="0"/>
        <w:jc w:val="both"/>
        <w:rPr>
          <w:b/>
          <w:bCs/>
        </w:rPr>
      </w:pPr>
      <w:r w:rsidRPr="00C7380F">
        <w:rPr>
          <w:b/>
          <w:bCs/>
        </w:rPr>
        <w:t>F) Índice de massa corporal (IMC = peso (kg) / estatura (m2))</w:t>
      </w:r>
    </w:p>
    <w:p w14:paraId="62D4F13C" w14:textId="77777777" w:rsidR="00A22143" w:rsidRPr="00C7380F" w:rsidRDefault="00A22143" w:rsidP="00A22143">
      <w:pPr>
        <w:autoSpaceDE w:val="0"/>
        <w:autoSpaceDN w:val="0"/>
        <w:adjustRightInd w:val="0"/>
        <w:jc w:val="both"/>
        <w:rPr>
          <w:b/>
          <w:bCs/>
        </w:rPr>
      </w:pPr>
    </w:p>
    <w:p w14:paraId="1E377FFD" w14:textId="77777777" w:rsidR="00A22143" w:rsidRPr="00C7380F" w:rsidRDefault="00A22143" w:rsidP="00A22143">
      <w:pPr>
        <w:autoSpaceDE w:val="0"/>
        <w:autoSpaceDN w:val="0"/>
        <w:adjustRightInd w:val="0"/>
        <w:jc w:val="both"/>
        <w:rPr>
          <w:bCs/>
        </w:rPr>
      </w:pPr>
      <w:r w:rsidRPr="00C7380F">
        <w:rPr>
          <w:bCs/>
        </w:rPr>
        <w:t>0 – IMC &lt; 19</w:t>
      </w:r>
    </w:p>
    <w:p w14:paraId="5235C3AF" w14:textId="77777777" w:rsidR="00A22143" w:rsidRPr="00C7380F" w:rsidRDefault="00A22143" w:rsidP="00A22143">
      <w:pPr>
        <w:autoSpaceDE w:val="0"/>
        <w:autoSpaceDN w:val="0"/>
        <w:adjustRightInd w:val="0"/>
        <w:jc w:val="both"/>
        <w:rPr>
          <w:bCs/>
        </w:rPr>
      </w:pPr>
      <w:r w:rsidRPr="00C7380F">
        <w:rPr>
          <w:bCs/>
        </w:rPr>
        <w:t xml:space="preserve">1 – 19 </w:t>
      </w:r>
      <w:r w:rsidRPr="00C7380F">
        <w:rPr>
          <w:rFonts w:eastAsia="SymbolMT"/>
        </w:rPr>
        <w:t>≤</w:t>
      </w:r>
      <w:r w:rsidRPr="00C7380F">
        <w:rPr>
          <w:bCs/>
        </w:rPr>
        <w:t xml:space="preserve">IMC </w:t>
      </w:r>
      <w:r w:rsidRPr="00C7380F">
        <w:rPr>
          <w:rFonts w:eastAsia="SymbolMT"/>
        </w:rPr>
        <w:t>≤</w:t>
      </w:r>
      <w:r w:rsidRPr="00C7380F">
        <w:rPr>
          <w:bCs/>
        </w:rPr>
        <w:t>21</w:t>
      </w:r>
    </w:p>
    <w:p w14:paraId="73A0E1F2" w14:textId="77777777" w:rsidR="00A22143" w:rsidRPr="00C7380F" w:rsidRDefault="00A22143" w:rsidP="00A22143">
      <w:pPr>
        <w:autoSpaceDE w:val="0"/>
        <w:autoSpaceDN w:val="0"/>
        <w:adjustRightInd w:val="0"/>
        <w:jc w:val="both"/>
        <w:rPr>
          <w:bCs/>
        </w:rPr>
      </w:pPr>
      <w:r w:rsidRPr="00C7380F">
        <w:rPr>
          <w:bCs/>
        </w:rPr>
        <w:t xml:space="preserve">2 – 21 </w:t>
      </w:r>
      <w:r w:rsidRPr="00C7380F">
        <w:rPr>
          <w:rFonts w:eastAsia="SymbolMT"/>
        </w:rPr>
        <w:t>≤</w:t>
      </w:r>
      <w:r w:rsidRPr="00C7380F">
        <w:rPr>
          <w:bCs/>
        </w:rPr>
        <w:t xml:space="preserve">IMC </w:t>
      </w:r>
      <w:r w:rsidRPr="00C7380F">
        <w:rPr>
          <w:rFonts w:eastAsia="SymbolMT"/>
        </w:rPr>
        <w:t>≤</w:t>
      </w:r>
      <w:r w:rsidRPr="00C7380F">
        <w:rPr>
          <w:bCs/>
        </w:rPr>
        <w:t>23</w:t>
      </w:r>
    </w:p>
    <w:p w14:paraId="7E08E4CA" w14:textId="77777777" w:rsidR="00A22143" w:rsidRPr="00C7380F" w:rsidRDefault="00A22143" w:rsidP="00A22143">
      <w:pPr>
        <w:autoSpaceDE w:val="0"/>
        <w:autoSpaceDN w:val="0"/>
        <w:adjustRightInd w:val="0"/>
        <w:jc w:val="both"/>
        <w:rPr>
          <w:bCs/>
        </w:rPr>
      </w:pPr>
      <w:r w:rsidRPr="00C7380F">
        <w:rPr>
          <w:bCs/>
        </w:rPr>
        <w:t>3 – IMC &gt; 23</w:t>
      </w:r>
    </w:p>
    <w:p w14:paraId="363E1E88" w14:textId="77777777" w:rsidR="00A22143" w:rsidRPr="00C7380F" w:rsidRDefault="00A22143" w:rsidP="00A22143">
      <w:pPr>
        <w:autoSpaceDE w:val="0"/>
        <w:autoSpaceDN w:val="0"/>
        <w:adjustRightInd w:val="0"/>
        <w:jc w:val="both"/>
        <w:rPr>
          <w:bCs/>
        </w:rPr>
      </w:pPr>
    </w:p>
    <w:p w14:paraId="082618B5" w14:textId="77777777" w:rsidR="00A22143" w:rsidRPr="00C7380F" w:rsidRDefault="00A22143" w:rsidP="00A22143">
      <w:pPr>
        <w:autoSpaceDE w:val="0"/>
        <w:autoSpaceDN w:val="0"/>
        <w:adjustRightInd w:val="0"/>
        <w:jc w:val="both"/>
        <w:rPr>
          <w:b/>
          <w:bCs/>
        </w:rPr>
      </w:pPr>
      <w:r w:rsidRPr="00C7380F">
        <w:rPr>
          <w:b/>
          <w:bCs/>
        </w:rPr>
        <w:t>Escore de triagem (máximo de 14 pontos)</w:t>
      </w:r>
    </w:p>
    <w:p w14:paraId="388E8E4D" w14:textId="77777777" w:rsidR="00A22143" w:rsidRPr="00C7380F" w:rsidRDefault="00A22143" w:rsidP="00A22143">
      <w:pPr>
        <w:autoSpaceDE w:val="0"/>
        <w:autoSpaceDN w:val="0"/>
        <w:adjustRightInd w:val="0"/>
        <w:jc w:val="both"/>
        <w:rPr>
          <w:b/>
          <w:bCs/>
        </w:rPr>
      </w:pPr>
      <w:r w:rsidRPr="00C7380F">
        <w:rPr>
          <w:b/>
          <w:bCs/>
        </w:rPr>
        <w:t>12 pontos ou mais – normal, desnecessário continuar a avaliação</w:t>
      </w:r>
    </w:p>
    <w:p w14:paraId="4FF602CD" w14:textId="77777777" w:rsidR="00A22143" w:rsidRPr="00C7380F" w:rsidRDefault="00A22143" w:rsidP="00A22143">
      <w:pPr>
        <w:autoSpaceDE w:val="0"/>
        <w:autoSpaceDN w:val="0"/>
        <w:adjustRightInd w:val="0"/>
        <w:jc w:val="both"/>
        <w:rPr>
          <w:b/>
          <w:bCs/>
        </w:rPr>
      </w:pPr>
      <w:r w:rsidRPr="00C7380F">
        <w:rPr>
          <w:b/>
          <w:bCs/>
        </w:rPr>
        <w:t>11 pontos ou menos – possibilidade de desnutrição, continuar a avaliação</w:t>
      </w:r>
    </w:p>
    <w:p w14:paraId="2BD662B7" w14:textId="77777777" w:rsidR="00A22143" w:rsidRPr="00C7380F" w:rsidRDefault="00A22143" w:rsidP="00A22143">
      <w:pPr>
        <w:autoSpaceDE w:val="0"/>
        <w:autoSpaceDN w:val="0"/>
        <w:adjustRightInd w:val="0"/>
        <w:jc w:val="both"/>
        <w:rPr>
          <w:b/>
          <w:bCs/>
        </w:rPr>
      </w:pPr>
    </w:p>
    <w:p w14:paraId="5A95E411" w14:textId="77777777" w:rsidR="00A22143" w:rsidRPr="00C7380F" w:rsidRDefault="00A22143" w:rsidP="00A22143">
      <w:pPr>
        <w:autoSpaceDE w:val="0"/>
        <w:autoSpaceDN w:val="0"/>
        <w:adjustRightInd w:val="0"/>
        <w:jc w:val="both"/>
        <w:rPr>
          <w:b/>
          <w:bCs/>
        </w:rPr>
      </w:pPr>
      <w:r w:rsidRPr="00C7380F">
        <w:rPr>
          <w:b/>
          <w:bCs/>
        </w:rPr>
        <w:t>AVALIAÇÃO GLOBAL</w:t>
      </w:r>
    </w:p>
    <w:p w14:paraId="435B34FF" w14:textId="77777777" w:rsidR="00A22143" w:rsidRPr="00C7380F" w:rsidRDefault="00A22143" w:rsidP="00A22143">
      <w:pPr>
        <w:autoSpaceDE w:val="0"/>
        <w:autoSpaceDN w:val="0"/>
        <w:adjustRightInd w:val="0"/>
        <w:jc w:val="both"/>
        <w:rPr>
          <w:b/>
          <w:bCs/>
        </w:rPr>
      </w:pPr>
      <w:r w:rsidRPr="00C7380F">
        <w:rPr>
          <w:b/>
          <w:bCs/>
        </w:rPr>
        <w:t>G) O paciente vive em sua própria casa (não em casa geriátrica ou hospital)</w:t>
      </w:r>
    </w:p>
    <w:p w14:paraId="1D0CE5CB" w14:textId="77777777" w:rsidR="00A22143" w:rsidRPr="00C7380F" w:rsidRDefault="00A22143" w:rsidP="00A22143">
      <w:pPr>
        <w:autoSpaceDE w:val="0"/>
        <w:autoSpaceDN w:val="0"/>
        <w:adjustRightInd w:val="0"/>
        <w:jc w:val="both"/>
        <w:rPr>
          <w:b/>
          <w:bCs/>
        </w:rPr>
      </w:pPr>
    </w:p>
    <w:p w14:paraId="12D85758" w14:textId="77777777" w:rsidR="00A22143" w:rsidRPr="00C7380F" w:rsidRDefault="00A22143" w:rsidP="00A22143">
      <w:pPr>
        <w:autoSpaceDE w:val="0"/>
        <w:autoSpaceDN w:val="0"/>
        <w:adjustRightInd w:val="0"/>
        <w:jc w:val="both"/>
        <w:rPr>
          <w:bCs/>
        </w:rPr>
      </w:pPr>
      <w:r w:rsidRPr="00C7380F">
        <w:rPr>
          <w:bCs/>
        </w:rPr>
        <w:t xml:space="preserve">0 – </w:t>
      </w:r>
      <w:proofErr w:type="gramStart"/>
      <w:r w:rsidRPr="00C7380F">
        <w:rPr>
          <w:bCs/>
        </w:rPr>
        <w:t>não</w:t>
      </w:r>
      <w:proofErr w:type="gramEnd"/>
    </w:p>
    <w:p w14:paraId="109B8019" w14:textId="77777777" w:rsidR="00A22143" w:rsidRPr="00C7380F" w:rsidRDefault="00A22143" w:rsidP="00A22143">
      <w:pPr>
        <w:autoSpaceDE w:val="0"/>
        <w:autoSpaceDN w:val="0"/>
        <w:adjustRightInd w:val="0"/>
        <w:jc w:val="both"/>
        <w:rPr>
          <w:bCs/>
        </w:rPr>
      </w:pPr>
      <w:r w:rsidRPr="00C7380F">
        <w:rPr>
          <w:bCs/>
        </w:rPr>
        <w:t xml:space="preserve">1 – </w:t>
      </w:r>
      <w:proofErr w:type="gramStart"/>
      <w:r w:rsidRPr="00C7380F">
        <w:rPr>
          <w:bCs/>
        </w:rPr>
        <w:t>sim</w:t>
      </w:r>
      <w:proofErr w:type="gramEnd"/>
    </w:p>
    <w:p w14:paraId="388DEA3E" w14:textId="77777777" w:rsidR="00A22143" w:rsidRPr="00C7380F" w:rsidRDefault="00A22143" w:rsidP="00A22143">
      <w:pPr>
        <w:autoSpaceDE w:val="0"/>
        <w:autoSpaceDN w:val="0"/>
        <w:adjustRightInd w:val="0"/>
        <w:jc w:val="both"/>
        <w:rPr>
          <w:b/>
          <w:bCs/>
        </w:rPr>
      </w:pPr>
      <w:r w:rsidRPr="00C7380F">
        <w:rPr>
          <w:b/>
          <w:bCs/>
        </w:rPr>
        <w:t>H) Utiliza mais de três medicamentos diferentes por dia?</w:t>
      </w:r>
    </w:p>
    <w:p w14:paraId="376017FA" w14:textId="77777777" w:rsidR="00A22143" w:rsidRPr="00C7380F" w:rsidRDefault="00A22143" w:rsidP="00A22143">
      <w:pPr>
        <w:autoSpaceDE w:val="0"/>
        <w:autoSpaceDN w:val="0"/>
        <w:adjustRightInd w:val="0"/>
        <w:jc w:val="both"/>
        <w:rPr>
          <w:b/>
          <w:bCs/>
        </w:rPr>
      </w:pPr>
    </w:p>
    <w:p w14:paraId="7C84A849" w14:textId="77777777" w:rsidR="00A22143" w:rsidRPr="00C7380F" w:rsidRDefault="00A22143" w:rsidP="00A22143">
      <w:pPr>
        <w:autoSpaceDE w:val="0"/>
        <w:autoSpaceDN w:val="0"/>
        <w:adjustRightInd w:val="0"/>
        <w:jc w:val="both"/>
        <w:rPr>
          <w:bCs/>
        </w:rPr>
      </w:pPr>
      <w:r w:rsidRPr="00C7380F">
        <w:rPr>
          <w:bCs/>
        </w:rPr>
        <w:t xml:space="preserve">0 – </w:t>
      </w:r>
      <w:proofErr w:type="gramStart"/>
      <w:r w:rsidRPr="00C7380F">
        <w:rPr>
          <w:bCs/>
        </w:rPr>
        <w:t>sim</w:t>
      </w:r>
      <w:proofErr w:type="gramEnd"/>
    </w:p>
    <w:p w14:paraId="0838E9E4" w14:textId="77777777" w:rsidR="00A22143" w:rsidRPr="00C7380F" w:rsidRDefault="00A22143" w:rsidP="00A22143">
      <w:pPr>
        <w:autoSpaceDE w:val="0"/>
        <w:autoSpaceDN w:val="0"/>
        <w:adjustRightInd w:val="0"/>
        <w:jc w:val="both"/>
        <w:rPr>
          <w:bCs/>
        </w:rPr>
      </w:pPr>
      <w:r w:rsidRPr="00C7380F">
        <w:rPr>
          <w:bCs/>
        </w:rPr>
        <w:t xml:space="preserve">1 – </w:t>
      </w:r>
      <w:proofErr w:type="gramStart"/>
      <w:r w:rsidRPr="00C7380F">
        <w:rPr>
          <w:bCs/>
        </w:rPr>
        <w:t>não</w:t>
      </w:r>
      <w:proofErr w:type="gramEnd"/>
    </w:p>
    <w:p w14:paraId="0A717C90" w14:textId="77777777" w:rsidR="00A22143" w:rsidRPr="00C7380F" w:rsidRDefault="00A22143" w:rsidP="00A22143">
      <w:pPr>
        <w:autoSpaceDE w:val="0"/>
        <w:autoSpaceDN w:val="0"/>
        <w:adjustRightInd w:val="0"/>
        <w:jc w:val="both"/>
        <w:rPr>
          <w:b/>
          <w:bCs/>
        </w:rPr>
      </w:pPr>
    </w:p>
    <w:p w14:paraId="3EC464A6" w14:textId="77777777" w:rsidR="00A22143" w:rsidRPr="00C7380F" w:rsidRDefault="00A22143" w:rsidP="00A22143">
      <w:pPr>
        <w:autoSpaceDE w:val="0"/>
        <w:autoSpaceDN w:val="0"/>
        <w:adjustRightInd w:val="0"/>
        <w:jc w:val="both"/>
        <w:rPr>
          <w:b/>
          <w:bCs/>
        </w:rPr>
      </w:pPr>
      <w:r w:rsidRPr="00C7380F">
        <w:rPr>
          <w:b/>
          <w:bCs/>
        </w:rPr>
        <w:t>I) Lesões de pele ou escaras?</w:t>
      </w:r>
    </w:p>
    <w:p w14:paraId="0F5600F6" w14:textId="77777777" w:rsidR="00A22143" w:rsidRPr="00C7380F" w:rsidRDefault="00A22143" w:rsidP="00A22143">
      <w:pPr>
        <w:autoSpaceDE w:val="0"/>
        <w:autoSpaceDN w:val="0"/>
        <w:adjustRightInd w:val="0"/>
        <w:jc w:val="both"/>
        <w:rPr>
          <w:b/>
          <w:bCs/>
        </w:rPr>
      </w:pPr>
    </w:p>
    <w:p w14:paraId="716F89DF" w14:textId="77777777" w:rsidR="00A22143" w:rsidRPr="00C7380F" w:rsidRDefault="00A22143" w:rsidP="00A22143">
      <w:pPr>
        <w:autoSpaceDE w:val="0"/>
        <w:autoSpaceDN w:val="0"/>
        <w:adjustRightInd w:val="0"/>
        <w:jc w:val="both"/>
        <w:rPr>
          <w:bCs/>
        </w:rPr>
      </w:pPr>
      <w:r w:rsidRPr="00C7380F">
        <w:rPr>
          <w:bCs/>
        </w:rPr>
        <w:t xml:space="preserve">0 – </w:t>
      </w:r>
      <w:proofErr w:type="gramStart"/>
      <w:r w:rsidRPr="00C7380F">
        <w:rPr>
          <w:bCs/>
        </w:rPr>
        <w:t>sim</w:t>
      </w:r>
      <w:proofErr w:type="gramEnd"/>
    </w:p>
    <w:p w14:paraId="5F092C2B" w14:textId="77777777" w:rsidR="00A22143" w:rsidRPr="00C7380F" w:rsidRDefault="00A22143" w:rsidP="00A22143">
      <w:pPr>
        <w:autoSpaceDE w:val="0"/>
        <w:autoSpaceDN w:val="0"/>
        <w:adjustRightInd w:val="0"/>
        <w:jc w:val="both"/>
        <w:rPr>
          <w:bCs/>
        </w:rPr>
      </w:pPr>
      <w:r w:rsidRPr="00C7380F">
        <w:rPr>
          <w:bCs/>
        </w:rPr>
        <w:t xml:space="preserve">1 – </w:t>
      </w:r>
      <w:proofErr w:type="gramStart"/>
      <w:r w:rsidRPr="00C7380F">
        <w:rPr>
          <w:bCs/>
        </w:rPr>
        <w:t>não</w:t>
      </w:r>
      <w:proofErr w:type="gramEnd"/>
    </w:p>
    <w:p w14:paraId="7DF046B5" w14:textId="77777777" w:rsidR="00A22143" w:rsidRPr="00C7380F" w:rsidRDefault="00A22143" w:rsidP="00A22143">
      <w:pPr>
        <w:autoSpaceDE w:val="0"/>
        <w:autoSpaceDN w:val="0"/>
        <w:adjustRightInd w:val="0"/>
        <w:jc w:val="both"/>
        <w:rPr>
          <w:b/>
          <w:bCs/>
        </w:rPr>
      </w:pPr>
    </w:p>
    <w:p w14:paraId="05D58CD6" w14:textId="77777777" w:rsidR="00A22143" w:rsidRPr="00C7380F" w:rsidRDefault="00A22143" w:rsidP="00A22143">
      <w:pPr>
        <w:autoSpaceDE w:val="0"/>
        <w:autoSpaceDN w:val="0"/>
        <w:adjustRightInd w:val="0"/>
        <w:jc w:val="both"/>
        <w:rPr>
          <w:b/>
          <w:bCs/>
        </w:rPr>
      </w:pPr>
      <w:r w:rsidRPr="00C7380F">
        <w:rPr>
          <w:b/>
          <w:bCs/>
        </w:rPr>
        <w:t>J) Quantas refeições faz por dia?</w:t>
      </w:r>
    </w:p>
    <w:p w14:paraId="6C88A39D" w14:textId="77777777" w:rsidR="00A22143" w:rsidRPr="00C7380F" w:rsidRDefault="00A22143" w:rsidP="00A22143">
      <w:pPr>
        <w:autoSpaceDE w:val="0"/>
        <w:autoSpaceDN w:val="0"/>
        <w:adjustRightInd w:val="0"/>
        <w:jc w:val="both"/>
        <w:rPr>
          <w:bCs/>
        </w:rPr>
      </w:pPr>
    </w:p>
    <w:p w14:paraId="50F9AEE0" w14:textId="77777777" w:rsidR="00A22143" w:rsidRPr="00C7380F" w:rsidRDefault="00A22143" w:rsidP="00A22143">
      <w:pPr>
        <w:autoSpaceDE w:val="0"/>
        <w:autoSpaceDN w:val="0"/>
        <w:adjustRightInd w:val="0"/>
        <w:jc w:val="both"/>
        <w:rPr>
          <w:bCs/>
        </w:rPr>
      </w:pPr>
      <w:r w:rsidRPr="00C7380F">
        <w:rPr>
          <w:bCs/>
        </w:rPr>
        <w:t xml:space="preserve">0 – </w:t>
      </w:r>
      <w:proofErr w:type="gramStart"/>
      <w:r w:rsidRPr="00C7380F">
        <w:rPr>
          <w:bCs/>
        </w:rPr>
        <w:t>uma</w:t>
      </w:r>
      <w:proofErr w:type="gramEnd"/>
      <w:r w:rsidRPr="00C7380F">
        <w:rPr>
          <w:bCs/>
        </w:rPr>
        <w:t xml:space="preserve"> refeição</w:t>
      </w:r>
    </w:p>
    <w:p w14:paraId="15B6B67F" w14:textId="77777777" w:rsidR="00A22143" w:rsidRPr="00C7380F" w:rsidRDefault="00A22143" w:rsidP="00A22143">
      <w:pPr>
        <w:autoSpaceDE w:val="0"/>
        <w:autoSpaceDN w:val="0"/>
        <w:adjustRightInd w:val="0"/>
        <w:jc w:val="both"/>
        <w:rPr>
          <w:bCs/>
        </w:rPr>
      </w:pPr>
      <w:r w:rsidRPr="00C7380F">
        <w:rPr>
          <w:bCs/>
        </w:rPr>
        <w:t xml:space="preserve">1 – </w:t>
      </w:r>
      <w:proofErr w:type="gramStart"/>
      <w:r w:rsidRPr="00C7380F">
        <w:rPr>
          <w:bCs/>
        </w:rPr>
        <w:t>duas refeições</w:t>
      </w:r>
      <w:proofErr w:type="gramEnd"/>
    </w:p>
    <w:p w14:paraId="1D83E7ED" w14:textId="77777777" w:rsidR="00A22143" w:rsidRPr="00C7380F" w:rsidRDefault="00A22143" w:rsidP="00A22143">
      <w:pPr>
        <w:autoSpaceDE w:val="0"/>
        <w:autoSpaceDN w:val="0"/>
        <w:adjustRightInd w:val="0"/>
        <w:jc w:val="both"/>
        <w:rPr>
          <w:b/>
          <w:bCs/>
        </w:rPr>
      </w:pPr>
      <w:r w:rsidRPr="00C7380F">
        <w:rPr>
          <w:bCs/>
        </w:rPr>
        <w:t xml:space="preserve">2 – </w:t>
      </w:r>
      <w:proofErr w:type="gramStart"/>
      <w:r w:rsidRPr="00C7380F">
        <w:rPr>
          <w:bCs/>
        </w:rPr>
        <w:t>três refeições</w:t>
      </w:r>
      <w:proofErr w:type="gramEnd"/>
    </w:p>
    <w:p w14:paraId="68653501" w14:textId="77777777" w:rsidR="00A22143" w:rsidRPr="00C7380F" w:rsidRDefault="00A22143" w:rsidP="00A22143">
      <w:pPr>
        <w:autoSpaceDE w:val="0"/>
        <w:autoSpaceDN w:val="0"/>
        <w:adjustRightInd w:val="0"/>
        <w:jc w:val="both"/>
        <w:rPr>
          <w:b/>
          <w:bCs/>
        </w:rPr>
      </w:pPr>
    </w:p>
    <w:p w14:paraId="0DAF5343" w14:textId="77777777" w:rsidR="00A22143" w:rsidRPr="00C7380F" w:rsidRDefault="00A22143" w:rsidP="00A22143">
      <w:pPr>
        <w:autoSpaceDE w:val="0"/>
        <w:autoSpaceDN w:val="0"/>
        <w:adjustRightInd w:val="0"/>
        <w:jc w:val="both"/>
        <w:rPr>
          <w:b/>
          <w:bCs/>
        </w:rPr>
      </w:pPr>
      <w:r w:rsidRPr="00C7380F">
        <w:rPr>
          <w:b/>
          <w:bCs/>
        </w:rPr>
        <w:t>K) O paciente consome:</w:t>
      </w:r>
    </w:p>
    <w:p w14:paraId="1A19FA66" w14:textId="77777777" w:rsidR="00A22143" w:rsidRPr="00C7380F" w:rsidRDefault="00A22143" w:rsidP="00A22143">
      <w:pPr>
        <w:autoSpaceDE w:val="0"/>
        <w:autoSpaceDN w:val="0"/>
        <w:adjustRightInd w:val="0"/>
        <w:jc w:val="both"/>
        <w:rPr>
          <w:bCs/>
        </w:rPr>
      </w:pPr>
      <w:r w:rsidRPr="00C7380F">
        <w:rPr>
          <w:bCs/>
        </w:rPr>
        <w:t xml:space="preserve">– Pelo menos uma porção diária de leite/derivados (queijo/iogurte)? </w:t>
      </w:r>
      <w:proofErr w:type="gramStart"/>
      <w:r w:rsidRPr="00C7380F">
        <w:rPr>
          <w:bCs/>
        </w:rPr>
        <w:t>Sim( )</w:t>
      </w:r>
      <w:proofErr w:type="gramEnd"/>
      <w:r w:rsidRPr="00C7380F">
        <w:rPr>
          <w:bCs/>
        </w:rPr>
        <w:t xml:space="preserve"> Não(  )</w:t>
      </w:r>
    </w:p>
    <w:p w14:paraId="71A7D259" w14:textId="77777777" w:rsidR="00A22143" w:rsidRPr="00C7380F" w:rsidRDefault="00A22143" w:rsidP="00A22143">
      <w:pPr>
        <w:autoSpaceDE w:val="0"/>
        <w:autoSpaceDN w:val="0"/>
        <w:adjustRightInd w:val="0"/>
        <w:jc w:val="both"/>
        <w:rPr>
          <w:bCs/>
        </w:rPr>
      </w:pPr>
      <w:r w:rsidRPr="00C7380F">
        <w:rPr>
          <w:bCs/>
        </w:rPr>
        <w:t xml:space="preserve">– Duas ou mais porções semanais de legumes ou ovos? Sim </w:t>
      </w:r>
      <w:proofErr w:type="gramStart"/>
      <w:r w:rsidRPr="00C7380F">
        <w:rPr>
          <w:bCs/>
        </w:rPr>
        <w:t>( )</w:t>
      </w:r>
      <w:proofErr w:type="gramEnd"/>
      <w:r w:rsidRPr="00C7380F">
        <w:rPr>
          <w:bCs/>
        </w:rPr>
        <w:t xml:space="preserve"> Não ( )</w:t>
      </w:r>
    </w:p>
    <w:p w14:paraId="4E3DA27B" w14:textId="77777777" w:rsidR="00A22143" w:rsidRPr="00C7380F" w:rsidRDefault="00A22143" w:rsidP="00A22143">
      <w:pPr>
        <w:jc w:val="both"/>
        <w:rPr>
          <w:bCs/>
        </w:rPr>
      </w:pPr>
      <w:r w:rsidRPr="00C7380F">
        <w:rPr>
          <w:bCs/>
        </w:rPr>
        <w:t xml:space="preserve">– Carne, peixe ou aves todos os dias? Sim </w:t>
      </w:r>
      <w:proofErr w:type="gramStart"/>
      <w:r w:rsidRPr="00C7380F">
        <w:rPr>
          <w:bCs/>
        </w:rPr>
        <w:t>( )</w:t>
      </w:r>
      <w:proofErr w:type="gramEnd"/>
      <w:r w:rsidRPr="00C7380F">
        <w:rPr>
          <w:bCs/>
        </w:rPr>
        <w:t xml:space="preserve"> Não ( )</w:t>
      </w:r>
    </w:p>
    <w:p w14:paraId="2D8F3628" w14:textId="77777777" w:rsidR="00A22143" w:rsidRPr="00C7380F" w:rsidRDefault="00A22143" w:rsidP="00A22143">
      <w:pPr>
        <w:autoSpaceDE w:val="0"/>
        <w:autoSpaceDN w:val="0"/>
        <w:adjustRightInd w:val="0"/>
        <w:jc w:val="both"/>
        <w:rPr>
          <w:bCs/>
        </w:rPr>
      </w:pPr>
    </w:p>
    <w:p w14:paraId="6A1D5E77" w14:textId="77777777" w:rsidR="00A22143" w:rsidRPr="00C7380F" w:rsidRDefault="00A22143" w:rsidP="00A22143">
      <w:pPr>
        <w:autoSpaceDE w:val="0"/>
        <w:autoSpaceDN w:val="0"/>
        <w:adjustRightInd w:val="0"/>
        <w:jc w:val="both"/>
        <w:rPr>
          <w:bCs/>
        </w:rPr>
      </w:pPr>
      <w:r w:rsidRPr="00C7380F">
        <w:rPr>
          <w:bCs/>
        </w:rPr>
        <w:t xml:space="preserve">0,0 – </w:t>
      </w:r>
      <w:proofErr w:type="gramStart"/>
      <w:r w:rsidRPr="00C7380F">
        <w:rPr>
          <w:bCs/>
        </w:rPr>
        <w:t>nenhuma</w:t>
      </w:r>
      <w:proofErr w:type="gramEnd"/>
      <w:r w:rsidRPr="00C7380F">
        <w:rPr>
          <w:bCs/>
        </w:rPr>
        <w:t xml:space="preserve"> ou uma resposta sim</w:t>
      </w:r>
    </w:p>
    <w:p w14:paraId="03BDF571" w14:textId="77777777" w:rsidR="00A22143" w:rsidRPr="00C7380F" w:rsidRDefault="00A22143" w:rsidP="00A22143">
      <w:pPr>
        <w:autoSpaceDE w:val="0"/>
        <w:autoSpaceDN w:val="0"/>
        <w:adjustRightInd w:val="0"/>
        <w:jc w:val="both"/>
        <w:rPr>
          <w:bCs/>
        </w:rPr>
      </w:pPr>
      <w:r w:rsidRPr="00C7380F">
        <w:rPr>
          <w:bCs/>
        </w:rPr>
        <w:t xml:space="preserve">0,5 – </w:t>
      </w:r>
      <w:proofErr w:type="gramStart"/>
      <w:r w:rsidRPr="00C7380F">
        <w:rPr>
          <w:bCs/>
        </w:rPr>
        <w:t>duas respostas</w:t>
      </w:r>
      <w:proofErr w:type="gramEnd"/>
      <w:r w:rsidRPr="00C7380F">
        <w:rPr>
          <w:bCs/>
        </w:rPr>
        <w:t xml:space="preserve"> sim</w:t>
      </w:r>
    </w:p>
    <w:p w14:paraId="297DAD58" w14:textId="77777777" w:rsidR="00A22143" w:rsidRPr="00C7380F" w:rsidRDefault="00A22143" w:rsidP="00A22143">
      <w:pPr>
        <w:autoSpaceDE w:val="0"/>
        <w:autoSpaceDN w:val="0"/>
        <w:adjustRightInd w:val="0"/>
        <w:jc w:val="both"/>
        <w:rPr>
          <w:bCs/>
        </w:rPr>
      </w:pPr>
      <w:r w:rsidRPr="00C7380F">
        <w:rPr>
          <w:bCs/>
        </w:rPr>
        <w:t xml:space="preserve">1,0 – </w:t>
      </w:r>
      <w:proofErr w:type="gramStart"/>
      <w:r w:rsidRPr="00C7380F">
        <w:rPr>
          <w:bCs/>
        </w:rPr>
        <w:t>três respostas</w:t>
      </w:r>
      <w:proofErr w:type="gramEnd"/>
      <w:r w:rsidRPr="00C7380F">
        <w:rPr>
          <w:bCs/>
        </w:rPr>
        <w:t xml:space="preserve"> sim</w:t>
      </w:r>
    </w:p>
    <w:p w14:paraId="556FD2C6" w14:textId="77777777" w:rsidR="00A22143" w:rsidRPr="00C7380F" w:rsidRDefault="00A22143" w:rsidP="00A22143">
      <w:pPr>
        <w:autoSpaceDE w:val="0"/>
        <w:autoSpaceDN w:val="0"/>
        <w:adjustRightInd w:val="0"/>
        <w:jc w:val="both"/>
        <w:rPr>
          <w:b/>
          <w:bCs/>
        </w:rPr>
      </w:pPr>
    </w:p>
    <w:p w14:paraId="3DF5CC8C" w14:textId="77777777" w:rsidR="00A22143" w:rsidRPr="00C7380F" w:rsidRDefault="00A22143" w:rsidP="00A22143">
      <w:pPr>
        <w:autoSpaceDE w:val="0"/>
        <w:autoSpaceDN w:val="0"/>
        <w:adjustRightInd w:val="0"/>
        <w:jc w:val="both"/>
        <w:rPr>
          <w:b/>
          <w:bCs/>
        </w:rPr>
      </w:pPr>
      <w:r w:rsidRPr="00C7380F">
        <w:rPr>
          <w:b/>
          <w:bCs/>
        </w:rPr>
        <w:t>L) O paciente consome duas ou mais porções diárias de frutas ou vegetais?</w:t>
      </w:r>
    </w:p>
    <w:p w14:paraId="19B4EFCD" w14:textId="77777777" w:rsidR="00A22143" w:rsidRPr="00C7380F" w:rsidRDefault="00A22143" w:rsidP="00A22143">
      <w:pPr>
        <w:autoSpaceDE w:val="0"/>
        <w:autoSpaceDN w:val="0"/>
        <w:adjustRightInd w:val="0"/>
        <w:jc w:val="both"/>
        <w:rPr>
          <w:b/>
          <w:bCs/>
        </w:rPr>
      </w:pPr>
    </w:p>
    <w:p w14:paraId="4D605640" w14:textId="77777777" w:rsidR="00A22143" w:rsidRPr="00C7380F" w:rsidRDefault="00A22143" w:rsidP="00A22143">
      <w:pPr>
        <w:autoSpaceDE w:val="0"/>
        <w:autoSpaceDN w:val="0"/>
        <w:adjustRightInd w:val="0"/>
        <w:jc w:val="both"/>
        <w:rPr>
          <w:bCs/>
        </w:rPr>
      </w:pPr>
      <w:r w:rsidRPr="00C7380F">
        <w:rPr>
          <w:bCs/>
        </w:rPr>
        <w:t xml:space="preserve">0 – </w:t>
      </w:r>
      <w:proofErr w:type="gramStart"/>
      <w:r w:rsidRPr="00C7380F">
        <w:rPr>
          <w:bCs/>
        </w:rPr>
        <w:t>sim</w:t>
      </w:r>
      <w:proofErr w:type="gramEnd"/>
    </w:p>
    <w:p w14:paraId="03D9B9BC" w14:textId="77777777" w:rsidR="00A22143" w:rsidRPr="00C7380F" w:rsidRDefault="00A22143" w:rsidP="00A22143">
      <w:pPr>
        <w:autoSpaceDE w:val="0"/>
        <w:autoSpaceDN w:val="0"/>
        <w:adjustRightInd w:val="0"/>
        <w:jc w:val="both"/>
        <w:rPr>
          <w:bCs/>
        </w:rPr>
      </w:pPr>
      <w:r w:rsidRPr="00C7380F">
        <w:rPr>
          <w:bCs/>
        </w:rPr>
        <w:t xml:space="preserve">1 – </w:t>
      </w:r>
      <w:proofErr w:type="gramStart"/>
      <w:r w:rsidRPr="00C7380F">
        <w:rPr>
          <w:bCs/>
        </w:rPr>
        <w:t>não</w:t>
      </w:r>
      <w:proofErr w:type="gramEnd"/>
    </w:p>
    <w:p w14:paraId="52B704AA" w14:textId="77777777" w:rsidR="00A22143" w:rsidRPr="00C7380F" w:rsidRDefault="00A22143" w:rsidP="00A22143">
      <w:pPr>
        <w:autoSpaceDE w:val="0"/>
        <w:autoSpaceDN w:val="0"/>
        <w:adjustRightInd w:val="0"/>
        <w:jc w:val="both"/>
        <w:rPr>
          <w:b/>
          <w:bCs/>
        </w:rPr>
      </w:pPr>
    </w:p>
    <w:p w14:paraId="523ABD68" w14:textId="77777777" w:rsidR="00A22143" w:rsidRPr="00C7380F" w:rsidRDefault="00A22143" w:rsidP="00A22143">
      <w:pPr>
        <w:autoSpaceDE w:val="0"/>
        <w:autoSpaceDN w:val="0"/>
        <w:adjustRightInd w:val="0"/>
        <w:jc w:val="both"/>
        <w:rPr>
          <w:b/>
          <w:bCs/>
        </w:rPr>
      </w:pPr>
      <w:r w:rsidRPr="00C7380F">
        <w:rPr>
          <w:b/>
          <w:bCs/>
        </w:rPr>
        <w:t>M) Quantos copos de líquidos (água, suco, café, chá, leite) o paciente consome</w:t>
      </w:r>
    </w:p>
    <w:p w14:paraId="32811BD8" w14:textId="77777777" w:rsidR="00A22143" w:rsidRPr="00C7380F" w:rsidRDefault="00A22143" w:rsidP="00A22143">
      <w:pPr>
        <w:autoSpaceDE w:val="0"/>
        <w:autoSpaceDN w:val="0"/>
        <w:adjustRightInd w:val="0"/>
        <w:jc w:val="both"/>
        <w:rPr>
          <w:b/>
          <w:bCs/>
        </w:rPr>
      </w:pPr>
      <w:r w:rsidRPr="00C7380F">
        <w:rPr>
          <w:b/>
          <w:bCs/>
        </w:rPr>
        <w:t>por dia?</w:t>
      </w:r>
    </w:p>
    <w:p w14:paraId="1E15F7E0" w14:textId="77777777" w:rsidR="00A22143" w:rsidRPr="00C7380F" w:rsidRDefault="00A22143" w:rsidP="00A22143">
      <w:pPr>
        <w:autoSpaceDE w:val="0"/>
        <w:autoSpaceDN w:val="0"/>
        <w:adjustRightInd w:val="0"/>
        <w:jc w:val="both"/>
        <w:rPr>
          <w:b/>
          <w:bCs/>
        </w:rPr>
      </w:pPr>
    </w:p>
    <w:p w14:paraId="4BD30E03" w14:textId="77777777" w:rsidR="00A22143" w:rsidRPr="00C7380F" w:rsidRDefault="00A22143" w:rsidP="00A22143">
      <w:pPr>
        <w:autoSpaceDE w:val="0"/>
        <w:autoSpaceDN w:val="0"/>
        <w:adjustRightInd w:val="0"/>
        <w:jc w:val="both"/>
        <w:rPr>
          <w:bCs/>
        </w:rPr>
      </w:pPr>
      <w:r w:rsidRPr="00C7380F">
        <w:rPr>
          <w:bCs/>
        </w:rPr>
        <w:t xml:space="preserve">0,0 – </w:t>
      </w:r>
      <w:proofErr w:type="gramStart"/>
      <w:r w:rsidRPr="00C7380F">
        <w:rPr>
          <w:bCs/>
        </w:rPr>
        <w:t>menos</w:t>
      </w:r>
      <w:proofErr w:type="gramEnd"/>
      <w:r w:rsidRPr="00C7380F">
        <w:rPr>
          <w:bCs/>
        </w:rPr>
        <w:t xml:space="preserve"> de três copos</w:t>
      </w:r>
    </w:p>
    <w:p w14:paraId="7ACD676C" w14:textId="77777777" w:rsidR="00A22143" w:rsidRPr="00C7380F" w:rsidRDefault="00A22143" w:rsidP="00A22143">
      <w:pPr>
        <w:autoSpaceDE w:val="0"/>
        <w:autoSpaceDN w:val="0"/>
        <w:adjustRightInd w:val="0"/>
        <w:jc w:val="both"/>
        <w:rPr>
          <w:bCs/>
        </w:rPr>
      </w:pPr>
      <w:r w:rsidRPr="00C7380F">
        <w:rPr>
          <w:bCs/>
        </w:rPr>
        <w:t xml:space="preserve">0,5 – </w:t>
      </w:r>
      <w:proofErr w:type="gramStart"/>
      <w:r w:rsidRPr="00C7380F">
        <w:rPr>
          <w:bCs/>
        </w:rPr>
        <w:t>três</w:t>
      </w:r>
      <w:proofErr w:type="gramEnd"/>
      <w:r w:rsidRPr="00C7380F">
        <w:rPr>
          <w:bCs/>
        </w:rPr>
        <w:t xml:space="preserve"> a cinco copos</w:t>
      </w:r>
    </w:p>
    <w:p w14:paraId="35058E60" w14:textId="77777777" w:rsidR="00A22143" w:rsidRPr="00C7380F" w:rsidRDefault="00A22143" w:rsidP="00A22143">
      <w:pPr>
        <w:autoSpaceDE w:val="0"/>
        <w:autoSpaceDN w:val="0"/>
        <w:adjustRightInd w:val="0"/>
        <w:jc w:val="both"/>
        <w:rPr>
          <w:bCs/>
        </w:rPr>
      </w:pPr>
      <w:r w:rsidRPr="00C7380F">
        <w:rPr>
          <w:bCs/>
        </w:rPr>
        <w:t xml:space="preserve">1,0 – </w:t>
      </w:r>
      <w:proofErr w:type="gramStart"/>
      <w:r w:rsidRPr="00C7380F">
        <w:rPr>
          <w:bCs/>
        </w:rPr>
        <w:t>mais de cinco copos</w:t>
      </w:r>
      <w:proofErr w:type="gramEnd"/>
    </w:p>
    <w:p w14:paraId="3133C155" w14:textId="77777777" w:rsidR="00A22143" w:rsidRPr="00C7380F" w:rsidRDefault="00A22143" w:rsidP="00A22143">
      <w:pPr>
        <w:autoSpaceDE w:val="0"/>
        <w:autoSpaceDN w:val="0"/>
        <w:adjustRightInd w:val="0"/>
        <w:jc w:val="both"/>
        <w:rPr>
          <w:b/>
          <w:bCs/>
        </w:rPr>
      </w:pPr>
    </w:p>
    <w:p w14:paraId="298CA628" w14:textId="77777777" w:rsidR="00A22143" w:rsidRPr="00C7380F" w:rsidRDefault="00A22143" w:rsidP="00A22143">
      <w:pPr>
        <w:autoSpaceDE w:val="0"/>
        <w:autoSpaceDN w:val="0"/>
        <w:adjustRightInd w:val="0"/>
        <w:jc w:val="both"/>
        <w:rPr>
          <w:b/>
          <w:bCs/>
        </w:rPr>
      </w:pPr>
      <w:r w:rsidRPr="00C7380F">
        <w:rPr>
          <w:b/>
          <w:bCs/>
        </w:rPr>
        <w:t>N) Modo de se alimentar</w:t>
      </w:r>
    </w:p>
    <w:p w14:paraId="13CF22ED" w14:textId="77777777" w:rsidR="00A22143" w:rsidRPr="00C7380F" w:rsidRDefault="00A22143" w:rsidP="00A22143">
      <w:pPr>
        <w:autoSpaceDE w:val="0"/>
        <w:autoSpaceDN w:val="0"/>
        <w:adjustRightInd w:val="0"/>
        <w:jc w:val="both"/>
        <w:rPr>
          <w:b/>
          <w:bCs/>
        </w:rPr>
      </w:pPr>
    </w:p>
    <w:p w14:paraId="0C7BA223" w14:textId="77777777" w:rsidR="00A22143" w:rsidRPr="00C7380F" w:rsidRDefault="00A22143" w:rsidP="00A22143">
      <w:pPr>
        <w:autoSpaceDE w:val="0"/>
        <w:autoSpaceDN w:val="0"/>
        <w:adjustRightInd w:val="0"/>
        <w:jc w:val="both"/>
        <w:rPr>
          <w:bCs/>
        </w:rPr>
      </w:pPr>
      <w:r w:rsidRPr="00C7380F">
        <w:rPr>
          <w:bCs/>
        </w:rPr>
        <w:t xml:space="preserve">0 – </w:t>
      </w:r>
      <w:proofErr w:type="gramStart"/>
      <w:r w:rsidRPr="00C7380F">
        <w:rPr>
          <w:bCs/>
        </w:rPr>
        <w:t>não</w:t>
      </w:r>
      <w:proofErr w:type="gramEnd"/>
      <w:r w:rsidRPr="00C7380F">
        <w:rPr>
          <w:bCs/>
        </w:rPr>
        <w:t xml:space="preserve"> consegue se alimentar sozinho</w:t>
      </w:r>
    </w:p>
    <w:p w14:paraId="7E07C97D" w14:textId="77777777" w:rsidR="00A22143" w:rsidRPr="00C7380F" w:rsidRDefault="00A22143" w:rsidP="00A22143">
      <w:pPr>
        <w:autoSpaceDE w:val="0"/>
        <w:autoSpaceDN w:val="0"/>
        <w:adjustRightInd w:val="0"/>
        <w:jc w:val="both"/>
        <w:rPr>
          <w:bCs/>
        </w:rPr>
      </w:pPr>
      <w:r w:rsidRPr="00C7380F">
        <w:rPr>
          <w:bCs/>
        </w:rPr>
        <w:lastRenderedPageBreak/>
        <w:t xml:space="preserve">1 – </w:t>
      </w:r>
      <w:proofErr w:type="gramStart"/>
      <w:r w:rsidRPr="00C7380F">
        <w:rPr>
          <w:bCs/>
        </w:rPr>
        <w:t>alimenta-se</w:t>
      </w:r>
      <w:proofErr w:type="gramEnd"/>
      <w:r w:rsidRPr="00C7380F">
        <w:rPr>
          <w:bCs/>
        </w:rPr>
        <w:t xml:space="preserve"> sozinho, porém com dificuldade</w:t>
      </w:r>
    </w:p>
    <w:p w14:paraId="0BC9CA22" w14:textId="77777777" w:rsidR="00A22143" w:rsidRPr="00C7380F" w:rsidRDefault="00A22143" w:rsidP="00A22143">
      <w:pPr>
        <w:autoSpaceDE w:val="0"/>
        <w:autoSpaceDN w:val="0"/>
        <w:adjustRightInd w:val="0"/>
        <w:jc w:val="both"/>
        <w:rPr>
          <w:bCs/>
        </w:rPr>
      </w:pPr>
      <w:r w:rsidRPr="00C7380F">
        <w:rPr>
          <w:bCs/>
        </w:rPr>
        <w:t xml:space="preserve">2 – </w:t>
      </w:r>
      <w:proofErr w:type="gramStart"/>
      <w:r w:rsidRPr="00C7380F">
        <w:rPr>
          <w:bCs/>
        </w:rPr>
        <w:t>alimenta-se</w:t>
      </w:r>
      <w:proofErr w:type="gramEnd"/>
      <w:r w:rsidRPr="00C7380F">
        <w:rPr>
          <w:bCs/>
        </w:rPr>
        <w:t xml:space="preserve"> sozinho sem dificuldade</w:t>
      </w:r>
    </w:p>
    <w:p w14:paraId="575C286E" w14:textId="77777777" w:rsidR="00A22143" w:rsidRPr="00C7380F" w:rsidRDefault="00A22143" w:rsidP="00A22143">
      <w:pPr>
        <w:autoSpaceDE w:val="0"/>
        <w:autoSpaceDN w:val="0"/>
        <w:adjustRightInd w:val="0"/>
        <w:jc w:val="both"/>
        <w:rPr>
          <w:b/>
          <w:bCs/>
        </w:rPr>
      </w:pPr>
    </w:p>
    <w:p w14:paraId="0587F901" w14:textId="77777777" w:rsidR="00A22143" w:rsidRPr="00C7380F" w:rsidRDefault="00A22143" w:rsidP="00A22143">
      <w:pPr>
        <w:autoSpaceDE w:val="0"/>
        <w:autoSpaceDN w:val="0"/>
        <w:adjustRightInd w:val="0"/>
        <w:jc w:val="both"/>
        <w:rPr>
          <w:b/>
          <w:bCs/>
        </w:rPr>
      </w:pPr>
      <w:r w:rsidRPr="00C7380F">
        <w:rPr>
          <w:b/>
          <w:bCs/>
        </w:rPr>
        <w:t>O) O paciente acredita ter algum problema nutricional?</w:t>
      </w:r>
    </w:p>
    <w:p w14:paraId="4C684433" w14:textId="77777777" w:rsidR="00A22143" w:rsidRPr="00C7380F" w:rsidRDefault="00A22143" w:rsidP="00A22143">
      <w:pPr>
        <w:autoSpaceDE w:val="0"/>
        <w:autoSpaceDN w:val="0"/>
        <w:adjustRightInd w:val="0"/>
        <w:jc w:val="both"/>
        <w:rPr>
          <w:bCs/>
        </w:rPr>
      </w:pPr>
      <w:r w:rsidRPr="00C7380F">
        <w:rPr>
          <w:bCs/>
        </w:rPr>
        <w:t xml:space="preserve">0 – </w:t>
      </w:r>
      <w:proofErr w:type="gramStart"/>
      <w:r w:rsidRPr="00C7380F">
        <w:rPr>
          <w:bCs/>
        </w:rPr>
        <w:t>acredita</w:t>
      </w:r>
      <w:proofErr w:type="gramEnd"/>
      <w:r w:rsidRPr="00C7380F">
        <w:rPr>
          <w:bCs/>
        </w:rPr>
        <w:t xml:space="preserve"> estar desnutrido</w:t>
      </w:r>
    </w:p>
    <w:p w14:paraId="570D3224" w14:textId="77777777" w:rsidR="00A22143" w:rsidRPr="00C7380F" w:rsidRDefault="00A22143" w:rsidP="00A22143">
      <w:pPr>
        <w:autoSpaceDE w:val="0"/>
        <w:autoSpaceDN w:val="0"/>
        <w:adjustRightInd w:val="0"/>
        <w:jc w:val="both"/>
        <w:rPr>
          <w:bCs/>
        </w:rPr>
      </w:pPr>
      <w:r w:rsidRPr="00C7380F">
        <w:rPr>
          <w:bCs/>
        </w:rPr>
        <w:t xml:space="preserve">1 – </w:t>
      </w:r>
      <w:proofErr w:type="gramStart"/>
      <w:r w:rsidRPr="00C7380F">
        <w:rPr>
          <w:bCs/>
        </w:rPr>
        <w:t>não</w:t>
      </w:r>
      <w:proofErr w:type="gramEnd"/>
      <w:r w:rsidRPr="00C7380F">
        <w:rPr>
          <w:bCs/>
        </w:rPr>
        <w:t xml:space="preserve"> sabe dizer</w:t>
      </w:r>
    </w:p>
    <w:p w14:paraId="30497236" w14:textId="77777777" w:rsidR="00A22143" w:rsidRPr="00C7380F" w:rsidRDefault="00A22143" w:rsidP="00A22143">
      <w:pPr>
        <w:autoSpaceDE w:val="0"/>
        <w:autoSpaceDN w:val="0"/>
        <w:adjustRightInd w:val="0"/>
        <w:jc w:val="both"/>
        <w:rPr>
          <w:bCs/>
        </w:rPr>
      </w:pPr>
      <w:r w:rsidRPr="00C7380F">
        <w:rPr>
          <w:bCs/>
        </w:rPr>
        <w:t xml:space="preserve">2 – </w:t>
      </w:r>
      <w:proofErr w:type="gramStart"/>
      <w:r w:rsidRPr="00C7380F">
        <w:rPr>
          <w:bCs/>
        </w:rPr>
        <w:t>acredita</w:t>
      </w:r>
      <w:proofErr w:type="gramEnd"/>
      <w:r w:rsidRPr="00C7380F">
        <w:rPr>
          <w:bCs/>
        </w:rPr>
        <w:t xml:space="preserve"> não ter problema nutricional</w:t>
      </w:r>
    </w:p>
    <w:p w14:paraId="0CAF4103" w14:textId="77777777" w:rsidR="00A22143" w:rsidRPr="00C7380F" w:rsidRDefault="00A22143" w:rsidP="00A22143">
      <w:pPr>
        <w:autoSpaceDE w:val="0"/>
        <w:autoSpaceDN w:val="0"/>
        <w:adjustRightInd w:val="0"/>
        <w:jc w:val="both"/>
        <w:rPr>
          <w:b/>
          <w:bCs/>
        </w:rPr>
      </w:pPr>
    </w:p>
    <w:p w14:paraId="3A5DB6D4" w14:textId="77777777" w:rsidR="00A22143" w:rsidRPr="00C7380F" w:rsidRDefault="00A22143" w:rsidP="00A22143">
      <w:pPr>
        <w:autoSpaceDE w:val="0"/>
        <w:autoSpaceDN w:val="0"/>
        <w:adjustRightInd w:val="0"/>
        <w:jc w:val="both"/>
        <w:rPr>
          <w:b/>
          <w:bCs/>
        </w:rPr>
      </w:pPr>
      <w:r w:rsidRPr="00C7380F">
        <w:rPr>
          <w:b/>
          <w:bCs/>
        </w:rPr>
        <w:t>P) Em comparação a outras pessoas da mesma idade, como o paciente considera sua própria saúde?</w:t>
      </w:r>
    </w:p>
    <w:p w14:paraId="383BB955" w14:textId="77777777" w:rsidR="00A22143" w:rsidRPr="00C7380F" w:rsidRDefault="00A22143" w:rsidP="00A22143">
      <w:pPr>
        <w:autoSpaceDE w:val="0"/>
        <w:autoSpaceDN w:val="0"/>
        <w:adjustRightInd w:val="0"/>
        <w:jc w:val="both"/>
        <w:rPr>
          <w:b/>
          <w:bCs/>
        </w:rPr>
      </w:pPr>
    </w:p>
    <w:p w14:paraId="6641D54F" w14:textId="77777777" w:rsidR="00A22143" w:rsidRPr="00C7380F" w:rsidRDefault="00A22143" w:rsidP="00A22143">
      <w:pPr>
        <w:autoSpaceDE w:val="0"/>
        <w:autoSpaceDN w:val="0"/>
        <w:adjustRightInd w:val="0"/>
        <w:jc w:val="both"/>
        <w:rPr>
          <w:bCs/>
        </w:rPr>
      </w:pPr>
      <w:r w:rsidRPr="00C7380F">
        <w:rPr>
          <w:bCs/>
        </w:rPr>
        <w:t xml:space="preserve">0,0 – </w:t>
      </w:r>
      <w:proofErr w:type="gramStart"/>
      <w:r w:rsidRPr="00C7380F">
        <w:rPr>
          <w:bCs/>
        </w:rPr>
        <w:t>não</w:t>
      </w:r>
      <w:proofErr w:type="gramEnd"/>
      <w:r w:rsidRPr="00C7380F">
        <w:rPr>
          <w:bCs/>
        </w:rPr>
        <w:t xml:space="preserve"> muito boa</w:t>
      </w:r>
    </w:p>
    <w:p w14:paraId="06A112F7" w14:textId="77777777" w:rsidR="00A22143" w:rsidRPr="00C7380F" w:rsidRDefault="00A22143" w:rsidP="00A22143">
      <w:pPr>
        <w:autoSpaceDE w:val="0"/>
        <w:autoSpaceDN w:val="0"/>
        <w:adjustRightInd w:val="0"/>
        <w:jc w:val="both"/>
        <w:rPr>
          <w:bCs/>
        </w:rPr>
      </w:pPr>
      <w:r w:rsidRPr="00C7380F">
        <w:rPr>
          <w:bCs/>
        </w:rPr>
        <w:t xml:space="preserve">0,5 – </w:t>
      </w:r>
      <w:proofErr w:type="gramStart"/>
      <w:r w:rsidRPr="00C7380F">
        <w:rPr>
          <w:bCs/>
        </w:rPr>
        <w:t>não</w:t>
      </w:r>
      <w:proofErr w:type="gramEnd"/>
      <w:r w:rsidRPr="00C7380F">
        <w:rPr>
          <w:bCs/>
        </w:rPr>
        <w:t xml:space="preserve"> sabe informar</w:t>
      </w:r>
    </w:p>
    <w:p w14:paraId="6C614A58" w14:textId="77777777" w:rsidR="00A22143" w:rsidRPr="00C7380F" w:rsidRDefault="00A22143" w:rsidP="00A22143">
      <w:pPr>
        <w:autoSpaceDE w:val="0"/>
        <w:autoSpaceDN w:val="0"/>
        <w:adjustRightInd w:val="0"/>
        <w:jc w:val="both"/>
        <w:rPr>
          <w:bCs/>
        </w:rPr>
      </w:pPr>
      <w:r w:rsidRPr="00C7380F">
        <w:rPr>
          <w:bCs/>
        </w:rPr>
        <w:t xml:space="preserve">1,0 – </w:t>
      </w:r>
      <w:proofErr w:type="gramStart"/>
      <w:r w:rsidRPr="00C7380F">
        <w:rPr>
          <w:bCs/>
        </w:rPr>
        <w:t>boa</w:t>
      </w:r>
      <w:proofErr w:type="gramEnd"/>
    </w:p>
    <w:p w14:paraId="6B6E1025" w14:textId="77777777" w:rsidR="00A22143" w:rsidRPr="00C7380F" w:rsidRDefault="00A22143" w:rsidP="00A22143">
      <w:pPr>
        <w:autoSpaceDE w:val="0"/>
        <w:autoSpaceDN w:val="0"/>
        <w:adjustRightInd w:val="0"/>
        <w:jc w:val="both"/>
        <w:rPr>
          <w:bCs/>
        </w:rPr>
      </w:pPr>
      <w:r w:rsidRPr="00C7380F">
        <w:rPr>
          <w:bCs/>
        </w:rPr>
        <w:t xml:space="preserve">2,0 – </w:t>
      </w:r>
      <w:proofErr w:type="gramStart"/>
      <w:r w:rsidRPr="00C7380F">
        <w:rPr>
          <w:bCs/>
        </w:rPr>
        <w:t>melhor</w:t>
      </w:r>
      <w:proofErr w:type="gramEnd"/>
    </w:p>
    <w:p w14:paraId="786E5725" w14:textId="77777777" w:rsidR="00A22143" w:rsidRPr="00C7380F" w:rsidRDefault="00A22143" w:rsidP="00A22143">
      <w:pPr>
        <w:autoSpaceDE w:val="0"/>
        <w:autoSpaceDN w:val="0"/>
        <w:adjustRightInd w:val="0"/>
        <w:jc w:val="both"/>
        <w:rPr>
          <w:bCs/>
        </w:rPr>
      </w:pPr>
    </w:p>
    <w:p w14:paraId="3C122273" w14:textId="77777777" w:rsidR="00A22143" w:rsidRPr="00C7380F" w:rsidRDefault="00A22143" w:rsidP="00A22143">
      <w:pPr>
        <w:autoSpaceDE w:val="0"/>
        <w:autoSpaceDN w:val="0"/>
        <w:adjustRightInd w:val="0"/>
        <w:jc w:val="both"/>
        <w:rPr>
          <w:b/>
          <w:bCs/>
        </w:rPr>
      </w:pPr>
      <w:r w:rsidRPr="00C7380F">
        <w:rPr>
          <w:b/>
          <w:bCs/>
        </w:rPr>
        <w:t>Q) Circunferência do braço (CB) em cm</w:t>
      </w:r>
    </w:p>
    <w:p w14:paraId="1EC060EF" w14:textId="77777777" w:rsidR="00A22143" w:rsidRPr="00C7380F" w:rsidRDefault="00A22143" w:rsidP="00A22143">
      <w:pPr>
        <w:autoSpaceDE w:val="0"/>
        <w:autoSpaceDN w:val="0"/>
        <w:adjustRightInd w:val="0"/>
        <w:jc w:val="both"/>
        <w:rPr>
          <w:b/>
          <w:bCs/>
        </w:rPr>
      </w:pPr>
    </w:p>
    <w:p w14:paraId="55536B6B" w14:textId="77777777" w:rsidR="00A22143" w:rsidRPr="00C7380F" w:rsidRDefault="00A22143" w:rsidP="00A22143">
      <w:pPr>
        <w:autoSpaceDE w:val="0"/>
        <w:autoSpaceDN w:val="0"/>
        <w:adjustRightInd w:val="0"/>
        <w:jc w:val="both"/>
        <w:rPr>
          <w:bCs/>
        </w:rPr>
      </w:pPr>
      <w:r w:rsidRPr="00C7380F">
        <w:rPr>
          <w:bCs/>
        </w:rPr>
        <w:t>0,0 – CB &lt; 21</w:t>
      </w:r>
    </w:p>
    <w:p w14:paraId="7C4CC35B" w14:textId="77777777" w:rsidR="00A22143" w:rsidRPr="00C7380F" w:rsidRDefault="00A22143" w:rsidP="00A22143">
      <w:pPr>
        <w:autoSpaceDE w:val="0"/>
        <w:autoSpaceDN w:val="0"/>
        <w:adjustRightInd w:val="0"/>
        <w:jc w:val="both"/>
        <w:rPr>
          <w:bCs/>
        </w:rPr>
      </w:pPr>
      <w:r w:rsidRPr="00C7380F">
        <w:rPr>
          <w:bCs/>
        </w:rPr>
        <w:t xml:space="preserve">0,5 – 21 </w:t>
      </w:r>
      <w:r w:rsidRPr="00C7380F">
        <w:rPr>
          <w:rFonts w:eastAsia="SymbolMT"/>
        </w:rPr>
        <w:t>≤</w:t>
      </w:r>
      <w:r w:rsidRPr="00C7380F">
        <w:rPr>
          <w:bCs/>
        </w:rPr>
        <w:t xml:space="preserve">CB </w:t>
      </w:r>
      <w:r w:rsidRPr="00C7380F">
        <w:rPr>
          <w:rFonts w:eastAsia="SymbolMT"/>
        </w:rPr>
        <w:t>≤</w:t>
      </w:r>
      <w:r w:rsidRPr="00C7380F">
        <w:rPr>
          <w:bCs/>
        </w:rPr>
        <w:t>22</w:t>
      </w:r>
    </w:p>
    <w:p w14:paraId="27EF71F2" w14:textId="77777777" w:rsidR="00A22143" w:rsidRPr="00C7380F" w:rsidRDefault="00A22143" w:rsidP="00A22143">
      <w:pPr>
        <w:jc w:val="both"/>
        <w:rPr>
          <w:bCs/>
        </w:rPr>
      </w:pPr>
      <w:r w:rsidRPr="00C7380F">
        <w:rPr>
          <w:bCs/>
        </w:rPr>
        <w:t>1,0 – CB &gt; 22</w:t>
      </w:r>
    </w:p>
    <w:p w14:paraId="27F31C5E" w14:textId="77777777" w:rsidR="00A22143" w:rsidRPr="00C7380F" w:rsidRDefault="00A22143" w:rsidP="00A22143">
      <w:pPr>
        <w:autoSpaceDE w:val="0"/>
        <w:autoSpaceDN w:val="0"/>
        <w:adjustRightInd w:val="0"/>
        <w:jc w:val="both"/>
        <w:rPr>
          <w:b/>
          <w:bCs/>
        </w:rPr>
      </w:pPr>
    </w:p>
    <w:p w14:paraId="3494189E" w14:textId="77777777" w:rsidR="00A22143" w:rsidRPr="00C7380F" w:rsidRDefault="00A22143" w:rsidP="00A22143">
      <w:pPr>
        <w:autoSpaceDE w:val="0"/>
        <w:autoSpaceDN w:val="0"/>
        <w:adjustRightInd w:val="0"/>
        <w:jc w:val="both"/>
        <w:rPr>
          <w:b/>
          <w:bCs/>
        </w:rPr>
      </w:pPr>
      <w:r w:rsidRPr="00C7380F">
        <w:rPr>
          <w:b/>
          <w:bCs/>
        </w:rPr>
        <w:t>R) Circunferência da panturrilha (CP) em cm</w:t>
      </w:r>
    </w:p>
    <w:p w14:paraId="30813067" w14:textId="77777777" w:rsidR="00A22143" w:rsidRPr="00C7380F" w:rsidRDefault="00A22143" w:rsidP="00A22143">
      <w:pPr>
        <w:autoSpaceDE w:val="0"/>
        <w:autoSpaceDN w:val="0"/>
        <w:adjustRightInd w:val="0"/>
        <w:jc w:val="both"/>
        <w:rPr>
          <w:bCs/>
        </w:rPr>
      </w:pPr>
    </w:p>
    <w:p w14:paraId="672AB270" w14:textId="77777777" w:rsidR="00A22143" w:rsidRPr="00C7380F" w:rsidRDefault="00A22143" w:rsidP="00A22143">
      <w:pPr>
        <w:autoSpaceDE w:val="0"/>
        <w:autoSpaceDN w:val="0"/>
        <w:adjustRightInd w:val="0"/>
        <w:jc w:val="both"/>
        <w:rPr>
          <w:bCs/>
        </w:rPr>
      </w:pPr>
      <w:r w:rsidRPr="00C7380F">
        <w:rPr>
          <w:bCs/>
        </w:rPr>
        <w:t>0 – CP &lt; 31</w:t>
      </w:r>
    </w:p>
    <w:p w14:paraId="6C0C566A" w14:textId="77777777" w:rsidR="00A22143" w:rsidRPr="00C7380F" w:rsidRDefault="00A22143" w:rsidP="00A22143">
      <w:pPr>
        <w:autoSpaceDE w:val="0"/>
        <w:autoSpaceDN w:val="0"/>
        <w:adjustRightInd w:val="0"/>
        <w:jc w:val="both"/>
        <w:rPr>
          <w:bCs/>
        </w:rPr>
      </w:pPr>
      <w:r w:rsidRPr="00C7380F">
        <w:rPr>
          <w:bCs/>
        </w:rPr>
        <w:t xml:space="preserve">1 – CP </w:t>
      </w:r>
      <w:r w:rsidRPr="00C7380F">
        <w:rPr>
          <w:rFonts w:eastAsia="SymbolMT"/>
        </w:rPr>
        <w:t>≥</w:t>
      </w:r>
      <w:r w:rsidRPr="00C7380F">
        <w:rPr>
          <w:bCs/>
        </w:rPr>
        <w:t>31</w:t>
      </w:r>
    </w:p>
    <w:p w14:paraId="305C17A5" w14:textId="77777777" w:rsidR="00A22143" w:rsidRPr="00C7380F" w:rsidRDefault="00A22143" w:rsidP="00A22143">
      <w:pPr>
        <w:autoSpaceDE w:val="0"/>
        <w:autoSpaceDN w:val="0"/>
        <w:adjustRightInd w:val="0"/>
        <w:jc w:val="both"/>
        <w:rPr>
          <w:b/>
          <w:bCs/>
        </w:rPr>
      </w:pPr>
    </w:p>
    <w:p w14:paraId="5803E796" w14:textId="77777777" w:rsidR="00A22143" w:rsidRPr="00C7380F" w:rsidRDefault="00A22143" w:rsidP="00A22143">
      <w:pPr>
        <w:autoSpaceDE w:val="0"/>
        <w:autoSpaceDN w:val="0"/>
        <w:adjustRightInd w:val="0"/>
        <w:jc w:val="both"/>
        <w:rPr>
          <w:b/>
          <w:bCs/>
        </w:rPr>
      </w:pPr>
      <w:r w:rsidRPr="00C7380F">
        <w:rPr>
          <w:b/>
          <w:bCs/>
        </w:rPr>
        <w:t>Avaliação global (máximo 16 pontos) = _____</w:t>
      </w:r>
    </w:p>
    <w:p w14:paraId="28D84CBF" w14:textId="77777777" w:rsidR="00A22143" w:rsidRPr="00C7380F" w:rsidRDefault="00A22143" w:rsidP="00A22143">
      <w:pPr>
        <w:autoSpaceDE w:val="0"/>
        <w:autoSpaceDN w:val="0"/>
        <w:adjustRightInd w:val="0"/>
        <w:jc w:val="both"/>
        <w:rPr>
          <w:b/>
          <w:bCs/>
        </w:rPr>
      </w:pPr>
      <w:r w:rsidRPr="00C7380F">
        <w:rPr>
          <w:b/>
          <w:bCs/>
        </w:rPr>
        <w:t>Escore de triagem = _____</w:t>
      </w:r>
    </w:p>
    <w:p w14:paraId="0D04FA68" w14:textId="77777777" w:rsidR="00A22143" w:rsidRPr="00C7380F" w:rsidRDefault="00A22143" w:rsidP="00A22143">
      <w:pPr>
        <w:autoSpaceDE w:val="0"/>
        <w:autoSpaceDN w:val="0"/>
        <w:adjustRightInd w:val="0"/>
        <w:jc w:val="both"/>
        <w:rPr>
          <w:b/>
          <w:bCs/>
        </w:rPr>
      </w:pPr>
      <w:r w:rsidRPr="00C7380F">
        <w:rPr>
          <w:b/>
          <w:bCs/>
        </w:rPr>
        <w:t>ESCORE TOTAL (máximo 30 pontos) = _____</w:t>
      </w:r>
    </w:p>
    <w:p w14:paraId="1307120B" w14:textId="77777777" w:rsidR="00A22143" w:rsidRPr="00C7380F" w:rsidRDefault="00A22143" w:rsidP="00A22143">
      <w:pPr>
        <w:autoSpaceDE w:val="0"/>
        <w:autoSpaceDN w:val="0"/>
        <w:adjustRightInd w:val="0"/>
        <w:jc w:val="both"/>
        <w:rPr>
          <w:b/>
          <w:bCs/>
        </w:rPr>
      </w:pPr>
    </w:p>
    <w:p w14:paraId="114BF48F" w14:textId="77777777" w:rsidR="00A22143" w:rsidRPr="00C7380F" w:rsidRDefault="00A22143" w:rsidP="00A22143">
      <w:pPr>
        <w:autoSpaceDE w:val="0"/>
        <w:autoSpaceDN w:val="0"/>
        <w:adjustRightInd w:val="0"/>
        <w:jc w:val="both"/>
        <w:rPr>
          <w:b/>
          <w:bCs/>
        </w:rPr>
      </w:pPr>
      <w:r w:rsidRPr="00C7380F">
        <w:rPr>
          <w:b/>
          <w:bCs/>
        </w:rPr>
        <w:t>AVALIAÇÃO DO ESTADO NUTRICIONAL</w:t>
      </w:r>
    </w:p>
    <w:p w14:paraId="29F1CD25" w14:textId="77777777" w:rsidR="00A22143" w:rsidRPr="00C7380F" w:rsidRDefault="00A22143" w:rsidP="00A22143">
      <w:pPr>
        <w:autoSpaceDE w:val="0"/>
        <w:autoSpaceDN w:val="0"/>
        <w:adjustRightInd w:val="0"/>
        <w:jc w:val="both"/>
        <w:rPr>
          <w:bCs/>
        </w:rPr>
      </w:pPr>
      <w:r w:rsidRPr="00C7380F">
        <w:rPr>
          <w:bCs/>
        </w:rPr>
        <w:t xml:space="preserve">De 17 a 23,5 pontos – </w:t>
      </w:r>
      <w:r w:rsidRPr="00C7380F">
        <w:rPr>
          <w:b/>
          <w:bCs/>
        </w:rPr>
        <w:t>Risco de desnutrição</w:t>
      </w:r>
    </w:p>
    <w:p w14:paraId="3C57CAF3" w14:textId="77777777" w:rsidR="00A22143" w:rsidRPr="00C7380F" w:rsidRDefault="00A22143" w:rsidP="00A22143">
      <w:pPr>
        <w:jc w:val="both"/>
        <w:rPr>
          <w:bCs/>
        </w:rPr>
      </w:pPr>
      <w:r w:rsidRPr="00C7380F">
        <w:rPr>
          <w:bCs/>
        </w:rPr>
        <w:t xml:space="preserve">Menos de 17 pontos – </w:t>
      </w:r>
      <w:r w:rsidRPr="00C7380F">
        <w:rPr>
          <w:b/>
          <w:bCs/>
        </w:rPr>
        <w:t>Desnutrido</w:t>
      </w:r>
    </w:p>
    <w:p w14:paraId="0F11A333" w14:textId="77777777" w:rsidR="00A22143" w:rsidRDefault="00A22143" w:rsidP="00A22143">
      <w:pPr>
        <w:jc w:val="center"/>
        <w:rPr>
          <w:b/>
        </w:rPr>
      </w:pPr>
      <w:r w:rsidRPr="00C7380F">
        <w:rPr>
          <w:b/>
        </w:rPr>
        <w:t xml:space="preserve"> </w:t>
      </w:r>
    </w:p>
    <w:p w14:paraId="32AE839D" w14:textId="77777777" w:rsidR="00A22143" w:rsidRDefault="00A22143" w:rsidP="00A22143"/>
    <w:p w14:paraId="37022FB8" w14:textId="77777777" w:rsidR="00A22143" w:rsidRDefault="00A22143" w:rsidP="00F4403B">
      <w:pPr>
        <w:rPr>
          <w:b/>
          <w:lang w:eastAsia="en-US"/>
        </w:rPr>
      </w:pPr>
    </w:p>
    <w:p w14:paraId="69ED69A7" w14:textId="77777777" w:rsidR="00A22143" w:rsidRDefault="00A22143" w:rsidP="00F4403B">
      <w:pPr>
        <w:rPr>
          <w:b/>
          <w:lang w:eastAsia="en-US"/>
        </w:rPr>
      </w:pPr>
    </w:p>
    <w:p w14:paraId="53FB1444" w14:textId="77777777" w:rsidR="00A22143" w:rsidRDefault="00A22143" w:rsidP="00F4403B">
      <w:pPr>
        <w:rPr>
          <w:b/>
          <w:lang w:eastAsia="en-US"/>
        </w:rPr>
      </w:pPr>
    </w:p>
    <w:p w14:paraId="6245646B" w14:textId="77777777" w:rsidR="00A22143" w:rsidRDefault="00A22143" w:rsidP="00F4403B">
      <w:pPr>
        <w:rPr>
          <w:b/>
          <w:lang w:eastAsia="en-US"/>
        </w:rPr>
      </w:pPr>
    </w:p>
    <w:p w14:paraId="1B2A5668" w14:textId="77777777" w:rsidR="00A22143" w:rsidRDefault="00A22143" w:rsidP="00F4403B">
      <w:pPr>
        <w:rPr>
          <w:b/>
          <w:lang w:eastAsia="en-US"/>
        </w:rPr>
      </w:pPr>
    </w:p>
    <w:p w14:paraId="42419F16" w14:textId="77777777" w:rsidR="00A22143" w:rsidRDefault="00A22143" w:rsidP="00F4403B">
      <w:pPr>
        <w:rPr>
          <w:b/>
          <w:lang w:eastAsia="en-US"/>
        </w:rPr>
      </w:pPr>
    </w:p>
    <w:p w14:paraId="6A80D785" w14:textId="77777777" w:rsidR="00A22143" w:rsidRDefault="00A22143" w:rsidP="00F4403B">
      <w:pPr>
        <w:rPr>
          <w:b/>
          <w:lang w:eastAsia="en-US"/>
        </w:rPr>
      </w:pPr>
    </w:p>
    <w:p w14:paraId="6BD902EC" w14:textId="77777777" w:rsidR="00A22143" w:rsidRDefault="00A22143" w:rsidP="00F4403B">
      <w:pPr>
        <w:rPr>
          <w:b/>
          <w:lang w:eastAsia="en-US"/>
        </w:rPr>
      </w:pPr>
    </w:p>
    <w:p w14:paraId="7F52105E" w14:textId="77777777" w:rsidR="00A22143" w:rsidRDefault="00A22143" w:rsidP="00F4403B">
      <w:pPr>
        <w:rPr>
          <w:b/>
          <w:lang w:eastAsia="en-US"/>
        </w:rPr>
      </w:pPr>
    </w:p>
    <w:p w14:paraId="0A4AD113" w14:textId="77777777" w:rsidR="00A22143" w:rsidRDefault="00A22143" w:rsidP="00F4403B">
      <w:pPr>
        <w:rPr>
          <w:b/>
          <w:lang w:eastAsia="en-US"/>
        </w:rPr>
      </w:pPr>
    </w:p>
    <w:p w14:paraId="7343812B" w14:textId="77777777" w:rsidR="00A22143" w:rsidRDefault="00A22143" w:rsidP="00F4403B">
      <w:pPr>
        <w:rPr>
          <w:b/>
          <w:lang w:eastAsia="en-US"/>
        </w:rPr>
      </w:pPr>
    </w:p>
    <w:p w14:paraId="7FBF4275" w14:textId="77777777" w:rsidR="00A22143" w:rsidRDefault="00A22143" w:rsidP="00F4403B">
      <w:pPr>
        <w:rPr>
          <w:b/>
          <w:lang w:eastAsia="en-US"/>
        </w:rPr>
      </w:pPr>
    </w:p>
    <w:p w14:paraId="3EACD870" w14:textId="77777777" w:rsidR="00215564" w:rsidRDefault="00215564" w:rsidP="00F4403B">
      <w:pPr>
        <w:rPr>
          <w:b/>
          <w:lang w:eastAsia="en-US"/>
        </w:rPr>
      </w:pPr>
    </w:p>
    <w:p w14:paraId="67657BD0" w14:textId="77777777" w:rsidR="00A22143" w:rsidRDefault="00A22143" w:rsidP="00F4403B">
      <w:pPr>
        <w:rPr>
          <w:b/>
          <w:lang w:eastAsia="en-US"/>
        </w:rPr>
      </w:pPr>
    </w:p>
    <w:p w14:paraId="040B7257" w14:textId="4A23C4E0" w:rsidR="00A37AE3" w:rsidRDefault="00A37AE3" w:rsidP="00A37AE3">
      <w:pPr>
        <w:jc w:val="center"/>
        <w:rPr>
          <w:b/>
          <w:lang w:eastAsia="en-US"/>
        </w:rPr>
      </w:pPr>
      <w:r>
        <w:rPr>
          <w:b/>
          <w:lang w:eastAsia="en-US"/>
        </w:rPr>
        <w:lastRenderedPageBreak/>
        <w:t>ANEXOS</w:t>
      </w:r>
    </w:p>
    <w:p w14:paraId="462E1626" w14:textId="77777777" w:rsidR="00A37AE3" w:rsidRDefault="00A37AE3" w:rsidP="00F4403B">
      <w:pPr>
        <w:rPr>
          <w:b/>
          <w:lang w:eastAsia="en-US"/>
        </w:rPr>
      </w:pPr>
    </w:p>
    <w:p w14:paraId="71147F87" w14:textId="77777777" w:rsidR="00A37AE3" w:rsidRDefault="00A37AE3" w:rsidP="00F4403B">
      <w:pPr>
        <w:rPr>
          <w:b/>
          <w:lang w:eastAsia="en-US"/>
        </w:rPr>
      </w:pPr>
    </w:p>
    <w:p w14:paraId="3A6D4213" w14:textId="77777777" w:rsidR="00A37AE3" w:rsidRDefault="00A37AE3" w:rsidP="00F4403B">
      <w:pPr>
        <w:rPr>
          <w:b/>
          <w:lang w:eastAsia="en-US"/>
        </w:rPr>
      </w:pPr>
    </w:p>
    <w:p w14:paraId="0C8C9943" w14:textId="77777777" w:rsidR="00A37AE3" w:rsidRDefault="00A37AE3" w:rsidP="00F4403B">
      <w:pPr>
        <w:rPr>
          <w:b/>
          <w:lang w:eastAsia="en-US"/>
        </w:rPr>
      </w:pPr>
    </w:p>
    <w:p w14:paraId="08E06853" w14:textId="77777777" w:rsidR="00A37AE3" w:rsidRDefault="00A37AE3" w:rsidP="00F4403B">
      <w:pPr>
        <w:rPr>
          <w:b/>
          <w:lang w:eastAsia="en-US"/>
        </w:rPr>
      </w:pPr>
    </w:p>
    <w:p w14:paraId="240EE87C" w14:textId="77777777" w:rsidR="00A37AE3" w:rsidRDefault="00A37AE3" w:rsidP="00F4403B">
      <w:pPr>
        <w:rPr>
          <w:b/>
          <w:lang w:eastAsia="en-US"/>
        </w:rPr>
      </w:pPr>
    </w:p>
    <w:p w14:paraId="6AF99697" w14:textId="77777777" w:rsidR="00A37AE3" w:rsidRDefault="00A37AE3" w:rsidP="00F4403B">
      <w:pPr>
        <w:rPr>
          <w:b/>
          <w:lang w:eastAsia="en-US"/>
        </w:rPr>
      </w:pPr>
    </w:p>
    <w:p w14:paraId="04130BE1" w14:textId="77777777" w:rsidR="00A37AE3" w:rsidRDefault="00A37AE3" w:rsidP="00F4403B">
      <w:pPr>
        <w:rPr>
          <w:b/>
          <w:lang w:eastAsia="en-US"/>
        </w:rPr>
      </w:pPr>
    </w:p>
    <w:p w14:paraId="69BB754D" w14:textId="77777777" w:rsidR="00A37AE3" w:rsidRDefault="00A37AE3" w:rsidP="00F4403B">
      <w:pPr>
        <w:rPr>
          <w:b/>
          <w:lang w:eastAsia="en-US"/>
        </w:rPr>
      </w:pPr>
    </w:p>
    <w:p w14:paraId="578FFE83" w14:textId="77777777" w:rsidR="00A37AE3" w:rsidRDefault="00A37AE3" w:rsidP="00F4403B">
      <w:pPr>
        <w:rPr>
          <w:b/>
          <w:lang w:eastAsia="en-US"/>
        </w:rPr>
      </w:pPr>
    </w:p>
    <w:p w14:paraId="5944A4AF" w14:textId="77777777" w:rsidR="00A37AE3" w:rsidRDefault="00A37AE3" w:rsidP="00F4403B">
      <w:pPr>
        <w:rPr>
          <w:b/>
          <w:lang w:eastAsia="en-US"/>
        </w:rPr>
      </w:pPr>
    </w:p>
    <w:p w14:paraId="396EA936" w14:textId="77777777" w:rsidR="00A37AE3" w:rsidRDefault="00A37AE3" w:rsidP="00F4403B">
      <w:pPr>
        <w:rPr>
          <w:b/>
          <w:lang w:eastAsia="en-US"/>
        </w:rPr>
      </w:pPr>
    </w:p>
    <w:p w14:paraId="655E5C13" w14:textId="77777777" w:rsidR="00A37AE3" w:rsidRDefault="00A37AE3" w:rsidP="00F4403B">
      <w:pPr>
        <w:rPr>
          <w:b/>
          <w:lang w:eastAsia="en-US"/>
        </w:rPr>
      </w:pPr>
    </w:p>
    <w:p w14:paraId="6FFF2E79" w14:textId="77777777" w:rsidR="00A37AE3" w:rsidRDefault="00A37AE3" w:rsidP="00F4403B">
      <w:pPr>
        <w:rPr>
          <w:b/>
          <w:lang w:eastAsia="en-US"/>
        </w:rPr>
      </w:pPr>
    </w:p>
    <w:p w14:paraId="2BA6D58A" w14:textId="77777777" w:rsidR="00A37AE3" w:rsidRDefault="00A37AE3" w:rsidP="00F4403B">
      <w:pPr>
        <w:rPr>
          <w:b/>
          <w:lang w:eastAsia="en-US"/>
        </w:rPr>
      </w:pPr>
    </w:p>
    <w:p w14:paraId="3A5AD318" w14:textId="77777777" w:rsidR="00A37AE3" w:rsidRDefault="00A37AE3" w:rsidP="00F4403B">
      <w:pPr>
        <w:rPr>
          <w:b/>
          <w:lang w:eastAsia="en-US"/>
        </w:rPr>
      </w:pPr>
    </w:p>
    <w:p w14:paraId="49610FE4" w14:textId="77777777" w:rsidR="00A37AE3" w:rsidRDefault="00A37AE3" w:rsidP="00F4403B">
      <w:pPr>
        <w:rPr>
          <w:b/>
          <w:lang w:eastAsia="en-US"/>
        </w:rPr>
      </w:pPr>
    </w:p>
    <w:p w14:paraId="2BAB854E" w14:textId="77777777" w:rsidR="00A37AE3" w:rsidRDefault="00A37AE3" w:rsidP="00F4403B">
      <w:pPr>
        <w:rPr>
          <w:b/>
          <w:lang w:eastAsia="en-US"/>
        </w:rPr>
      </w:pPr>
    </w:p>
    <w:p w14:paraId="6E25D541" w14:textId="77777777" w:rsidR="00A37AE3" w:rsidRDefault="00A37AE3" w:rsidP="00F4403B">
      <w:pPr>
        <w:rPr>
          <w:b/>
          <w:lang w:eastAsia="en-US"/>
        </w:rPr>
      </w:pPr>
    </w:p>
    <w:p w14:paraId="3C73093D" w14:textId="77777777" w:rsidR="00A37AE3" w:rsidRDefault="00A37AE3" w:rsidP="00F4403B">
      <w:pPr>
        <w:rPr>
          <w:b/>
          <w:lang w:eastAsia="en-US"/>
        </w:rPr>
      </w:pPr>
    </w:p>
    <w:p w14:paraId="24362EEC" w14:textId="77777777" w:rsidR="00A37AE3" w:rsidRDefault="00A37AE3" w:rsidP="00F4403B">
      <w:pPr>
        <w:rPr>
          <w:b/>
          <w:lang w:eastAsia="en-US"/>
        </w:rPr>
      </w:pPr>
    </w:p>
    <w:p w14:paraId="4DB2CB55" w14:textId="77777777" w:rsidR="00A37AE3" w:rsidRDefault="00A37AE3" w:rsidP="00F4403B">
      <w:pPr>
        <w:rPr>
          <w:b/>
          <w:lang w:eastAsia="en-US"/>
        </w:rPr>
      </w:pPr>
    </w:p>
    <w:p w14:paraId="5F2F4D2D" w14:textId="77777777" w:rsidR="00A37AE3" w:rsidRDefault="00A37AE3" w:rsidP="00F4403B">
      <w:pPr>
        <w:rPr>
          <w:b/>
          <w:lang w:eastAsia="en-US"/>
        </w:rPr>
      </w:pPr>
    </w:p>
    <w:p w14:paraId="34B09442" w14:textId="77777777" w:rsidR="00A37AE3" w:rsidRDefault="00A37AE3" w:rsidP="00F4403B">
      <w:pPr>
        <w:rPr>
          <w:b/>
          <w:lang w:eastAsia="en-US"/>
        </w:rPr>
      </w:pPr>
    </w:p>
    <w:p w14:paraId="75348ACE" w14:textId="77777777" w:rsidR="00A37AE3" w:rsidRDefault="00A37AE3" w:rsidP="00F4403B">
      <w:pPr>
        <w:rPr>
          <w:b/>
          <w:lang w:eastAsia="en-US"/>
        </w:rPr>
      </w:pPr>
    </w:p>
    <w:p w14:paraId="7BBDF113" w14:textId="77777777" w:rsidR="00A37AE3" w:rsidRDefault="00A37AE3" w:rsidP="00F4403B">
      <w:pPr>
        <w:rPr>
          <w:b/>
          <w:lang w:eastAsia="en-US"/>
        </w:rPr>
      </w:pPr>
    </w:p>
    <w:p w14:paraId="40D66A00" w14:textId="77777777" w:rsidR="00A37AE3" w:rsidRDefault="00A37AE3" w:rsidP="00F4403B">
      <w:pPr>
        <w:rPr>
          <w:b/>
          <w:lang w:eastAsia="en-US"/>
        </w:rPr>
      </w:pPr>
    </w:p>
    <w:p w14:paraId="7CAD64D4" w14:textId="77777777" w:rsidR="00A37AE3" w:rsidRDefault="00A37AE3" w:rsidP="00F4403B">
      <w:pPr>
        <w:rPr>
          <w:b/>
          <w:lang w:eastAsia="en-US"/>
        </w:rPr>
      </w:pPr>
    </w:p>
    <w:p w14:paraId="23020943" w14:textId="77777777" w:rsidR="00A37AE3" w:rsidRDefault="00A37AE3" w:rsidP="00F4403B">
      <w:pPr>
        <w:rPr>
          <w:b/>
          <w:lang w:eastAsia="en-US"/>
        </w:rPr>
      </w:pPr>
    </w:p>
    <w:p w14:paraId="202A06B7" w14:textId="77777777" w:rsidR="00A37AE3" w:rsidRDefault="00A37AE3" w:rsidP="00F4403B">
      <w:pPr>
        <w:rPr>
          <w:b/>
          <w:lang w:eastAsia="en-US"/>
        </w:rPr>
      </w:pPr>
    </w:p>
    <w:p w14:paraId="075056E0" w14:textId="77777777" w:rsidR="00A37AE3" w:rsidRDefault="00A37AE3" w:rsidP="00F4403B">
      <w:pPr>
        <w:rPr>
          <w:b/>
          <w:lang w:eastAsia="en-US"/>
        </w:rPr>
      </w:pPr>
    </w:p>
    <w:p w14:paraId="3021924A" w14:textId="77777777" w:rsidR="00A37AE3" w:rsidRDefault="00A37AE3" w:rsidP="00F4403B">
      <w:pPr>
        <w:rPr>
          <w:b/>
          <w:lang w:eastAsia="en-US"/>
        </w:rPr>
      </w:pPr>
    </w:p>
    <w:p w14:paraId="12F5DC3B" w14:textId="77777777" w:rsidR="00A37AE3" w:rsidRDefault="00A37AE3" w:rsidP="00F4403B">
      <w:pPr>
        <w:rPr>
          <w:b/>
          <w:lang w:eastAsia="en-US"/>
        </w:rPr>
      </w:pPr>
    </w:p>
    <w:p w14:paraId="7D0E7183" w14:textId="77777777" w:rsidR="00A37AE3" w:rsidRDefault="00A37AE3" w:rsidP="00F4403B">
      <w:pPr>
        <w:rPr>
          <w:b/>
          <w:lang w:eastAsia="en-US"/>
        </w:rPr>
      </w:pPr>
    </w:p>
    <w:p w14:paraId="2E25A3A1" w14:textId="77777777" w:rsidR="00A37AE3" w:rsidRDefault="00A37AE3" w:rsidP="00F4403B">
      <w:pPr>
        <w:rPr>
          <w:b/>
          <w:lang w:eastAsia="en-US"/>
        </w:rPr>
      </w:pPr>
    </w:p>
    <w:p w14:paraId="750326D6" w14:textId="77777777" w:rsidR="00A37AE3" w:rsidRDefault="00A37AE3" w:rsidP="00F4403B">
      <w:pPr>
        <w:rPr>
          <w:b/>
          <w:lang w:eastAsia="en-US"/>
        </w:rPr>
      </w:pPr>
    </w:p>
    <w:p w14:paraId="14F5C74C" w14:textId="77777777" w:rsidR="00A37AE3" w:rsidRDefault="00A37AE3" w:rsidP="00F4403B">
      <w:pPr>
        <w:rPr>
          <w:b/>
          <w:lang w:eastAsia="en-US"/>
        </w:rPr>
      </w:pPr>
    </w:p>
    <w:p w14:paraId="33EB6349" w14:textId="77777777" w:rsidR="00A37AE3" w:rsidRDefault="00A37AE3" w:rsidP="00F4403B">
      <w:pPr>
        <w:rPr>
          <w:b/>
          <w:lang w:eastAsia="en-US"/>
        </w:rPr>
      </w:pPr>
    </w:p>
    <w:p w14:paraId="684CB598" w14:textId="77777777" w:rsidR="00A37AE3" w:rsidRDefault="00A37AE3" w:rsidP="00F4403B">
      <w:pPr>
        <w:rPr>
          <w:b/>
          <w:lang w:eastAsia="en-US"/>
        </w:rPr>
      </w:pPr>
    </w:p>
    <w:p w14:paraId="61DF6C65" w14:textId="77777777" w:rsidR="00A37AE3" w:rsidRDefault="00A37AE3" w:rsidP="00F4403B">
      <w:pPr>
        <w:rPr>
          <w:b/>
          <w:lang w:eastAsia="en-US"/>
        </w:rPr>
      </w:pPr>
    </w:p>
    <w:p w14:paraId="534E5946" w14:textId="77777777" w:rsidR="00A37AE3" w:rsidRDefault="00A37AE3" w:rsidP="00F4403B">
      <w:pPr>
        <w:rPr>
          <w:b/>
          <w:lang w:eastAsia="en-US"/>
        </w:rPr>
      </w:pPr>
    </w:p>
    <w:p w14:paraId="7FC3B28F" w14:textId="77777777" w:rsidR="00A37AE3" w:rsidRDefault="00A37AE3" w:rsidP="00F4403B">
      <w:pPr>
        <w:rPr>
          <w:b/>
          <w:lang w:eastAsia="en-US"/>
        </w:rPr>
      </w:pPr>
    </w:p>
    <w:p w14:paraId="11A619E1" w14:textId="77777777" w:rsidR="00A37AE3" w:rsidRDefault="00A37AE3" w:rsidP="00F4403B">
      <w:pPr>
        <w:rPr>
          <w:b/>
          <w:lang w:eastAsia="en-US"/>
        </w:rPr>
      </w:pPr>
    </w:p>
    <w:p w14:paraId="2C3B7F04" w14:textId="77777777" w:rsidR="00A37AE3" w:rsidRDefault="00A37AE3" w:rsidP="00F4403B">
      <w:pPr>
        <w:rPr>
          <w:b/>
          <w:lang w:eastAsia="en-US"/>
        </w:rPr>
      </w:pPr>
    </w:p>
    <w:p w14:paraId="018491BA" w14:textId="77777777" w:rsidR="00A37AE3" w:rsidRDefault="00A37AE3" w:rsidP="00F4403B">
      <w:pPr>
        <w:rPr>
          <w:b/>
          <w:lang w:eastAsia="en-US"/>
        </w:rPr>
      </w:pPr>
    </w:p>
    <w:p w14:paraId="55D734CE" w14:textId="77777777" w:rsidR="00A37AE3" w:rsidRDefault="00A37AE3" w:rsidP="00F4403B">
      <w:pPr>
        <w:rPr>
          <w:b/>
          <w:lang w:eastAsia="en-US"/>
        </w:rPr>
      </w:pPr>
    </w:p>
    <w:p w14:paraId="3C11B16F" w14:textId="77777777" w:rsidR="00A37AE3" w:rsidRDefault="00A37AE3" w:rsidP="00F4403B">
      <w:pPr>
        <w:rPr>
          <w:b/>
          <w:lang w:eastAsia="en-US"/>
        </w:rPr>
      </w:pPr>
    </w:p>
    <w:p w14:paraId="0DD0B22A" w14:textId="77777777" w:rsidR="00A37AE3" w:rsidRDefault="00A37AE3" w:rsidP="00F4403B">
      <w:pPr>
        <w:rPr>
          <w:b/>
          <w:lang w:eastAsia="en-US"/>
        </w:rPr>
      </w:pPr>
    </w:p>
    <w:p w14:paraId="1A4FA9A3" w14:textId="77777777" w:rsidR="00A37AE3" w:rsidRDefault="00A37AE3" w:rsidP="00F4403B">
      <w:pPr>
        <w:rPr>
          <w:b/>
          <w:lang w:eastAsia="en-US"/>
        </w:rPr>
      </w:pPr>
    </w:p>
    <w:p w14:paraId="40431E0E" w14:textId="116050A3" w:rsidR="00F4403B" w:rsidRDefault="00A917C2" w:rsidP="00F4403B">
      <w:pPr>
        <w:rPr>
          <w:lang w:eastAsia="en-US"/>
        </w:rPr>
      </w:pPr>
      <w:r w:rsidRPr="00A917C2">
        <w:rPr>
          <w:b/>
          <w:lang w:eastAsia="en-US"/>
        </w:rPr>
        <w:lastRenderedPageBreak/>
        <w:t xml:space="preserve">ANEXO </w:t>
      </w:r>
      <w:r w:rsidR="00A22143" w:rsidRPr="00215564">
        <w:rPr>
          <w:b/>
          <w:lang w:eastAsia="en-US"/>
        </w:rPr>
        <w:t>A</w:t>
      </w:r>
      <w:r w:rsidR="00A22143">
        <w:rPr>
          <w:b/>
          <w:color w:val="FF0000"/>
          <w:lang w:eastAsia="en-US"/>
        </w:rPr>
        <w:t xml:space="preserve"> </w:t>
      </w:r>
      <w:r>
        <w:rPr>
          <w:lang w:eastAsia="en-US"/>
        </w:rPr>
        <w:t>– Termo de Consentimento Livre e Esclarecido (TCLE)</w:t>
      </w:r>
    </w:p>
    <w:p w14:paraId="1FCD55AA" w14:textId="77777777" w:rsidR="00A917C2" w:rsidRDefault="00A917C2" w:rsidP="00F4403B">
      <w:pPr>
        <w:rPr>
          <w:lang w:eastAsia="en-US"/>
        </w:rPr>
      </w:pPr>
    </w:p>
    <w:p w14:paraId="0A4BFA51" w14:textId="77777777" w:rsidR="00F4403B" w:rsidRPr="00F4403B" w:rsidRDefault="00F4403B" w:rsidP="00F4403B">
      <w:pPr>
        <w:rPr>
          <w:lang w:eastAsia="en-US"/>
        </w:rPr>
      </w:pPr>
    </w:p>
    <w:p w14:paraId="3D66B247" w14:textId="77777777" w:rsidR="00A22143" w:rsidRDefault="00A22143" w:rsidP="00A917C2">
      <w:pPr>
        <w:pStyle w:val="Ttulo1"/>
        <w:numPr>
          <w:ilvl w:val="0"/>
          <w:numId w:val="0"/>
        </w:numPr>
        <w:spacing w:before="30" w:line="360" w:lineRule="auto"/>
        <w:ind w:left="720" w:hanging="360"/>
        <w:jc w:val="center"/>
        <w:rPr>
          <w:rFonts w:ascii="Times New Roman" w:hAnsi="Times New Roman"/>
          <w:sz w:val="24"/>
          <w:szCs w:val="24"/>
          <w:lang w:val="pt-BR"/>
        </w:rPr>
      </w:pPr>
    </w:p>
    <w:p w14:paraId="58E27BD3" w14:textId="7765D75E" w:rsidR="00F4403B" w:rsidRPr="00F4403B" w:rsidRDefault="00F4403B" w:rsidP="00A917C2">
      <w:pPr>
        <w:pStyle w:val="Ttulo1"/>
        <w:numPr>
          <w:ilvl w:val="0"/>
          <w:numId w:val="0"/>
        </w:numPr>
        <w:spacing w:before="30" w:line="360" w:lineRule="auto"/>
        <w:ind w:left="720" w:hanging="360"/>
        <w:jc w:val="center"/>
        <w:rPr>
          <w:rFonts w:ascii="Times New Roman" w:hAnsi="Times New Roman"/>
          <w:sz w:val="24"/>
          <w:szCs w:val="24"/>
          <w:lang w:val="pt-BR"/>
        </w:rPr>
      </w:pPr>
      <w:r w:rsidRPr="00F4403B">
        <w:rPr>
          <w:rFonts w:ascii="Times New Roman" w:hAnsi="Times New Roman"/>
          <w:sz w:val="24"/>
          <w:szCs w:val="24"/>
          <w:lang w:val="pt-BR"/>
        </w:rPr>
        <w:t>TERMO DE CONSENTIMENTO LIVRE E ESCLARECIDO</w:t>
      </w:r>
    </w:p>
    <w:p w14:paraId="03B52A91" w14:textId="77777777" w:rsidR="00F4403B" w:rsidRDefault="00F4403B" w:rsidP="00F4403B">
      <w:pPr>
        <w:spacing w:line="360" w:lineRule="auto"/>
        <w:jc w:val="both"/>
        <w:rPr>
          <w:b/>
          <w:bCs/>
        </w:rPr>
      </w:pPr>
    </w:p>
    <w:p w14:paraId="13818A53" w14:textId="11609C37" w:rsidR="00F4403B" w:rsidRDefault="00F4403B" w:rsidP="00F4403B">
      <w:pPr>
        <w:spacing w:line="360" w:lineRule="auto"/>
        <w:jc w:val="center"/>
        <w:rPr>
          <w:b/>
          <w:bCs/>
        </w:rPr>
      </w:pPr>
      <w:r w:rsidRPr="00C7380F">
        <w:rPr>
          <w:b/>
          <w:bCs/>
        </w:rPr>
        <w:t>Estudo da associação entre hipotireoidismo e Sarcopenia em idosos da Universidade Aberta à Terceira Idade – UATI</w:t>
      </w:r>
    </w:p>
    <w:p w14:paraId="4255A480" w14:textId="77777777" w:rsidR="00F4403B" w:rsidRPr="00C7380F" w:rsidRDefault="00F4403B" w:rsidP="00F4403B">
      <w:pPr>
        <w:spacing w:line="360" w:lineRule="auto"/>
        <w:jc w:val="center"/>
      </w:pPr>
    </w:p>
    <w:p w14:paraId="6BA4495F" w14:textId="2CE40988" w:rsidR="00F4403B" w:rsidRPr="00C7380F" w:rsidRDefault="00F4403B" w:rsidP="00F4403B">
      <w:pPr>
        <w:pStyle w:val="PargrafodaLista"/>
        <w:autoSpaceDE w:val="0"/>
        <w:autoSpaceDN w:val="0"/>
        <w:adjustRightInd w:val="0"/>
        <w:spacing w:line="360" w:lineRule="auto"/>
        <w:ind w:left="0" w:firstLine="709"/>
        <w:jc w:val="both"/>
      </w:pPr>
      <w:r w:rsidRPr="00C7380F">
        <w:t xml:space="preserve">Essas informações estão sendo fornecidas para a sua participação voluntária neste estudo do Instituto de Ciências da Saúde, que pretende avaliar nos idosos da UATI – Universidade Aberta da Terceira Idade: 1) A associação entre hipotireoidismo e a sarcopenia em idosos de Salvador; 2) Verificar o quantitativo de sarcopenia em idosos frágeis e não-frágeis; 3) Medir a quantidade dos hormônios da </w:t>
      </w:r>
      <w:r w:rsidR="00B61381" w:rsidRPr="00C7380F">
        <w:t>tireoide</w:t>
      </w:r>
      <w:r w:rsidRPr="00C7380F">
        <w:t xml:space="preserve"> (TSH, T4 Livre e T3 livre), determinando a prevalência de idosos com hipotireoidismo (franco e subclínico); 4) Medir o anticorpo </w:t>
      </w:r>
      <w:proofErr w:type="spellStart"/>
      <w:r w:rsidRPr="00C7380F">
        <w:t>antiperoxidase</w:t>
      </w:r>
      <w:proofErr w:type="spellEnd"/>
      <w:r w:rsidRPr="00C7380F">
        <w:t xml:space="preserve"> (ATPO) e o anticorpo </w:t>
      </w:r>
      <w:proofErr w:type="spellStart"/>
      <w:r w:rsidRPr="00C7380F">
        <w:t>antitireoglobulina</w:t>
      </w:r>
      <w:proofErr w:type="spellEnd"/>
      <w:r w:rsidRPr="00C7380F">
        <w:t xml:space="preserve"> (AATG), determinando a medida de prevalência de autoimunidade e tireoidite de Hashimoto (TH) na população de idosos; 5) Determinar se a coexistência de hipotireoidismo subclínico/franco e sarcopenia associa-se ao pior desempenho funcional quando comparado à sarcopenia isolada (em indivíduos eutireoidianos); 6) Mensurar o conteúdo de iodo na urina dos idosos participantes e determinar a prevalência do excesso e da deficiência grave, moderada e leve de iodo, em conformidade com os pontos de corte definidos pela Organização Mundial da Saúde – OMS; 7) Verificar se existem associações entre esses hormônios e critérios de fragilidade do idoso (ou seja, diminuição da capacidade de funções como força, mobilidade, gasto de energia – conhecidos como idosos frágeis). </w:t>
      </w:r>
    </w:p>
    <w:p w14:paraId="189FBCB2" w14:textId="77777777" w:rsidR="00F4403B" w:rsidRPr="00C7380F" w:rsidRDefault="00F4403B" w:rsidP="00F4403B">
      <w:pPr>
        <w:pStyle w:val="PargrafodaLista"/>
        <w:autoSpaceDE w:val="0"/>
        <w:autoSpaceDN w:val="0"/>
        <w:adjustRightInd w:val="0"/>
        <w:spacing w:line="360" w:lineRule="auto"/>
        <w:ind w:left="0" w:firstLine="709"/>
        <w:jc w:val="both"/>
      </w:pPr>
      <w:r w:rsidRPr="00C7380F">
        <w:t xml:space="preserve">O(a) </w:t>
      </w:r>
      <w:proofErr w:type="spellStart"/>
      <w:r w:rsidRPr="00C7380F">
        <w:t>Sr</w:t>
      </w:r>
      <w:proofErr w:type="spellEnd"/>
      <w:r w:rsidRPr="00C7380F">
        <w:t>(a) será contatado na própria instituição de Geriatria (UATI) e convidado a participar da pesquisa após assinar esse termo de consentimento livre e esclarecido.  Todos os pacientes serão avaliados clinicamente com exame físico para estimar sua força muscular e o seu grau de fragilidade (isso significa: sua perda de peso, força e função musculares com o envelhecimento) e coleta de sangue para dosagens laboratoriais. Os testes são simples e orientados por profissionais de saúde especializados e treinados.</w:t>
      </w:r>
    </w:p>
    <w:p w14:paraId="4316C3D1" w14:textId="315F1351" w:rsidR="00F4403B" w:rsidRPr="00C7380F" w:rsidRDefault="00F4403B" w:rsidP="00F4403B">
      <w:pPr>
        <w:pStyle w:val="Textodecomentrio"/>
        <w:spacing w:line="360" w:lineRule="auto"/>
        <w:ind w:firstLine="709"/>
        <w:jc w:val="both"/>
        <w:rPr>
          <w:rFonts w:ascii="Times New Roman" w:hAnsi="Times New Roman"/>
          <w:sz w:val="24"/>
          <w:szCs w:val="24"/>
        </w:rPr>
      </w:pPr>
      <w:r w:rsidRPr="00C7380F">
        <w:rPr>
          <w:rFonts w:ascii="Times New Roman" w:hAnsi="Times New Roman"/>
          <w:sz w:val="24"/>
          <w:szCs w:val="24"/>
        </w:rPr>
        <w:t>A coleta para o exame de sangue ocorrerá uma única vez, porém serão analisadas as amostras em duas etapas distintas, as quais consistem na dosagem de Glicemia, Creatinina, Testes de Função da Tireoide: TSH (Hormônio estimulador da Tireoide); T4L (Tiroxina livre); T3L (</w:t>
      </w:r>
      <w:proofErr w:type="spellStart"/>
      <w:r w:rsidRPr="00C7380F">
        <w:rPr>
          <w:rFonts w:ascii="Times New Roman" w:hAnsi="Times New Roman"/>
          <w:sz w:val="24"/>
          <w:szCs w:val="24"/>
        </w:rPr>
        <w:t>Triiodotirinina</w:t>
      </w:r>
      <w:proofErr w:type="spellEnd"/>
      <w:r w:rsidRPr="00C7380F">
        <w:rPr>
          <w:rFonts w:ascii="Times New Roman" w:hAnsi="Times New Roman"/>
          <w:sz w:val="24"/>
          <w:szCs w:val="24"/>
        </w:rPr>
        <w:t xml:space="preserve"> Livre); T3 reverso; ATPO (anticorpo </w:t>
      </w:r>
      <w:proofErr w:type="spellStart"/>
      <w:r w:rsidRPr="00C7380F">
        <w:rPr>
          <w:rFonts w:ascii="Times New Roman" w:hAnsi="Times New Roman"/>
          <w:sz w:val="24"/>
          <w:szCs w:val="24"/>
        </w:rPr>
        <w:t>antiperoxidase</w:t>
      </w:r>
      <w:proofErr w:type="spellEnd"/>
      <w:r w:rsidRPr="00C7380F">
        <w:rPr>
          <w:rFonts w:ascii="Times New Roman" w:hAnsi="Times New Roman"/>
          <w:sz w:val="24"/>
          <w:szCs w:val="24"/>
        </w:rPr>
        <w:t xml:space="preserve">); AATG (anticorpo </w:t>
      </w:r>
      <w:proofErr w:type="spellStart"/>
      <w:r w:rsidRPr="00C7380F">
        <w:rPr>
          <w:rFonts w:ascii="Times New Roman" w:hAnsi="Times New Roman"/>
          <w:sz w:val="24"/>
          <w:szCs w:val="24"/>
        </w:rPr>
        <w:lastRenderedPageBreak/>
        <w:t>anti-tireoglobulina</w:t>
      </w:r>
      <w:proofErr w:type="spellEnd"/>
      <w:r w:rsidRPr="00C7380F">
        <w:rPr>
          <w:rFonts w:ascii="Times New Roman" w:hAnsi="Times New Roman"/>
          <w:sz w:val="24"/>
          <w:szCs w:val="24"/>
        </w:rPr>
        <w:t xml:space="preserve">), </w:t>
      </w:r>
      <w:proofErr w:type="spellStart"/>
      <w:r w:rsidRPr="00C7380F">
        <w:rPr>
          <w:rFonts w:ascii="Times New Roman" w:hAnsi="Times New Roman"/>
          <w:sz w:val="24"/>
          <w:szCs w:val="24"/>
        </w:rPr>
        <w:t>Miostatina</w:t>
      </w:r>
      <w:proofErr w:type="spellEnd"/>
      <w:r w:rsidRPr="00C7380F">
        <w:rPr>
          <w:rFonts w:ascii="Times New Roman" w:hAnsi="Times New Roman"/>
          <w:sz w:val="24"/>
          <w:szCs w:val="24"/>
        </w:rPr>
        <w:t xml:space="preserve">, avaliação do DNA para investigação de polimorfismo (alteração genética) e avaliação da Concentração de Iodo da urina. Para a realização do exame de urina, serão coletadas duas amostras, em coletores descartáveis apropriados, que serão entregues durante a pesquisa. Esses exames serão necessários para investigar se você possui a Sarcopenia, alteração na </w:t>
      </w:r>
      <w:r w:rsidR="00B61381" w:rsidRPr="00C7380F">
        <w:rPr>
          <w:rFonts w:ascii="Times New Roman" w:hAnsi="Times New Roman"/>
          <w:sz w:val="24"/>
          <w:szCs w:val="24"/>
        </w:rPr>
        <w:t>tireoide</w:t>
      </w:r>
      <w:r w:rsidRPr="00C7380F">
        <w:rPr>
          <w:rFonts w:ascii="Times New Roman" w:hAnsi="Times New Roman"/>
          <w:sz w:val="24"/>
          <w:szCs w:val="24"/>
        </w:rPr>
        <w:t xml:space="preserve"> ou deficiência de algum nutriente. </w:t>
      </w:r>
    </w:p>
    <w:p w14:paraId="5B6309E2" w14:textId="77777777" w:rsidR="00F4403B" w:rsidRPr="00C7380F" w:rsidRDefault="00F4403B" w:rsidP="00F4403B">
      <w:pPr>
        <w:pStyle w:val="Textodecomentrio"/>
        <w:spacing w:line="360" w:lineRule="auto"/>
        <w:ind w:firstLine="709"/>
        <w:jc w:val="both"/>
        <w:rPr>
          <w:rFonts w:ascii="Times New Roman" w:hAnsi="Times New Roman"/>
          <w:sz w:val="24"/>
          <w:szCs w:val="24"/>
        </w:rPr>
      </w:pPr>
      <w:r w:rsidRPr="00C7380F">
        <w:rPr>
          <w:rFonts w:ascii="Times New Roman" w:hAnsi="Times New Roman"/>
          <w:sz w:val="24"/>
          <w:szCs w:val="24"/>
        </w:rPr>
        <w:t>A Sarcopenia é uma doença que causa muitas alterações no organismo do idoso, como a fraqueza e a diminuição da autonomia na realização de atividades do dia a dia. Além disso, a Sarcopenia é uma doença envolve a perda dos músculos, da força e a piora do desempenho muscular. De modo geral, pode-se dizer que torna os idosos mais fragilizados, prejudicando seu estilo de vida e tornando-os mais dependentes da ajuda de terceiros, além de facilitar o surgimento de outras doenças associadas.</w:t>
      </w:r>
    </w:p>
    <w:p w14:paraId="017EFE98" w14:textId="77777777" w:rsidR="00F4403B" w:rsidRPr="00C7380F" w:rsidRDefault="00F4403B" w:rsidP="00F4403B">
      <w:pPr>
        <w:spacing w:line="360" w:lineRule="auto"/>
        <w:ind w:firstLine="709"/>
        <w:jc w:val="both"/>
      </w:pPr>
      <w:r w:rsidRPr="00C7380F">
        <w:t>A coleta do seu sangue será realizada no DNA laboratório, situado no bairro do Cabula, ao lado da UNEB, local climatizado e com a devida estrutura de saúde para realização da coleta de sangue e urina. A punção da veia do braço, para a retirada de uma pequena amostra de sangue, será realizada com material esterilizado e descartável, para as dosagens necessárias, em momentos apropriados, realizado por profissional treinado para coletas de sangue. Durante a coleta sanguínea, você poderá sentir uma pequena dor no local. Poderá ocorrer formação de uma mancha temporária no local da retirada do sangue (hematoma). É recomendado comprimir o local após coleta e não carregar peso no braço em que foi colhido o sangue, durante o dia do exame, para que não haja risco de sangramento imediato ou posterior a coleta. Caso haja alguma intercorrência (sangramento excessivo do local da coleta de sangue) haverá profissional de saúde habilitado no DNA Laboratório para fornecer a devida assistência em saúde para a contenção do sangramento ou mal estar, se ocorrer.</w:t>
      </w:r>
    </w:p>
    <w:p w14:paraId="7FF9B860" w14:textId="77777777" w:rsidR="00F4403B" w:rsidRPr="00C7380F" w:rsidRDefault="00F4403B" w:rsidP="00F4403B">
      <w:pPr>
        <w:spacing w:line="360" w:lineRule="auto"/>
        <w:ind w:firstLine="709"/>
        <w:jc w:val="both"/>
      </w:pPr>
      <w:r w:rsidRPr="00C7380F">
        <w:t xml:space="preserve">Todos os idosos participantes realizarão testes de desempenho físico como: Teste de equilíbrio (estático/parado em pé); Teste de Marcha (caminhada curta rápida de 4 metros); Teste da Cadeira (sentar e levantar 5 vezes) e o Teste de 400 metros (caminhada longa de 20 voltas). Ambos os testes físicos serão cronometrados e auxiliados por um profissional fisioterapeuta, podendo ser interrompido a qualquer momento, caso o </w:t>
      </w:r>
      <w:proofErr w:type="spellStart"/>
      <w:r w:rsidRPr="00C7380F">
        <w:t>Sr</w:t>
      </w:r>
      <w:proofErr w:type="spellEnd"/>
      <w:r w:rsidRPr="00C7380F">
        <w:t xml:space="preserve"> (a) sinta-se cansado ou com tontura. Serão tomadas medidas de precaução, evitando-se quedas ou tropeços, porém o risco poderá existir na execução dos testes de caminhadas. O teste será realizado em espaço da UATI/UNEB, com piso plano, livre de obstáculos, identificados e com objetos/ materiais de segurança.</w:t>
      </w:r>
    </w:p>
    <w:p w14:paraId="2A232CB2" w14:textId="77777777" w:rsidR="00F4403B" w:rsidRPr="00C7380F" w:rsidRDefault="00F4403B" w:rsidP="00F4403B">
      <w:pPr>
        <w:spacing w:line="360" w:lineRule="auto"/>
        <w:ind w:firstLine="709"/>
        <w:jc w:val="both"/>
      </w:pPr>
      <w:r w:rsidRPr="00C7380F">
        <w:t xml:space="preserve">A bioimpedância é um exame de composição corporal e será realizado em todos os pacientes durante a coleta de dados. Esse exame serve para avaliar sua porcentagem de gordura </w:t>
      </w:r>
      <w:r w:rsidRPr="00C7380F">
        <w:lastRenderedPageBreak/>
        <w:t>e de massa magra (ou seja, osso e músculo) e não é necessária a administração de nenhum contraste oral ou venoso. Será necessário o jejum de 8 horas para a realização desse exame. Não poderá realizar o exame de bioimpedância o idoso que for portador de marcapasso no coração por ser um aparelho elétrico.</w:t>
      </w:r>
    </w:p>
    <w:p w14:paraId="22766462" w14:textId="77777777" w:rsidR="00F4403B" w:rsidRPr="00C7380F" w:rsidRDefault="00F4403B" w:rsidP="00F4403B">
      <w:pPr>
        <w:spacing w:line="360" w:lineRule="auto"/>
        <w:ind w:firstLine="709"/>
        <w:jc w:val="both"/>
      </w:pPr>
      <w:r w:rsidRPr="00C7380F">
        <w:t xml:space="preserve">Aqueles idosos que apresentarem diminuição no percentual/quantidade de massa magra (músculo) serão encaminhados para realizar um exame semelhante a um </w:t>
      </w:r>
      <w:proofErr w:type="spellStart"/>
      <w:r w:rsidRPr="00C7380F">
        <w:t>RaioX</w:t>
      </w:r>
      <w:proofErr w:type="spellEnd"/>
      <w:r w:rsidRPr="00C7380F">
        <w:t xml:space="preserve">, porém mais completo, que apresenta a composição corporal que é a DEXA. Este exame de imagem detalhado será realizado após a análise do exame de bioimpedância e não terá custo algum para o idoso participante. Sendo possível será realizada também </w:t>
      </w:r>
      <w:proofErr w:type="gramStart"/>
      <w:r w:rsidRPr="00C7380F">
        <w:t>uma ultrassom muscular</w:t>
      </w:r>
      <w:proofErr w:type="gramEnd"/>
      <w:r w:rsidRPr="00C7380F">
        <w:t xml:space="preserve"> da perna do participante, após a realização da DEXA, no mesmo dia e horário agendado. Os exames de imagem (DEXA e ultrassom) serão realizados em uma clínica conveniada à pesquisa (DIAGNOSON). O endereço e o agendamento do exame serão informados com antecedência ao idoso para ser realizado no dia de sua escolha e conveniência, conforme disponibilidade da clínica.</w:t>
      </w:r>
    </w:p>
    <w:p w14:paraId="32F5D486" w14:textId="77777777" w:rsidR="00F4403B" w:rsidRPr="00C7380F" w:rsidRDefault="00F4403B" w:rsidP="00F4403B">
      <w:pPr>
        <w:spacing w:line="360" w:lineRule="auto"/>
        <w:ind w:firstLine="709"/>
        <w:jc w:val="both"/>
      </w:pPr>
      <w:r w:rsidRPr="00C7380F">
        <w:t>Todos os idosos que apresentarem o diagnóstico de Sarcopenia e/ou Hipotireoidismo, assim como alguma disfunção tireoidiana ou do estado nutricional serão convocados para a apresentação desses resultados alterados. Receberão a orientação, para a busca do tratamento, em serviço público de saúde do município. Os dados obtidos com o exame físico (avaliação nutricional), os exames laboratoriais (sangue e urina) e de imagem (bioimpedância, ultrassom muscular e DEXA) serão utilizados em publicações científicas e dissertações de mestrado de alunos inscritos nos programas de pós-graduação em Processos Interativos dos Órgãos e Sistemas do Instituto de Ciências da Saúde – UFBA. Os dados obtidos não poderão ser utilizados para outros fins, que não sejam os acima mencionados.</w:t>
      </w:r>
    </w:p>
    <w:p w14:paraId="1BE6F91D" w14:textId="77777777" w:rsidR="00F4403B" w:rsidRPr="00C7380F" w:rsidRDefault="00F4403B" w:rsidP="00F4403B">
      <w:pPr>
        <w:spacing w:line="360" w:lineRule="auto"/>
        <w:ind w:firstLine="709"/>
        <w:jc w:val="both"/>
      </w:pPr>
      <w:r w:rsidRPr="00C7380F">
        <w:t xml:space="preserve">Os resultados de exames e a avaliação do seu prontuário somente serão vistos pelos pesquisadores envolvidos nesse projeto e outros profissionais que possam a vir a ter algum relacionamento de atendimento ou de cuidados com o </w:t>
      </w:r>
      <w:proofErr w:type="spellStart"/>
      <w:r w:rsidRPr="00C7380F">
        <w:t>Sr°</w:t>
      </w:r>
      <w:proofErr w:type="spellEnd"/>
      <w:r w:rsidRPr="00C7380F">
        <w:t xml:space="preserve"> (a). Nunca haverá qualquer tipo de discriminação contra o </w:t>
      </w:r>
      <w:proofErr w:type="spellStart"/>
      <w:r w:rsidRPr="00C7380F">
        <w:t>Sr°</w:t>
      </w:r>
      <w:proofErr w:type="spellEnd"/>
      <w:r w:rsidRPr="00C7380F">
        <w:t>(a).</w:t>
      </w:r>
    </w:p>
    <w:p w14:paraId="06EF9E9D" w14:textId="77777777" w:rsidR="00F4403B" w:rsidRPr="00C7380F" w:rsidRDefault="00F4403B" w:rsidP="00F4403B">
      <w:pPr>
        <w:spacing w:line="360" w:lineRule="auto"/>
        <w:ind w:firstLine="709"/>
        <w:jc w:val="both"/>
      </w:pPr>
      <w:r w:rsidRPr="00C7380F">
        <w:t xml:space="preserve">O </w:t>
      </w:r>
      <w:proofErr w:type="spellStart"/>
      <w:r w:rsidRPr="00C7380F">
        <w:t>Sr°</w:t>
      </w:r>
      <w:proofErr w:type="spellEnd"/>
      <w:r w:rsidRPr="00C7380F">
        <w:t xml:space="preserve">(a) poderá se retirar da pesquisa a qualquer momento, se assim desejar. Sua identidade será preservada. Não terá custo financeiro em nenhuma fase do estudo, nem com os exames. Todos serão gratuitos para o </w:t>
      </w:r>
      <w:proofErr w:type="spellStart"/>
      <w:r w:rsidRPr="00C7380F">
        <w:t>Sr°</w:t>
      </w:r>
      <w:proofErr w:type="spellEnd"/>
      <w:r w:rsidRPr="00C7380F">
        <w:t xml:space="preserve"> (a). Também não haverá nenhum tipo de retribuição financeira pela sua participação. O </w:t>
      </w:r>
      <w:proofErr w:type="spellStart"/>
      <w:r w:rsidRPr="00C7380F">
        <w:t>Sr°</w:t>
      </w:r>
      <w:proofErr w:type="spellEnd"/>
      <w:r w:rsidRPr="00C7380F">
        <w:t xml:space="preserve"> (a) terá direito ao acesso a todos os resultados dos exames realizados durante a pesquisa.</w:t>
      </w:r>
    </w:p>
    <w:p w14:paraId="31A48EAE" w14:textId="77777777" w:rsidR="00F4403B" w:rsidRPr="00C7380F" w:rsidRDefault="00F4403B" w:rsidP="00F4403B">
      <w:pPr>
        <w:spacing w:line="360" w:lineRule="auto"/>
        <w:ind w:firstLine="709"/>
        <w:jc w:val="both"/>
      </w:pPr>
      <w:r w:rsidRPr="00C7380F">
        <w:t xml:space="preserve">A Resolução CNS N° 466 de 2012 (item IV.3) define que os participantes da pesquisa que vierem a sofrer qualquer tipo de dano resultante de sua participação na pesquisa, têm direito </w:t>
      </w:r>
      <w:r w:rsidRPr="00C7380F">
        <w:lastRenderedPageBreak/>
        <w:t xml:space="preserve">à indenização. Desta forma, asseguramos por meio deste, que o </w:t>
      </w:r>
      <w:proofErr w:type="spellStart"/>
      <w:r w:rsidRPr="00C7380F">
        <w:t>Sr°</w:t>
      </w:r>
      <w:proofErr w:type="spellEnd"/>
      <w:r w:rsidRPr="00C7380F">
        <w:t>(a) participante da pesquisa tem direito à indenização em caso de danos decorrentes do estudo, se houver. Na oportunidade, salientamos que todas as medidas de cuidado e precaução serão estabelecidas durante os atendimentos e coleta de dados, a fim de evitarmos tais danos na saúde e vida dos participantes. Os testes e exames são simples e seguros para a sua realização. Serão sempre acompanhados por um profissional de saúde capacitado para o atendimento (médico, nutricionista, biólogo, fisioterapeuta, educador físico, técnico em análise clínica, técnico de enfermagem e estudantes de Graduação da área de saúde treinados e supervisionados por um desses profissionais formados).</w:t>
      </w:r>
    </w:p>
    <w:p w14:paraId="1102720B" w14:textId="77777777" w:rsidR="00F4403B" w:rsidRPr="00C7380F" w:rsidRDefault="00F4403B" w:rsidP="00F4403B">
      <w:pPr>
        <w:spacing w:line="360" w:lineRule="auto"/>
        <w:ind w:firstLine="708"/>
        <w:jc w:val="both"/>
      </w:pPr>
      <w:r w:rsidRPr="00C7380F">
        <w:t xml:space="preserve">O TCLE – Termo de Consentimento Livre e Esclarecido (esse documento que se lê) será impresso em duas vias originais e todas as páginas deverão ser rubricadas, ficando uma retida com o pesquisador responsável/pessoa por ele delegada e a outra com o </w:t>
      </w:r>
      <w:proofErr w:type="spellStart"/>
      <w:r w:rsidRPr="00C7380F">
        <w:t>Sr°</w:t>
      </w:r>
      <w:proofErr w:type="spellEnd"/>
      <w:r w:rsidRPr="00C7380F">
        <w:t>(a) participante de pesquisa/responsável legal (conforme determina a Resolução CNS nº 466 de 2012, item IV.5).</w:t>
      </w:r>
    </w:p>
    <w:p w14:paraId="25DDD8C1" w14:textId="77777777" w:rsidR="00F4403B" w:rsidRPr="00C7380F" w:rsidRDefault="00F4403B" w:rsidP="00F4403B">
      <w:pPr>
        <w:spacing w:line="360" w:lineRule="auto"/>
        <w:ind w:firstLine="709"/>
        <w:jc w:val="both"/>
      </w:pPr>
      <w:r w:rsidRPr="00C7380F">
        <w:t xml:space="preserve">Os pesquisadores deverão prestar informações, esclarecer dúvidas, e examiná-lo antes e durante a realização do trabalho e sempre que se fizer necessário. O </w:t>
      </w:r>
      <w:proofErr w:type="spellStart"/>
      <w:r w:rsidRPr="00C7380F">
        <w:t>Sr°</w:t>
      </w:r>
      <w:proofErr w:type="spellEnd"/>
      <w:r w:rsidRPr="00C7380F">
        <w:t xml:space="preserve"> (a) terá direito a receber os resultados obtidos com a pesquisa, a qualquer momento, quando assim desejar.</w:t>
      </w:r>
    </w:p>
    <w:p w14:paraId="4AD125E6" w14:textId="77777777" w:rsidR="00F4403B" w:rsidRPr="00C7380F" w:rsidRDefault="00F4403B" w:rsidP="00F4403B">
      <w:pPr>
        <w:spacing w:line="360" w:lineRule="auto"/>
        <w:ind w:firstLine="709"/>
        <w:jc w:val="both"/>
      </w:pPr>
      <w:r w:rsidRPr="00C7380F">
        <w:t>Em caso de dúvidas, você poderá entrar em contato com o Prof. Dr. Helton Estrela Ramos (</w:t>
      </w:r>
      <w:proofErr w:type="spellStart"/>
      <w:r w:rsidRPr="00C7380F">
        <w:t>tel</w:t>
      </w:r>
      <w:proofErr w:type="spellEnd"/>
      <w:r w:rsidRPr="00C7380F">
        <w:t xml:space="preserve">: 71 99195-2979), </w:t>
      </w:r>
      <w:proofErr w:type="spellStart"/>
      <w:r w:rsidRPr="00C7380F">
        <w:t>Nut</w:t>
      </w:r>
      <w:proofErr w:type="spellEnd"/>
      <w:r w:rsidRPr="00C7380F">
        <w:t xml:space="preserve">. Aline dos Anjos Santana (71 98506-1095) responsável pela pesquisa. </w:t>
      </w:r>
    </w:p>
    <w:p w14:paraId="54A7D4D3" w14:textId="77777777" w:rsidR="00F4403B" w:rsidRPr="00C7380F" w:rsidRDefault="00F4403B" w:rsidP="00F4403B">
      <w:pPr>
        <w:tabs>
          <w:tab w:val="left" w:pos="426"/>
        </w:tabs>
        <w:spacing w:line="360" w:lineRule="auto"/>
        <w:jc w:val="both"/>
      </w:pPr>
      <w:r w:rsidRPr="00C7380F">
        <w:tab/>
        <w:t>Também em caso de dúvida, o(a) Senhor(a) poderá entrar em contato com o Comitê de Ética em Pesquisa do Instituto de Ciências da Saúde da Universidade Federal da Bahia (CEP/ICS/UFBA). O Comitê de Ética em Pesquisa (CEP) busca defender os interesses dos participantes de pesquisa. O CEP é responsável pela avaliação e acompanhamento dos aspectos éticos de todas as pesquisas envolvendo seres humanos. O Comitê de Ética em Pesquisa do Instituto de Ciências da Saúde da Universidade Federal da Bahia (CEP/ICS/UFBA) está localizado na Avenida Reitor Miguel Calmon, s/n, - Instituto de Ciências da Saúde – 4° andar, Vale do Canela. Horário de funcionamento: De Segunda-feira a Sexta-feira das 07h00min às 17h30min. Telefone: (71) 3283-8951. E-mail: cepics@ufba.br.</w:t>
      </w:r>
    </w:p>
    <w:p w14:paraId="459C8E8D" w14:textId="77777777" w:rsidR="00F4403B" w:rsidRPr="00C7380F" w:rsidRDefault="00F4403B" w:rsidP="00F4403B">
      <w:pPr>
        <w:spacing w:line="360" w:lineRule="auto"/>
        <w:ind w:firstLine="709"/>
        <w:jc w:val="both"/>
      </w:pPr>
      <w:r w:rsidRPr="00C7380F">
        <w:t>Os resultados da pesquisa serão entregues quando for finalizada assim como os resultados dos exames realizados durante a pesquisa quando forem concluídos.</w:t>
      </w:r>
    </w:p>
    <w:p w14:paraId="22158048" w14:textId="77777777" w:rsidR="00F4403B" w:rsidRPr="00C7380F" w:rsidRDefault="00F4403B" w:rsidP="00F4403B">
      <w:pPr>
        <w:spacing w:line="360" w:lineRule="auto"/>
        <w:jc w:val="both"/>
      </w:pPr>
    </w:p>
    <w:p w14:paraId="405A6FB1" w14:textId="77777777" w:rsidR="000847BD" w:rsidRDefault="000847BD" w:rsidP="00F4403B">
      <w:pPr>
        <w:spacing w:line="360" w:lineRule="auto"/>
        <w:jc w:val="both"/>
        <w:rPr>
          <w:b/>
        </w:rPr>
      </w:pPr>
    </w:p>
    <w:p w14:paraId="687B9F5B" w14:textId="77777777" w:rsidR="000847BD" w:rsidRDefault="000847BD" w:rsidP="00F4403B">
      <w:pPr>
        <w:spacing w:line="360" w:lineRule="auto"/>
        <w:jc w:val="both"/>
        <w:rPr>
          <w:b/>
        </w:rPr>
      </w:pPr>
    </w:p>
    <w:p w14:paraId="2DE70174" w14:textId="77777777" w:rsidR="00F4403B" w:rsidRDefault="00F4403B" w:rsidP="00F4403B">
      <w:pPr>
        <w:spacing w:line="360" w:lineRule="auto"/>
        <w:jc w:val="both"/>
        <w:rPr>
          <w:b/>
        </w:rPr>
      </w:pPr>
      <w:r w:rsidRPr="00C7380F">
        <w:rPr>
          <w:b/>
        </w:rPr>
        <w:lastRenderedPageBreak/>
        <w:t>CONSENTIMENTO</w:t>
      </w:r>
    </w:p>
    <w:p w14:paraId="7BE823ED" w14:textId="77777777" w:rsidR="00E53555" w:rsidRPr="00C7380F" w:rsidRDefault="00E53555" w:rsidP="00F4403B">
      <w:pPr>
        <w:spacing w:line="360" w:lineRule="auto"/>
        <w:jc w:val="both"/>
        <w:rPr>
          <w:b/>
        </w:rPr>
      </w:pPr>
    </w:p>
    <w:p w14:paraId="122F9AEE" w14:textId="77777777" w:rsidR="00F4403B" w:rsidRPr="00C7380F" w:rsidRDefault="00F4403B" w:rsidP="00F4403B">
      <w:pPr>
        <w:spacing w:line="360" w:lineRule="auto"/>
        <w:ind w:firstLine="709"/>
        <w:jc w:val="both"/>
      </w:pPr>
      <w:r w:rsidRPr="00C7380F">
        <w:t>Acredito ter sido suficientemente informado a respeito das informações sobre o estudo citado acima, que li ou foram lidas para mim.</w:t>
      </w:r>
    </w:p>
    <w:p w14:paraId="4757637E" w14:textId="77777777" w:rsidR="00F4403B" w:rsidRPr="00C7380F" w:rsidRDefault="00F4403B" w:rsidP="00F4403B">
      <w:pPr>
        <w:spacing w:line="360" w:lineRule="auto"/>
        <w:ind w:firstLine="709"/>
        <w:jc w:val="both"/>
      </w:pPr>
      <w:r w:rsidRPr="00C7380F">
        <w:t xml:space="preserve">Eu discuti com o Dr. Helton Estrela Ramos ou a </w:t>
      </w:r>
      <w:proofErr w:type="spellStart"/>
      <w:r w:rsidRPr="00C7380F">
        <w:t>Nut</w:t>
      </w:r>
      <w:proofErr w:type="spellEnd"/>
      <w:r w:rsidRPr="00C7380F">
        <w:t>. Aline dos Anjos Santana ou algum profissional de saúde auxiliar da pesquisa, sobre a minha decisão em participar nesse estudo. Ficaram claros para mim, quais são os propósitos do estudo, os procedimentos a serem realizados, seus desconfortos e riscos, as garantias de confidencialidade de meus dados e de esclarecimentos permanentes. Ficou claro também que minha participação é isenta de despesas e que tenho garantia de acesso a tratamento hospitalar quando necessário. Concordo voluntariamente em participar desse estudo e poderei retirar o meu consentimento a qualquer momento, antes ou durante o mesmo, sem penalidades ou prejuízo ou perda de qualquer benefício que eu possa ter adquirido, ou no meu atendimento nesta Instituição.</w:t>
      </w:r>
    </w:p>
    <w:p w14:paraId="7E90BA1A" w14:textId="77777777" w:rsidR="00F4403B" w:rsidRPr="00C7380F" w:rsidRDefault="00F4403B" w:rsidP="00F4403B">
      <w:pPr>
        <w:spacing w:line="360" w:lineRule="auto"/>
        <w:jc w:val="both"/>
      </w:pPr>
    </w:p>
    <w:p w14:paraId="114075C7" w14:textId="77777777" w:rsidR="00F4403B" w:rsidRPr="00C7380F" w:rsidRDefault="00F4403B" w:rsidP="00F4403B">
      <w:pPr>
        <w:jc w:val="both"/>
      </w:pPr>
      <w:r w:rsidRPr="00C7380F">
        <w:t>UFBA, SALVADOR-BA, _____/_____/_________.</w:t>
      </w:r>
    </w:p>
    <w:p w14:paraId="70F3105B" w14:textId="77777777" w:rsidR="00F4403B" w:rsidRPr="00C7380F" w:rsidRDefault="00F4403B" w:rsidP="00F4403B">
      <w:pPr>
        <w:jc w:val="both"/>
      </w:pPr>
    </w:p>
    <w:p w14:paraId="37C774AF" w14:textId="77777777" w:rsidR="00F4403B" w:rsidRPr="00C7380F" w:rsidRDefault="00F4403B" w:rsidP="00F4403B">
      <w:pPr>
        <w:jc w:val="both"/>
      </w:pPr>
      <w:r w:rsidRPr="00C7380F">
        <w:t>___________________________________________________</w:t>
      </w:r>
    </w:p>
    <w:p w14:paraId="79D440B3" w14:textId="77777777" w:rsidR="00F4403B" w:rsidRPr="00C7380F" w:rsidRDefault="00F4403B" w:rsidP="00F4403B">
      <w:pPr>
        <w:jc w:val="both"/>
      </w:pPr>
      <w:r w:rsidRPr="00C7380F">
        <w:t>Nome do paciente</w:t>
      </w:r>
    </w:p>
    <w:p w14:paraId="5EC31F24" w14:textId="77777777" w:rsidR="00F4403B" w:rsidRPr="00C7380F" w:rsidRDefault="00F4403B" w:rsidP="00F4403B">
      <w:pPr>
        <w:jc w:val="both"/>
      </w:pPr>
    </w:p>
    <w:p w14:paraId="7E8E9BB0" w14:textId="77777777" w:rsidR="00F4403B" w:rsidRPr="00C7380F" w:rsidRDefault="00F4403B" w:rsidP="00F4403B">
      <w:pPr>
        <w:jc w:val="both"/>
      </w:pPr>
      <w:r w:rsidRPr="00C7380F">
        <w:t>___________________________________________________ Data ____/____/____</w:t>
      </w:r>
    </w:p>
    <w:p w14:paraId="3FF7B98E" w14:textId="77777777" w:rsidR="00F4403B" w:rsidRPr="00C7380F" w:rsidRDefault="00F4403B" w:rsidP="00F4403B">
      <w:pPr>
        <w:jc w:val="both"/>
      </w:pPr>
      <w:r w:rsidRPr="00C7380F">
        <w:t>Assinatura do paciente</w:t>
      </w:r>
    </w:p>
    <w:p w14:paraId="1D9657ED" w14:textId="77777777" w:rsidR="00F4403B" w:rsidRPr="00C7380F" w:rsidRDefault="00F4403B" w:rsidP="00F4403B">
      <w:pPr>
        <w:spacing w:line="360" w:lineRule="auto"/>
        <w:jc w:val="both"/>
      </w:pPr>
    </w:p>
    <w:p w14:paraId="2BB7E2AF" w14:textId="77777777" w:rsidR="00F4403B" w:rsidRPr="00C7380F" w:rsidRDefault="00F4403B" w:rsidP="00F4403B">
      <w:pPr>
        <w:spacing w:line="360" w:lineRule="auto"/>
        <w:jc w:val="both"/>
      </w:pPr>
    </w:p>
    <w:p w14:paraId="48802745" w14:textId="2774D08F" w:rsidR="00F4403B" w:rsidRPr="00C7380F" w:rsidRDefault="00F4403B" w:rsidP="00F4403B">
      <w:pPr>
        <w:spacing w:line="360" w:lineRule="auto"/>
        <w:jc w:val="both"/>
      </w:pPr>
      <w:r w:rsidRPr="00C7380F">
        <w:t>Se paciente analfabeto, semianalfabetos ou portador de deficiência auditiva ou visual:</w:t>
      </w:r>
    </w:p>
    <w:p w14:paraId="776F57C8" w14:textId="77777777" w:rsidR="00F4403B" w:rsidRPr="00C7380F" w:rsidRDefault="00F4403B" w:rsidP="00F4403B">
      <w:pPr>
        <w:jc w:val="both"/>
      </w:pPr>
    </w:p>
    <w:p w14:paraId="05878C12" w14:textId="77777777" w:rsidR="00F4403B" w:rsidRPr="00C7380F" w:rsidRDefault="00F4403B" w:rsidP="00F4403B">
      <w:pPr>
        <w:jc w:val="both"/>
      </w:pPr>
      <w:r w:rsidRPr="00C7380F">
        <w:t>______________________________________________</w:t>
      </w:r>
    </w:p>
    <w:p w14:paraId="3C153E1E" w14:textId="77777777" w:rsidR="00F4403B" w:rsidRPr="00C7380F" w:rsidRDefault="00F4403B" w:rsidP="00F4403B">
      <w:pPr>
        <w:jc w:val="both"/>
      </w:pPr>
      <w:r w:rsidRPr="00C7380F">
        <w:t>Nome do representante legal</w:t>
      </w:r>
    </w:p>
    <w:p w14:paraId="15FCEBDA" w14:textId="77777777" w:rsidR="00F4403B" w:rsidRPr="00C7380F" w:rsidRDefault="00F4403B" w:rsidP="00F4403B">
      <w:pPr>
        <w:jc w:val="both"/>
      </w:pPr>
    </w:p>
    <w:p w14:paraId="22F0D3B4" w14:textId="77777777" w:rsidR="00F4403B" w:rsidRPr="00C7380F" w:rsidRDefault="00F4403B" w:rsidP="00F4403B">
      <w:pPr>
        <w:jc w:val="both"/>
      </w:pPr>
      <w:r w:rsidRPr="00C7380F">
        <w:t>______________________________________________Data ____/____/____</w:t>
      </w:r>
    </w:p>
    <w:p w14:paraId="0BF65B23" w14:textId="77777777" w:rsidR="00F4403B" w:rsidRPr="00C7380F" w:rsidRDefault="00F4403B" w:rsidP="00F4403B">
      <w:pPr>
        <w:jc w:val="both"/>
      </w:pPr>
      <w:r w:rsidRPr="00C7380F">
        <w:t>Assinatura do representante legal</w:t>
      </w:r>
    </w:p>
    <w:p w14:paraId="051310C8" w14:textId="77777777" w:rsidR="00F4403B" w:rsidRPr="00C7380F" w:rsidRDefault="00F4403B" w:rsidP="00F4403B">
      <w:pPr>
        <w:jc w:val="both"/>
      </w:pPr>
    </w:p>
    <w:p w14:paraId="47776B93" w14:textId="77777777" w:rsidR="00F4403B" w:rsidRPr="00C7380F" w:rsidRDefault="00F4403B" w:rsidP="00F4403B">
      <w:pPr>
        <w:jc w:val="both"/>
      </w:pPr>
      <w:r w:rsidRPr="00C7380F">
        <w:t>______________________________________________ Data ____/____/____</w:t>
      </w:r>
    </w:p>
    <w:p w14:paraId="4B66B29B" w14:textId="77777777" w:rsidR="00F4403B" w:rsidRDefault="00F4403B" w:rsidP="00F4403B">
      <w:pPr>
        <w:spacing w:line="360" w:lineRule="auto"/>
        <w:jc w:val="both"/>
      </w:pPr>
      <w:r w:rsidRPr="00C7380F">
        <w:t>Assinatura do pesquisador</w:t>
      </w:r>
    </w:p>
    <w:p w14:paraId="02452C85" w14:textId="77777777" w:rsidR="00D06311" w:rsidRDefault="00D06311" w:rsidP="00F4403B">
      <w:pPr>
        <w:spacing w:line="360" w:lineRule="auto"/>
        <w:jc w:val="both"/>
      </w:pPr>
    </w:p>
    <w:p w14:paraId="7CD3D99D" w14:textId="77777777" w:rsidR="00D06311" w:rsidRDefault="00D06311" w:rsidP="00F4403B">
      <w:pPr>
        <w:spacing w:line="360" w:lineRule="auto"/>
        <w:jc w:val="both"/>
      </w:pPr>
    </w:p>
    <w:p w14:paraId="33AA6503" w14:textId="77777777" w:rsidR="00D06311" w:rsidRDefault="00D06311" w:rsidP="00F4403B">
      <w:pPr>
        <w:spacing w:line="360" w:lineRule="auto"/>
        <w:jc w:val="both"/>
      </w:pPr>
    </w:p>
    <w:p w14:paraId="1EB4CC60" w14:textId="77777777" w:rsidR="00D06311" w:rsidRDefault="00D06311" w:rsidP="00F4403B">
      <w:pPr>
        <w:spacing w:line="360" w:lineRule="auto"/>
        <w:jc w:val="both"/>
      </w:pPr>
    </w:p>
    <w:p w14:paraId="459CE328" w14:textId="77777777" w:rsidR="00D06311" w:rsidRDefault="00D06311" w:rsidP="00F4403B">
      <w:pPr>
        <w:spacing w:line="360" w:lineRule="auto"/>
        <w:jc w:val="both"/>
      </w:pPr>
    </w:p>
    <w:p w14:paraId="17EAE89D" w14:textId="77777777" w:rsidR="00D06311" w:rsidRDefault="00D06311" w:rsidP="00F4403B">
      <w:pPr>
        <w:spacing w:line="360" w:lineRule="auto"/>
        <w:jc w:val="both"/>
      </w:pPr>
    </w:p>
    <w:p w14:paraId="27F086FC" w14:textId="499680E0" w:rsidR="00D06311" w:rsidRDefault="00D06311" w:rsidP="00F4403B">
      <w:pPr>
        <w:spacing w:line="360" w:lineRule="auto"/>
        <w:jc w:val="both"/>
      </w:pPr>
      <w:r>
        <w:rPr>
          <w:noProof/>
        </w:rPr>
        <w:lastRenderedPageBreak/>
        <w:drawing>
          <wp:inline distT="0" distB="0" distL="0" distR="0" wp14:anchorId="2DDAFA47" wp14:editId="4C76C46E">
            <wp:extent cx="5760085" cy="74542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25">
                      <a:extLst>
                        <a:ext uri="{28A0092B-C50C-407E-A947-70E740481C1C}">
                          <a14:useLocalDpi xmlns:a14="http://schemas.microsoft.com/office/drawing/2010/main" val="0"/>
                        </a:ext>
                      </a:extLst>
                    </a:blip>
                    <a:stretch>
                      <a:fillRect/>
                    </a:stretch>
                  </pic:blipFill>
                  <pic:spPr>
                    <a:xfrm>
                      <a:off x="0" y="0"/>
                      <a:ext cx="5760085" cy="7454265"/>
                    </a:xfrm>
                    <a:prstGeom prst="rect">
                      <a:avLst/>
                    </a:prstGeom>
                  </pic:spPr>
                </pic:pic>
              </a:graphicData>
            </a:graphic>
          </wp:inline>
        </w:drawing>
      </w:r>
    </w:p>
    <w:p w14:paraId="63EDDC2D" w14:textId="77777777" w:rsidR="00D06311" w:rsidRDefault="00D06311" w:rsidP="00F4403B">
      <w:pPr>
        <w:spacing w:line="360" w:lineRule="auto"/>
        <w:jc w:val="both"/>
      </w:pPr>
    </w:p>
    <w:p w14:paraId="11965897" w14:textId="77777777" w:rsidR="00D06311" w:rsidRDefault="00D06311" w:rsidP="00F4403B">
      <w:pPr>
        <w:spacing w:line="360" w:lineRule="auto"/>
        <w:jc w:val="both"/>
      </w:pPr>
    </w:p>
    <w:p w14:paraId="2F134064" w14:textId="77777777" w:rsidR="00D06311" w:rsidRDefault="00D06311" w:rsidP="00F4403B">
      <w:pPr>
        <w:spacing w:line="360" w:lineRule="auto"/>
        <w:jc w:val="both"/>
      </w:pPr>
    </w:p>
    <w:p w14:paraId="0223435E" w14:textId="77777777" w:rsidR="00D06311" w:rsidRDefault="00D06311" w:rsidP="00F4403B">
      <w:pPr>
        <w:spacing w:line="360" w:lineRule="auto"/>
        <w:jc w:val="both"/>
      </w:pPr>
    </w:p>
    <w:p w14:paraId="63C23F1D" w14:textId="77777777" w:rsidR="00D06311" w:rsidRPr="00C7380F" w:rsidRDefault="00D06311" w:rsidP="00F4403B">
      <w:pPr>
        <w:spacing w:line="360" w:lineRule="auto"/>
        <w:jc w:val="both"/>
      </w:pPr>
    </w:p>
    <w:sectPr w:rsidR="00D06311" w:rsidRPr="00C7380F" w:rsidSect="003A1053">
      <w:headerReference w:type="default" r:id="rId26"/>
      <w:headerReference w:type="first" r:id="rId27"/>
      <w:pgSz w:w="11906" w:h="16838"/>
      <w:pgMar w:top="1701" w:right="1134" w:bottom="1134" w:left="1701" w:header="709" w:footer="709" w:gutter="0"/>
      <w:pgNumType w:start="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8BDF3" w14:textId="77777777" w:rsidR="00723C8B" w:rsidRDefault="00723C8B" w:rsidP="00191AA5">
      <w:r>
        <w:separator/>
      </w:r>
    </w:p>
  </w:endnote>
  <w:endnote w:type="continuationSeparator" w:id="0">
    <w:p w14:paraId="4F9BB354" w14:textId="77777777" w:rsidR="00723C8B" w:rsidRDefault="00723C8B" w:rsidP="00191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altName w:val="Cambria"/>
    <w:panose1 w:val="020B06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Helvetica Neue">
    <w:altName w:val="Corbel"/>
    <w:panose1 w:val="02000503000000020004"/>
    <w:charset w:val="00"/>
    <w:family w:val="auto"/>
    <w:pitch w:val="variable"/>
    <w:sig w:usb0="E50002FF" w:usb1="500079DB" w:usb2="00000010" w:usb3="00000000" w:csb0="00000001" w:csb1="00000000"/>
  </w:font>
  <w:font w:name="SymbolMT">
    <w:altName w:val="MS Mincho"/>
    <w:panose1 w:val="020B0604020202020204"/>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81902948"/>
      <w:docPartObj>
        <w:docPartGallery w:val="Page Numbers (Bottom of Page)"/>
        <w:docPartUnique/>
      </w:docPartObj>
    </w:sdtPr>
    <w:sdtContent>
      <w:p w14:paraId="7A0BDB4C" w14:textId="419CA987" w:rsidR="00BC3558" w:rsidRDefault="00BC3558" w:rsidP="00860A18">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F599092" w14:textId="77777777" w:rsidR="00BC3558" w:rsidRDefault="00BC3558" w:rsidP="00E15B43">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4A23" w14:textId="34FEF99A" w:rsidR="00BC3558" w:rsidRDefault="00BC3558" w:rsidP="00ED5956">
    <w:pPr>
      <w:pStyle w:val="Rodap"/>
      <w:framePr w:wrap="none" w:vAnchor="text" w:hAnchor="margin" w:xAlign="right" w:y="1"/>
      <w:rPr>
        <w:rStyle w:val="Nmerodepgina"/>
      </w:rPr>
    </w:pPr>
  </w:p>
  <w:p w14:paraId="71190A12" w14:textId="77777777" w:rsidR="00BC3558" w:rsidRDefault="00BC3558" w:rsidP="00E15B43">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EF6B0" w14:textId="77777777" w:rsidR="00723C8B" w:rsidRDefault="00723C8B" w:rsidP="00191AA5">
      <w:r>
        <w:separator/>
      </w:r>
    </w:p>
  </w:footnote>
  <w:footnote w:type="continuationSeparator" w:id="0">
    <w:p w14:paraId="4EE1728D" w14:textId="77777777" w:rsidR="00723C8B" w:rsidRDefault="00723C8B" w:rsidP="00191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470473311"/>
      <w:docPartObj>
        <w:docPartGallery w:val="Page Numbers (Top of Page)"/>
        <w:docPartUnique/>
      </w:docPartObj>
    </w:sdtPr>
    <w:sdtContent>
      <w:p w14:paraId="7361568F" w14:textId="560C4BAB" w:rsidR="00BC3558" w:rsidRDefault="00BC3558" w:rsidP="00ED5956">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25</w:t>
        </w:r>
        <w:r>
          <w:rPr>
            <w:rStyle w:val="Nmerodepgina"/>
          </w:rPr>
          <w:fldChar w:fldCharType="end"/>
        </w:r>
      </w:p>
    </w:sdtContent>
  </w:sdt>
  <w:p w14:paraId="4BE38B3C" w14:textId="77777777" w:rsidR="00BC3558" w:rsidRDefault="00BC3558" w:rsidP="00DE7127">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05594" w14:textId="77777777" w:rsidR="00BC3558" w:rsidRDefault="00BC3558" w:rsidP="00DE7127">
    <w:pPr>
      <w:pStyle w:val="Cabealho"/>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6DD2" w14:textId="77777777" w:rsidR="00BC3558" w:rsidRDefault="00BC355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294825"/>
      <w:docPartObj>
        <w:docPartGallery w:val="Page Numbers (Top of Page)"/>
        <w:docPartUnique/>
      </w:docPartObj>
    </w:sdtPr>
    <w:sdtContent>
      <w:p w14:paraId="63D495A1" w14:textId="18B20DB3" w:rsidR="00BC3558" w:rsidRDefault="00BC3558">
        <w:pPr>
          <w:pStyle w:val="Cabealho"/>
          <w:jc w:val="right"/>
        </w:pPr>
        <w:r>
          <w:fldChar w:fldCharType="begin"/>
        </w:r>
        <w:r>
          <w:instrText>PAGE   \* MERGEFORMAT</w:instrText>
        </w:r>
        <w:r>
          <w:fldChar w:fldCharType="separate"/>
        </w:r>
        <w:r w:rsidR="005A5C70">
          <w:rPr>
            <w:noProof/>
          </w:rPr>
          <w:t>19</w:t>
        </w:r>
        <w:r>
          <w:fldChar w:fldCharType="end"/>
        </w:r>
      </w:p>
    </w:sdtContent>
  </w:sdt>
  <w:p w14:paraId="7BB7397A" w14:textId="77777777" w:rsidR="00BC3558" w:rsidRDefault="00BC3558" w:rsidP="00DE7127">
    <w:pPr>
      <w:pStyle w:val="Cabealho"/>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385501"/>
      <w:docPartObj>
        <w:docPartGallery w:val="Page Numbers (Top of Page)"/>
        <w:docPartUnique/>
      </w:docPartObj>
    </w:sdtPr>
    <w:sdtContent>
      <w:p w14:paraId="481DEA35" w14:textId="77777777" w:rsidR="00BC3558" w:rsidRDefault="00BC3558">
        <w:pPr>
          <w:pStyle w:val="Cabealho"/>
          <w:jc w:val="right"/>
        </w:pPr>
        <w:r>
          <w:fldChar w:fldCharType="begin"/>
        </w:r>
        <w:r>
          <w:instrText>PAGE   \* MERGEFORMAT</w:instrText>
        </w:r>
        <w:r>
          <w:fldChar w:fldCharType="separate"/>
        </w:r>
        <w:r w:rsidR="005A5C70">
          <w:rPr>
            <w:noProof/>
          </w:rPr>
          <w:t>16</w:t>
        </w:r>
        <w:r>
          <w:fldChar w:fldCharType="end"/>
        </w:r>
      </w:p>
    </w:sdtContent>
  </w:sdt>
  <w:p w14:paraId="3EAEC108" w14:textId="77777777" w:rsidR="00BC3558" w:rsidRDefault="00BC355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A360F"/>
    <w:multiLevelType w:val="hybridMultilevel"/>
    <w:tmpl w:val="297241C8"/>
    <w:lvl w:ilvl="0" w:tplc="B1C8F958">
      <w:start w:val="19"/>
      <w:numFmt w:val="bullet"/>
      <w:lvlText w:val=""/>
      <w:lvlJc w:val="left"/>
      <w:pPr>
        <w:ind w:left="1004" w:hanging="360"/>
      </w:pPr>
      <w:rPr>
        <w:rFonts w:ascii="Wingdings" w:eastAsia="Times New Roman" w:hAnsi="Wingdings"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23425EC"/>
    <w:multiLevelType w:val="hybridMultilevel"/>
    <w:tmpl w:val="F08A8E00"/>
    <w:lvl w:ilvl="0" w:tplc="29EA5D30">
      <w:start w:val="1"/>
      <w:numFmt w:val="bullet"/>
      <w:lvlText w:val="•"/>
      <w:lvlJc w:val="left"/>
      <w:pPr>
        <w:tabs>
          <w:tab w:val="num" w:pos="720"/>
        </w:tabs>
        <w:ind w:left="720" w:hanging="360"/>
      </w:pPr>
      <w:rPr>
        <w:rFonts w:ascii="Times New Roman" w:hAnsi="Times New Roman" w:hint="default"/>
      </w:rPr>
    </w:lvl>
    <w:lvl w:ilvl="1" w:tplc="6A9C770C" w:tentative="1">
      <w:start w:val="1"/>
      <w:numFmt w:val="bullet"/>
      <w:lvlText w:val="•"/>
      <w:lvlJc w:val="left"/>
      <w:pPr>
        <w:tabs>
          <w:tab w:val="num" w:pos="1440"/>
        </w:tabs>
        <w:ind w:left="1440" w:hanging="360"/>
      </w:pPr>
      <w:rPr>
        <w:rFonts w:ascii="Times New Roman" w:hAnsi="Times New Roman" w:hint="default"/>
      </w:rPr>
    </w:lvl>
    <w:lvl w:ilvl="2" w:tplc="83F49C62" w:tentative="1">
      <w:start w:val="1"/>
      <w:numFmt w:val="bullet"/>
      <w:lvlText w:val="•"/>
      <w:lvlJc w:val="left"/>
      <w:pPr>
        <w:tabs>
          <w:tab w:val="num" w:pos="2160"/>
        </w:tabs>
        <w:ind w:left="2160" w:hanging="360"/>
      </w:pPr>
      <w:rPr>
        <w:rFonts w:ascii="Times New Roman" w:hAnsi="Times New Roman" w:hint="default"/>
      </w:rPr>
    </w:lvl>
    <w:lvl w:ilvl="3" w:tplc="E2182DC8" w:tentative="1">
      <w:start w:val="1"/>
      <w:numFmt w:val="bullet"/>
      <w:lvlText w:val="•"/>
      <w:lvlJc w:val="left"/>
      <w:pPr>
        <w:tabs>
          <w:tab w:val="num" w:pos="2880"/>
        </w:tabs>
        <w:ind w:left="2880" w:hanging="360"/>
      </w:pPr>
      <w:rPr>
        <w:rFonts w:ascii="Times New Roman" w:hAnsi="Times New Roman" w:hint="default"/>
      </w:rPr>
    </w:lvl>
    <w:lvl w:ilvl="4" w:tplc="C6A2EE56" w:tentative="1">
      <w:start w:val="1"/>
      <w:numFmt w:val="bullet"/>
      <w:lvlText w:val="•"/>
      <w:lvlJc w:val="left"/>
      <w:pPr>
        <w:tabs>
          <w:tab w:val="num" w:pos="3600"/>
        </w:tabs>
        <w:ind w:left="3600" w:hanging="360"/>
      </w:pPr>
      <w:rPr>
        <w:rFonts w:ascii="Times New Roman" w:hAnsi="Times New Roman" w:hint="default"/>
      </w:rPr>
    </w:lvl>
    <w:lvl w:ilvl="5" w:tplc="1D083DBE" w:tentative="1">
      <w:start w:val="1"/>
      <w:numFmt w:val="bullet"/>
      <w:lvlText w:val="•"/>
      <w:lvlJc w:val="left"/>
      <w:pPr>
        <w:tabs>
          <w:tab w:val="num" w:pos="4320"/>
        </w:tabs>
        <w:ind w:left="4320" w:hanging="360"/>
      </w:pPr>
      <w:rPr>
        <w:rFonts w:ascii="Times New Roman" w:hAnsi="Times New Roman" w:hint="default"/>
      </w:rPr>
    </w:lvl>
    <w:lvl w:ilvl="6" w:tplc="257C5500" w:tentative="1">
      <w:start w:val="1"/>
      <w:numFmt w:val="bullet"/>
      <w:lvlText w:val="•"/>
      <w:lvlJc w:val="left"/>
      <w:pPr>
        <w:tabs>
          <w:tab w:val="num" w:pos="5040"/>
        </w:tabs>
        <w:ind w:left="5040" w:hanging="360"/>
      </w:pPr>
      <w:rPr>
        <w:rFonts w:ascii="Times New Roman" w:hAnsi="Times New Roman" w:hint="default"/>
      </w:rPr>
    </w:lvl>
    <w:lvl w:ilvl="7" w:tplc="6D42158C" w:tentative="1">
      <w:start w:val="1"/>
      <w:numFmt w:val="bullet"/>
      <w:lvlText w:val="•"/>
      <w:lvlJc w:val="left"/>
      <w:pPr>
        <w:tabs>
          <w:tab w:val="num" w:pos="5760"/>
        </w:tabs>
        <w:ind w:left="5760" w:hanging="360"/>
      </w:pPr>
      <w:rPr>
        <w:rFonts w:ascii="Times New Roman" w:hAnsi="Times New Roman" w:hint="default"/>
      </w:rPr>
    </w:lvl>
    <w:lvl w:ilvl="8" w:tplc="0B38C9C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AD1DF9"/>
    <w:multiLevelType w:val="hybridMultilevel"/>
    <w:tmpl w:val="02F6DCCC"/>
    <w:lvl w:ilvl="0" w:tplc="FFF646C4">
      <w:start w:val="1"/>
      <w:numFmt w:val="bullet"/>
      <w:lvlText w:val="•"/>
      <w:lvlJc w:val="left"/>
      <w:pPr>
        <w:tabs>
          <w:tab w:val="num" w:pos="720"/>
        </w:tabs>
        <w:ind w:left="720" w:hanging="360"/>
      </w:pPr>
      <w:rPr>
        <w:rFonts w:ascii="Times New Roman" w:hAnsi="Times New Roman" w:hint="default"/>
      </w:rPr>
    </w:lvl>
    <w:lvl w:ilvl="1" w:tplc="360E40A6" w:tentative="1">
      <w:start w:val="1"/>
      <w:numFmt w:val="bullet"/>
      <w:lvlText w:val="•"/>
      <w:lvlJc w:val="left"/>
      <w:pPr>
        <w:tabs>
          <w:tab w:val="num" w:pos="1440"/>
        </w:tabs>
        <w:ind w:left="1440" w:hanging="360"/>
      </w:pPr>
      <w:rPr>
        <w:rFonts w:ascii="Times New Roman" w:hAnsi="Times New Roman" w:hint="default"/>
      </w:rPr>
    </w:lvl>
    <w:lvl w:ilvl="2" w:tplc="9CF6134C" w:tentative="1">
      <w:start w:val="1"/>
      <w:numFmt w:val="bullet"/>
      <w:lvlText w:val="•"/>
      <w:lvlJc w:val="left"/>
      <w:pPr>
        <w:tabs>
          <w:tab w:val="num" w:pos="2160"/>
        </w:tabs>
        <w:ind w:left="2160" w:hanging="360"/>
      </w:pPr>
      <w:rPr>
        <w:rFonts w:ascii="Times New Roman" w:hAnsi="Times New Roman" w:hint="default"/>
      </w:rPr>
    </w:lvl>
    <w:lvl w:ilvl="3" w:tplc="94EA4C98" w:tentative="1">
      <w:start w:val="1"/>
      <w:numFmt w:val="bullet"/>
      <w:lvlText w:val="•"/>
      <w:lvlJc w:val="left"/>
      <w:pPr>
        <w:tabs>
          <w:tab w:val="num" w:pos="2880"/>
        </w:tabs>
        <w:ind w:left="2880" w:hanging="360"/>
      </w:pPr>
      <w:rPr>
        <w:rFonts w:ascii="Times New Roman" w:hAnsi="Times New Roman" w:hint="default"/>
      </w:rPr>
    </w:lvl>
    <w:lvl w:ilvl="4" w:tplc="BD0E3C8E" w:tentative="1">
      <w:start w:val="1"/>
      <w:numFmt w:val="bullet"/>
      <w:lvlText w:val="•"/>
      <w:lvlJc w:val="left"/>
      <w:pPr>
        <w:tabs>
          <w:tab w:val="num" w:pos="3600"/>
        </w:tabs>
        <w:ind w:left="3600" w:hanging="360"/>
      </w:pPr>
      <w:rPr>
        <w:rFonts w:ascii="Times New Roman" w:hAnsi="Times New Roman" w:hint="default"/>
      </w:rPr>
    </w:lvl>
    <w:lvl w:ilvl="5" w:tplc="8C9A7668" w:tentative="1">
      <w:start w:val="1"/>
      <w:numFmt w:val="bullet"/>
      <w:lvlText w:val="•"/>
      <w:lvlJc w:val="left"/>
      <w:pPr>
        <w:tabs>
          <w:tab w:val="num" w:pos="4320"/>
        </w:tabs>
        <w:ind w:left="4320" w:hanging="360"/>
      </w:pPr>
      <w:rPr>
        <w:rFonts w:ascii="Times New Roman" w:hAnsi="Times New Roman" w:hint="default"/>
      </w:rPr>
    </w:lvl>
    <w:lvl w:ilvl="6" w:tplc="EF52B986" w:tentative="1">
      <w:start w:val="1"/>
      <w:numFmt w:val="bullet"/>
      <w:lvlText w:val="•"/>
      <w:lvlJc w:val="left"/>
      <w:pPr>
        <w:tabs>
          <w:tab w:val="num" w:pos="5040"/>
        </w:tabs>
        <w:ind w:left="5040" w:hanging="360"/>
      </w:pPr>
      <w:rPr>
        <w:rFonts w:ascii="Times New Roman" w:hAnsi="Times New Roman" w:hint="default"/>
      </w:rPr>
    </w:lvl>
    <w:lvl w:ilvl="7" w:tplc="FEF00AFE" w:tentative="1">
      <w:start w:val="1"/>
      <w:numFmt w:val="bullet"/>
      <w:lvlText w:val="•"/>
      <w:lvlJc w:val="left"/>
      <w:pPr>
        <w:tabs>
          <w:tab w:val="num" w:pos="5760"/>
        </w:tabs>
        <w:ind w:left="5760" w:hanging="360"/>
      </w:pPr>
      <w:rPr>
        <w:rFonts w:ascii="Times New Roman" w:hAnsi="Times New Roman" w:hint="default"/>
      </w:rPr>
    </w:lvl>
    <w:lvl w:ilvl="8" w:tplc="07188D3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F4A48B1"/>
    <w:multiLevelType w:val="hybridMultilevel"/>
    <w:tmpl w:val="DA823FAE"/>
    <w:lvl w:ilvl="0" w:tplc="04160001">
      <w:start w:val="1"/>
      <w:numFmt w:val="bullet"/>
      <w:lvlText w:val=""/>
      <w:lvlJc w:val="left"/>
      <w:pPr>
        <w:ind w:left="1023" w:hanging="360"/>
      </w:pPr>
      <w:rPr>
        <w:rFonts w:ascii="Symbol" w:hAnsi="Symbol" w:hint="default"/>
      </w:rPr>
    </w:lvl>
    <w:lvl w:ilvl="1" w:tplc="04160003" w:tentative="1">
      <w:start w:val="1"/>
      <w:numFmt w:val="bullet"/>
      <w:lvlText w:val="o"/>
      <w:lvlJc w:val="left"/>
      <w:pPr>
        <w:ind w:left="1743" w:hanging="360"/>
      </w:pPr>
      <w:rPr>
        <w:rFonts w:ascii="Courier New" w:hAnsi="Courier New" w:cs="Courier New" w:hint="default"/>
      </w:rPr>
    </w:lvl>
    <w:lvl w:ilvl="2" w:tplc="04160005" w:tentative="1">
      <w:start w:val="1"/>
      <w:numFmt w:val="bullet"/>
      <w:lvlText w:val=""/>
      <w:lvlJc w:val="left"/>
      <w:pPr>
        <w:ind w:left="2463" w:hanging="360"/>
      </w:pPr>
      <w:rPr>
        <w:rFonts w:ascii="Wingdings" w:hAnsi="Wingdings" w:hint="default"/>
      </w:rPr>
    </w:lvl>
    <w:lvl w:ilvl="3" w:tplc="04160001" w:tentative="1">
      <w:start w:val="1"/>
      <w:numFmt w:val="bullet"/>
      <w:lvlText w:val=""/>
      <w:lvlJc w:val="left"/>
      <w:pPr>
        <w:ind w:left="3183" w:hanging="360"/>
      </w:pPr>
      <w:rPr>
        <w:rFonts w:ascii="Symbol" w:hAnsi="Symbol" w:hint="default"/>
      </w:rPr>
    </w:lvl>
    <w:lvl w:ilvl="4" w:tplc="04160003" w:tentative="1">
      <w:start w:val="1"/>
      <w:numFmt w:val="bullet"/>
      <w:lvlText w:val="o"/>
      <w:lvlJc w:val="left"/>
      <w:pPr>
        <w:ind w:left="3903" w:hanging="360"/>
      </w:pPr>
      <w:rPr>
        <w:rFonts w:ascii="Courier New" w:hAnsi="Courier New" w:cs="Courier New" w:hint="default"/>
      </w:rPr>
    </w:lvl>
    <w:lvl w:ilvl="5" w:tplc="04160005" w:tentative="1">
      <w:start w:val="1"/>
      <w:numFmt w:val="bullet"/>
      <w:lvlText w:val=""/>
      <w:lvlJc w:val="left"/>
      <w:pPr>
        <w:ind w:left="4623" w:hanging="360"/>
      </w:pPr>
      <w:rPr>
        <w:rFonts w:ascii="Wingdings" w:hAnsi="Wingdings" w:hint="default"/>
      </w:rPr>
    </w:lvl>
    <w:lvl w:ilvl="6" w:tplc="04160001" w:tentative="1">
      <w:start w:val="1"/>
      <w:numFmt w:val="bullet"/>
      <w:lvlText w:val=""/>
      <w:lvlJc w:val="left"/>
      <w:pPr>
        <w:ind w:left="5343" w:hanging="360"/>
      </w:pPr>
      <w:rPr>
        <w:rFonts w:ascii="Symbol" w:hAnsi="Symbol" w:hint="default"/>
      </w:rPr>
    </w:lvl>
    <w:lvl w:ilvl="7" w:tplc="04160003" w:tentative="1">
      <w:start w:val="1"/>
      <w:numFmt w:val="bullet"/>
      <w:lvlText w:val="o"/>
      <w:lvlJc w:val="left"/>
      <w:pPr>
        <w:ind w:left="6063" w:hanging="360"/>
      </w:pPr>
      <w:rPr>
        <w:rFonts w:ascii="Courier New" w:hAnsi="Courier New" w:cs="Courier New" w:hint="default"/>
      </w:rPr>
    </w:lvl>
    <w:lvl w:ilvl="8" w:tplc="04160005" w:tentative="1">
      <w:start w:val="1"/>
      <w:numFmt w:val="bullet"/>
      <w:lvlText w:val=""/>
      <w:lvlJc w:val="left"/>
      <w:pPr>
        <w:ind w:left="6783" w:hanging="360"/>
      </w:pPr>
      <w:rPr>
        <w:rFonts w:ascii="Wingdings" w:hAnsi="Wingdings" w:hint="default"/>
      </w:rPr>
    </w:lvl>
  </w:abstractNum>
  <w:abstractNum w:abstractNumId="4" w15:restartNumberingAfterBreak="0">
    <w:nsid w:val="10A13061"/>
    <w:multiLevelType w:val="hybridMultilevel"/>
    <w:tmpl w:val="E3B63F40"/>
    <w:lvl w:ilvl="0" w:tplc="C3F8A394">
      <w:start w:val="19"/>
      <w:numFmt w:val="bullet"/>
      <w:lvlText w:val=""/>
      <w:lvlJc w:val="left"/>
      <w:pPr>
        <w:ind w:left="644" w:hanging="360"/>
      </w:pPr>
      <w:rPr>
        <w:rFonts w:ascii="Wingdings" w:eastAsia="Times New Roman" w:hAnsi="Wingdings"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5" w15:restartNumberingAfterBreak="0">
    <w:nsid w:val="11AB7955"/>
    <w:multiLevelType w:val="hybridMultilevel"/>
    <w:tmpl w:val="85D26180"/>
    <w:lvl w:ilvl="0" w:tplc="6F14EC0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 w15:restartNumberingAfterBreak="0">
    <w:nsid w:val="129D499B"/>
    <w:multiLevelType w:val="multilevel"/>
    <w:tmpl w:val="2ABE3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CB1A3F"/>
    <w:multiLevelType w:val="hybridMultilevel"/>
    <w:tmpl w:val="51DA85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6015EB8"/>
    <w:multiLevelType w:val="multilevel"/>
    <w:tmpl w:val="1B5CF5C2"/>
    <w:lvl w:ilvl="0">
      <w:start w:val="6"/>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16F30B8D"/>
    <w:multiLevelType w:val="hybridMultilevel"/>
    <w:tmpl w:val="8D00A8F0"/>
    <w:lvl w:ilvl="0" w:tplc="BA12C09A">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0" w15:restartNumberingAfterBreak="0">
    <w:nsid w:val="1D864E6E"/>
    <w:multiLevelType w:val="multilevel"/>
    <w:tmpl w:val="23F0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CE5367"/>
    <w:multiLevelType w:val="multilevel"/>
    <w:tmpl w:val="BD2A994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DB5B3C"/>
    <w:multiLevelType w:val="multilevel"/>
    <w:tmpl w:val="B5DA1862"/>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C9A58E8"/>
    <w:multiLevelType w:val="multilevel"/>
    <w:tmpl w:val="0784C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FB6406"/>
    <w:multiLevelType w:val="hybridMultilevel"/>
    <w:tmpl w:val="1EB0C5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0AD0683"/>
    <w:multiLevelType w:val="multilevel"/>
    <w:tmpl w:val="F0A45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8D26C7"/>
    <w:multiLevelType w:val="multilevel"/>
    <w:tmpl w:val="95789386"/>
    <w:lvl w:ilvl="0">
      <w:start w:val="5"/>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7" w15:restartNumberingAfterBreak="0">
    <w:nsid w:val="36B927BD"/>
    <w:multiLevelType w:val="multilevel"/>
    <w:tmpl w:val="64661F0A"/>
    <w:lvl w:ilvl="0">
      <w:start w:val="8"/>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18" w15:restartNumberingAfterBreak="0">
    <w:nsid w:val="39A24211"/>
    <w:multiLevelType w:val="hybridMultilevel"/>
    <w:tmpl w:val="AB903622"/>
    <w:lvl w:ilvl="0" w:tplc="36F237B4">
      <w:start w:val="1"/>
      <w:numFmt w:val="bullet"/>
      <w:lvlText w:val="•"/>
      <w:lvlJc w:val="left"/>
      <w:pPr>
        <w:tabs>
          <w:tab w:val="num" w:pos="720"/>
        </w:tabs>
        <w:ind w:left="720" w:hanging="360"/>
      </w:pPr>
      <w:rPr>
        <w:rFonts w:ascii="Times New Roman" w:hAnsi="Times New Roman" w:hint="default"/>
      </w:rPr>
    </w:lvl>
    <w:lvl w:ilvl="1" w:tplc="7046A908" w:tentative="1">
      <w:start w:val="1"/>
      <w:numFmt w:val="bullet"/>
      <w:lvlText w:val="•"/>
      <w:lvlJc w:val="left"/>
      <w:pPr>
        <w:tabs>
          <w:tab w:val="num" w:pos="1440"/>
        </w:tabs>
        <w:ind w:left="1440" w:hanging="360"/>
      </w:pPr>
      <w:rPr>
        <w:rFonts w:ascii="Times New Roman" w:hAnsi="Times New Roman" w:hint="default"/>
      </w:rPr>
    </w:lvl>
    <w:lvl w:ilvl="2" w:tplc="478AE2FA" w:tentative="1">
      <w:start w:val="1"/>
      <w:numFmt w:val="bullet"/>
      <w:lvlText w:val="•"/>
      <w:lvlJc w:val="left"/>
      <w:pPr>
        <w:tabs>
          <w:tab w:val="num" w:pos="2160"/>
        </w:tabs>
        <w:ind w:left="2160" w:hanging="360"/>
      </w:pPr>
      <w:rPr>
        <w:rFonts w:ascii="Times New Roman" w:hAnsi="Times New Roman" w:hint="default"/>
      </w:rPr>
    </w:lvl>
    <w:lvl w:ilvl="3" w:tplc="4C769B30" w:tentative="1">
      <w:start w:val="1"/>
      <w:numFmt w:val="bullet"/>
      <w:lvlText w:val="•"/>
      <w:lvlJc w:val="left"/>
      <w:pPr>
        <w:tabs>
          <w:tab w:val="num" w:pos="2880"/>
        </w:tabs>
        <w:ind w:left="2880" w:hanging="360"/>
      </w:pPr>
      <w:rPr>
        <w:rFonts w:ascii="Times New Roman" w:hAnsi="Times New Roman" w:hint="default"/>
      </w:rPr>
    </w:lvl>
    <w:lvl w:ilvl="4" w:tplc="136A2C5A" w:tentative="1">
      <w:start w:val="1"/>
      <w:numFmt w:val="bullet"/>
      <w:lvlText w:val="•"/>
      <w:lvlJc w:val="left"/>
      <w:pPr>
        <w:tabs>
          <w:tab w:val="num" w:pos="3600"/>
        </w:tabs>
        <w:ind w:left="3600" w:hanging="360"/>
      </w:pPr>
      <w:rPr>
        <w:rFonts w:ascii="Times New Roman" w:hAnsi="Times New Roman" w:hint="default"/>
      </w:rPr>
    </w:lvl>
    <w:lvl w:ilvl="5" w:tplc="031C8DEC" w:tentative="1">
      <w:start w:val="1"/>
      <w:numFmt w:val="bullet"/>
      <w:lvlText w:val="•"/>
      <w:lvlJc w:val="left"/>
      <w:pPr>
        <w:tabs>
          <w:tab w:val="num" w:pos="4320"/>
        </w:tabs>
        <w:ind w:left="4320" w:hanging="360"/>
      </w:pPr>
      <w:rPr>
        <w:rFonts w:ascii="Times New Roman" w:hAnsi="Times New Roman" w:hint="default"/>
      </w:rPr>
    </w:lvl>
    <w:lvl w:ilvl="6" w:tplc="2A30BE60" w:tentative="1">
      <w:start w:val="1"/>
      <w:numFmt w:val="bullet"/>
      <w:lvlText w:val="•"/>
      <w:lvlJc w:val="left"/>
      <w:pPr>
        <w:tabs>
          <w:tab w:val="num" w:pos="5040"/>
        </w:tabs>
        <w:ind w:left="5040" w:hanging="360"/>
      </w:pPr>
      <w:rPr>
        <w:rFonts w:ascii="Times New Roman" w:hAnsi="Times New Roman" w:hint="default"/>
      </w:rPr>
    </w:lvl>
    <w:lvl w:ilvl="7" w:tplc="E3B2C9F4" w:tentative="1">
      <w:start w:val="1"/>
      <w:numFmt w:val="bullet"/>
      <w:lvlText w:val="•"/>
      <w:lvlJc w:val="left"/>
      <w:pPr>
        <w:tabs>
          <w:tab w:val="num" w:pos="5760"/>
        </w:tabs>
        <w:ind w:left="5760" w:hanging="360"/>
      </w:pPr>
      <w:rPr>
        <w:rFonts w:ascii="Times New Roman" w:hAnsi="Times New Roman" w:hint="default"/>
      </w:rPr>
    </w:lvl>
    <w:lvl w:ilvl="8" w:tplc="174074C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9D97DBB"/>
    <w:multiLevelType w:val="multilevel"/>
    <w:tmpl w:val="2ABE3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4524FD"/>
    <w:multiLevelType w:val="multilevel"/>
    <w:tmpl w:val="AF8054AA"/>
    <w:lvl w:ilvl="0">
      <w:start w:val="4"/>
      <w:numFmt w:val="decimal"/>
      <w:lvlText w:val="%1."/>
      <w:lvlJc w:val="left"/>
      <w:pPr>
        <w:ind w:left="720" w:hanging="360"/>
      </w:pPr>
      <w:rPr>
        <w:rFonts w:hint="default"/>
      </w:rPr>
    </w:lvl>
    <w:lvl w:ilvl="1">
      <w:start w:val="5"/>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8B67E8"/>
    <w:multiLevelType w:val="multilevel"/>
    <w:tmpl w:val="CE3A0BDE"/>
    <w:lvl w:ilvl="0">
      <w:start w:val="2"/>
      <w:numFmt w:val="decimal"/>
      <w:lvlText w:val="%1"/>
      <w:lvlJc w:val="left"/>
      <w:pPr>
        <w:ind w:left="360" w:hanging="360"/>
      </w:pPr>
    </w:lvl>
    <w:lvl w:ilvl="1">
      <w:start w:val="2"/>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 w15:restartNumberingAfterBreak="0">
    <w:nsid w:val="485D5BD8"/>
    <w:multiLevelType w:val="multilevel"/>
    <w:tmpl w:val="8BE67778"/>
    <w:lvl w:ilvl="0">
      <w:start w:val="6"/>
      <w:numFmt w:val="decimal"/>
      <w:lvlText w:val="%1"/>
      <w:lvlJc w:val="left"/>
      <w:pPr>
        <w:ind w:left="480" w:hanging="480"/>
      </w:pPr>
      <w:rPr>
        <w:rFonts w:hint="default"/>
      </w:rPr>
    </w:lvl>
    <w:lvl w:ilvl="1">
      <w:start w:val="5"/>
      <w:numFmt w:val="decimal"/>
      <w:lvlText w:val="%1.%2"/>
      <w:lvlJc w:val="left"/>
      <w:pPr>
        <w:ind w:left="622" w:hanging="48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3" w15:restartNumberingAfterBreak="0">
    <w:nsid w:val="49F56ED4"/>
    <w:multiLevelType w:val="multilevel"/>
    <w:tmpl w:val="B5DA1862"/>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12115E0"/>
    <w:multiLevelType w:val="hybridMultilevel"/>
    <w:tmpl w:val="696A6976"/>
    <w:lvl w:ilvl="0" w:tplc="749ACBD6">
      <w:start w:val="10"/>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1ED33C6"/>
    <w:multiLevelType w:val="hybridMultilevel"/>
    <w:tmpl w:val="C68A4788"/>
    <w:lvl w:ilvl="0" w:tplc="8CB0DAC8">
      <w:start w:val="10"/>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6" w15:restartNumberingAfterBreak="0">
    <w:nsid w:val="58BF732B"/>
    <w:multiLevelType w:val="multilevel"/>
    <w:tmpl w:val="373441AA"/>
    <w:lvl w:ilvl="0">
      <w:start w:val="6"/>
      <w:numFmt w:val="decimal"/>
      <w:lvlText w:val="%1.0."/>
      <w:lvlJc w:val="left"/>
      <w:pPr>
        <w:ind w:left="1140" w:hanging="360"/>
      </w:pPr>
      <w:rPr>
        <w:rFonts w:hint="default"/>
      </w:rPr>
    </w:lvl>
    <w:lvl w:ilvl="1">
      <w:start w:val="1"/>
      <w:numFmt w:val="decimal"/>
      <w:lvlText w:val="%1.%2."/>
      <w:lvlJc w:val="left"/>
      <w:pPr>
        <w:ind w:left="1848" w:hanging="360"/>
      </w:pPr>
      <w:rPr>
        <w:rFonts w:hint="default"/>
      </w:rPr>
    </w:lvl>
    <w:lvl w:ilvl="2">
      <w:start w:val="1"/>
      <w:numFmt w:val="decimal"/>
      <w:lvlText w:val="%1.%2.%3."/>
      <w:lvlJc w:val="left"/>
      <w:pPr>
        <w:ind w:left="2916" w:hanging="720"/>
      </w:pPr>
      <w:rPr>
        <w:rFonts w:hint="default"/>
      </w:rPr>
    </w:lvl>
    <w:lvl w:ilvl="3">
      <w:start w:val="1"/>
      <w:numFmt w:val="decimal"/>
      <w:lvlText w:val="%1.%2.%3.%4."/>
      <w:lvlJc w:val="left"/>
      <w:pPr>
        <w:ind w:left="3624" w:hanging="720"/>
      </w:pPr>
      <w:rPr>
        <w:rFonts w:hint="default"/>
      </w:rPr>
    </w:lvl>
    <w:lvl w:ilvl="4">
      <w:start w:val="1"/>
      <w:numFmt w:val="decimal"/>
      <w:lvlText w:val="%1.%2.%3.%4.%5."/>
      <w:lvlJc w:val="left"/>
      <w:pPr>
        <w:ind w:left="4692"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68" w:hanging="1440"/>
      </w:pPr>
      <w:rPr>
        <w:rFonts w:hint="default"/>
      </w:rPr>
    </w:lvl>
    <w:lvl w:ilvl="7">
      <w:start w:val="1"/>
      <w:numFmt w:val="decimal"/>
      <w:lvlText w:val="%1.%2.%3.%4.%5.%6.%7.%8."/>
      <w:lvlJc w:val="left"/>
      <w:pPr>
        <w:ind w:left="7176" w:hanging="1440"/>
      </w:pPr>
      <w:rPr>
        <w:rFonts w:hint="default"/>
      </w:rPr>
    </w:lvl>
    <w:lvl w:ilvl="8">
      <w:start w:val="1"/>
      <w:numFmt w:val="decimal"/>
      <w:lvlText w:val="%1.%2.%3.%4.%5.%6.%7.%8.%9."/>
      <w:lvlJc w:val="left"/>
      <w:pPr>
        <w:ind w:left="8244" w:hanging="1800"/>
      </w:pPr>
      <w:rPr>
        <w:rFonts w:hint="default"/>
      </w:rPr>
    </w:lvl>
  </w:abstractNum>
  <w:abstractNum w:abstractNumId="27" w15:restartNumberingAfterBreak="0">
    <w:nsid w:val="5E1B055B"/>
    <w:multiLevelType w:val="multilevel"/>
    <w:tmpl w:val="2ABE3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1830FA1"/>
    <w:multiLevelType w:val="hybridMultilevel"/>
    <w:tmpl w:val="7A1E49F6"/>
    <w:lvl w:ilvl="0" w:tplc="DA301E02">
      <w:start w:val="1"/>
      <w:numFmt w:val="decimal"/>
      <w:lvlText w:val="%1"/>
      <w:lvlJc w:val="left"/>
      <w:pPr>
        <w:ind w:left="394" w:hanging="360"/>
      </w:pPr>
      <w:rPr>
        <w:rFonts w:hint="default"/>
      </w:rPr>
    </w:lvl>
    <w:lvl w:ilvl="1" w:tplc="04160019" w:tentative="1">
      <w:start w:val="1"/>
      <w:numFmt w:val="lowerLetter"/>
      <w:lvlText w:val="%2."/>
      <w:lvlJc w:val="left"/>
      <w:pPr>
        <w:ind w:left="1114" w:hanging="360"/>
      </w:pPr>
    </w:lvl>
    <w:lvl w:ilvl="2" w:tplc="0416001B" w:tentative="1">
      <w:start w:val="1"/>
      <w:numFmt w:val="lowerRoman"/>
      <w:lvlText w:val="%3."/>
      <w:lvlJc w:val="right"/>
      <w:pPr>
        <w:ind w:left="1834" w:hanging="180"/>
      </w:pPr>
    </w:lvl>
    <w:lvl w:ilvl="3" w:tplc="0416000F" w:tentative="1">
      <w:start w:val="1"/>
      <w:numFmt w:val="decimal"/>
      <w:lvlText w:val="%4."/>
      <w:lvlJc w:val="left"/>
      <w:pPr>
        <w:ind w:left="2554" w:hanging="360"/>
      </w:pPr>
    </w:lvl>
    <w:lvl w:ilvl="4" w:tplc="04160019" w:tentative="1">
      <w:start w:val="1"/>
      <w:numFmt w:val="lowerLetter"/>
      <w:lvlText w:val="%5."/>
      <w:lvlJc w:val="left"/>
      <w:pPr>
        <w:ind w:left="3274" w:hanging="360"/>
      </w:pPr>
    </w:lvl>
    <w:lvl w:ilvl="5" w:tplc="0416001B" w:tentative="1">
      <w:start w:val="1"/>
      <w:numFmt w:val="lowerRoman"/>
      <w:lvlText w:val="%6."/>
      <w:lvlJc w:val="right"/>
      <w:pPr>
        <w:ind w:left="3994" w:hanging="180"/>
      </w:pPr>
    </w:lvl>
    <w:lvl w:ilvl="6" w:tplc="0416000F" w:tentative="1">
      <w:start w:val="1"/>
      <w:numFmt w:val="decimal"/>
      <w:lvlText w:val="%7."/>
      <w:lvlJc w:val="left"/>
      <w:pPr>
        <w:ind w:left="4714" w:hanging="360"/>
      </w:pPr>
    </w:lvl>
    <w:lvl w:ilvl="7" w:tplc="04160019" w:tentative="1">
      <w:start w:val="1"/>
      <w:numFmt w:val="lowerLetter"/>
      <w:lvlText w:val="%8."/>
      <w:lvlJc w:val="left"/>
      <w:pPr>
        <w:ind w:left="5434" w:hanging="360"/>
      </w:pPr>
    </w:lvl>
    <w:lvl w:ilvl="8" w:tplc="0416001B" w:tentative="1">
      <w:start w:val="1"/>
      <w:numFmt w:val="lowerRoman"/>
      <w:lvlText w:val="%9."/>
      <w:lvlJc w:val="right"/>
      <w:pPr>
        <w:ind w:left="6154" w:hanging="180"/>
      </w:pPr>
    </w:lvl>
  </w:abstractNum>
  <w:abstractNum w:abstractNumId="29" w15:restartNumberingAfterBreak="0">
    <w:nsid w:val="722B1FC7"/>
    <w:multiLevelType w:val="multilevel"/>
    <w:tmpl w:val="B6C2DBCE"/>
    <w:lvl w:ilvl="0">
      <w:start w:val="4"/>
      <w:numFmt w:val="decimal"/>
      <w:pStyle w:val="Ttulo1"/>
      <w:lvlText w:val="%1."/>
      <w:lvlJc w:val="left"/>
      <w:pPr>
        <w:ind w:left="720" w:hanging="360"/>
      </w:pPr>
    </w:lvl>
    <w:lvl w:ilvl="1">
      <w:start w:val="1"/>
      <w:numFmt w:val="decimal"/>
      <w:pStyle w:val="Ttulo2"/>
      <w:lvlText w:val="%1.%2."/>
      <w:lvlJc w:val="left"/>
      <w:pPr>
        <w:ind w:left="720" w:hanging="360"/>
      </w:pPr>
    </w:lvl>
    <w:lvl w:ilvl="2">
      <w:start w:val="1"/>
      <w:numFmt w:val="decimal"/>
      <w:pStyle w:val="Ttulo3"/>
      <w:lvlText w:val="%1.%2.%3."/>
      <w:lvlJc w:val="left"/>
      <w:pPr>
        <w:ind w:left="1080" w:hanging="720"/>
      </w:pPr>
    </w:lvl>
    <w:lvl w:ilvl="3">
      <w:start w:val="1"/>
      <w:numFmt w:val="decimal"/>
      <w:pStyle w:val="Ttulo4"/>
      <w:lvlText w:val="%1.%2.%3.%4."/>
      <w:lvlJc w:val="left"/>
      <w:pPr>
        <w:ind w:left="1080" w:hanging="720"/>
      </w:pPr>
    </w:lvl>
    <w:lvl w:ilvl="4">
      <w:start w:val="1"/>
      <w:numFmt w:val="decimal"/>
      <w:pStyle w:val="Ttulo5"/>
      <w:lvlText w:val="%1.%2.%3.%4.%5."/>
      <w:lvlJc w:val="left"/>
      <w:pPr>
        <w:ind w:left="1440" w:hanging="1080"/>
      </w:pPr>
    </w:lvl>
    <w:lvl w:ilvl="5">
      <w:start w:val="1"/>
      <w:numFmt w:val="decimal"/>
      <w:pStyle w:val="Ttulo6"/>
      <w:lvlText w:val="%1.%2.%3.%4.%5.%6."/>
      <w:lvlJc w:val="left"/>
      <w:pPr>
        <w:ind w:left="1440" w:hanging="1080"/>
      </w:pPr>
    </w:lvl>
    <w:lvl w:ilvl="6">
      <w:start w:val="1"/>
      <w:numFmt w:val="decimal"/>
      <w:pStyle w:val="Ttulo7"/>
      <w:lvlText w:val="%1.%2.%3.%4.%5.%6.%7."/>
      <w:lvlJc w:val="left"/>
      <w:pPr>
        <w:ind w:left="1800" w:hanging="1440"/>
      </w:pPr>
    </w:lvl>
    <w:lvl w:ilvl="7">
      <w:start w:val="1"/>
      <w:numFmt w:val="decimal"/>
      <w:pStyle w:val="Ttulo8"/>
      <w:lvlText w:val="%1.%2.%3.%4.%5.%6.%7.%8."/>
      <w:lvlJc w:val="left"/>
      <w:pPr>
        <w:ind w:left="1800" w:hanging="1440"/>
      </w:pPr>
    </w:lvl>
    <w:lvl w:ilvl="8">
      <w:start w:val="1"/>
      <w:numFmt w:val="decimal"/>
      <w:pStyle w:val="Ttulo9"/>
      <w:lvlText w:val="%1.%2.%3.%4.%5.%6.%7.%8.%9."/>
      <w:lvlJc w:val="left"/>
      <w:pPr>
        <w:ind w:left="2160" w:hanging="1800"/>
      </w:pPr>
    </w:lvl>
  </w:abstractNum>
  <w:abstractNum w:abstractNumId="30" w15:restartNumberingAfterBreak="0">
    <w:nsid w:val="72C53FAB"/>
    <w:multiLevelType w:val="hybridMultilevel"/>
    <w:tmpl w:val="D7BAA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E87680C"/>
    <w:multiLevelType w:val="multilevel"/>
    <w:tmpl w:val="0848245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94341236">
    <w:abstractNumId w:val="6"/>
  </w:num>
  <w:num w:numId="2" w16cid:durableId="1762214459">
    <w:abstractNumId w:val="21"/>
  </w:num>
  <w:num w:numId="3" w16cid:durableId="198862457">
    <w:abstractNumId w:val="13"/>
  </w:num>
  <w:num w:numId="4" w16cid:durableId="551968033">
    <w:abstractNumId w:val="15"/>
  </w:num>
  <w:num w:numId="5" w16cid:durableId="1343819819">
    <w:abstractNumId w:val="29"/>
  </w:num>
  <w:num w:numId="6" w16cid:durableId="1129123909">
    <w:abstractNumId w:val="29"/>
  </w:num>
  <w:num w:numId="7" w16cid:durableId="97214794">
    <w:abstractNumId w:val="22"/>
  </w:num>
  <w:num w:numId="8" w16cid:durableId="565992475">
    <w:abstractNumId w:val="4"/>
  </w:num>
  <w:num w:numId="9" w16cid:durableId="1008410227">
    <w:abstractNumId w:val="0"/>
  </w:num>
  <w:num w:numId="10" w16cid:durableId="274678777">
    <w:abstractNumId w:val="30"/>
  </w:num>
  <w:num w:numId="11" w16cid:durableId="219944954">
    <w:abstractNumId w:val="20"/>
  </w:num>
  <w:num w:numId="12" w16cid:durableId="56823530">
    <w:abstractNumId w:val="23"/>
  </w:num>
  <w:num w:numId="13" w16cid:durableId="178109698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8285857">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8614586">
    <w:abstractNumId w:val="9"/>
  </w:num>
  <w:num w:numId="16" w16cid:durableId="1283610376">
    <w:abstractNumId w:val="5"/>
  </w:num>
  <w:num w:numId="17" w16cid:durableId="224070359">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9320705">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0860640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32061945">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49931442">
    <w:abstractNumId w:val="10"/>
  </w:num>
  <w:num w:numId="22" w16cid:durableId="401757304">
    <w:abstractNumId w:val="29"/>
  </w:num>
  <w:num w:numId="23" w16cid:durableId="1437212761">
    <w:abstractNumId w:val="29"/>
  </w:num>
  <w:num w:numId="24" w16cid:durableId="62019254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59003507">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99768876">
    <w:abstractNumId w:val="7"/>
  </w:num>
  <w:num w:numId="27" w16cid:durableId="336157548">
    <w:abstractNumId w:val="29"/>
    <w:lvlOverride w:ilvl="0">
      <w:startOverride w:val="9"/>
    </w:lvlOverride>
  </w:num>
  <w:num w:numId="28" w16cid:durableId="1106654479">
    <w:abstractNumId w:val="16"/>
  </w:num>
  <w:num w:numId="29" w16cid:durableId="264575378">
    <w:abstractNumId w:val="26"/>
  </w:num>
  <w:num w:numId="30" w16cid:durableId="1918710100">
    <w:abstractNumId w:val="8"/>
  </w:num>
  <w:num w:numId="31" w16cid:durableId="536046427">
    <w:abstractNumId w:val="17"/>
  </w:num>
  <w:num w:numId="32" w16cid:durableId="379745964">
    <w:abstractNumId w:val="27"/>
  </w:num>
  <w:num w:numId="33" w16cid:durableId="1934121107">
    <w:abstractNumId w:val="19"/>
  </w:num>
  <w:num w:numId="34" w16cid:durableId="50736179">
    <w:abstractNumId w:val="12"/>
  </w:num>
  <w:num w:numId="35" w16cid:durableId="1687366590">
    <w:abstractNumId w:val="3"/>
  </w:num>
  <w:num w:numId="36" w16cid:durableId="347996794">
    <w:abstractNumId w:val="18"/>
  </w:num>
  <w:num w:numId="37" w16cid:durableId="416949669">
    <w:abstractNumId w:val="2"/>
  </w:num>
  <w:num w:numId="38" w16cid:durableId="1261914911">
    <w:abstractNumId w:val="1"/>
  </w:num>
  <w:num w:numId="39" w16cid:durableId="1086271292">
    <w:abstractNumId w:val="28"/>
  </w:num>
  <w:num w:numId="40" w16cid:durableId="1190684691">
    <w:abstractNumId w:val="24"/>
  </w:num>
  <w:num w:numId="41" w16cid:durableId="389311847">
    <w:abstractNumId w:val="25"/>
  </w:num>
  <w:num w:numId="42" w16cid:durableId="1010529825">
    <w:abstractNumId w:val="14"/>
  </w:num>
  <w:num w:numId="43" w16cid:durableId="1662270466">
    <w:abstractNumId w:val="11"/>
  </w:num>
  <w:num w:numId="44" w16cid:durableId="80504732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B7F"/>
    <w:rsid w:val="00001254"/>
    <w:rsid w:val="00001509"/>
    <w:rsid w:val="0000207B"/>
    <w:rsid w:val="0000243F"/>
    <w:rsid w:val="0000342A"/>
    <w:rsid w:val="00005524"/>
    <w:rsid w:val="0000588E"/>
    <w:rsid w:val="000108D5"/>
    <w:rsid w:val="00012BA9"/>
    <w:rsid w:val="00024BD9"/>
    <w:rsid w:val="00024E4C"/>
    <w:rsid w:val="00024EBF"/>
    <w:rsid w:val="00025210"/>
    <w:rsid w:val="00026C39"/>
    <w:rsid w:val="00027215"/>
    <w:rsid w:val="00032B8A"/>
    <w:rsid w:val="00033126"/>
    <w:rsid w:val="000332F2"/>
    <w:rsid w:val="00033967"/>
    <w:rsid w:val="00033B6F"/>
    <w:rsid w:val="00034A3A"/>
    <w:rsid w:val="00034EDF"/>
    <w:rsid w:val="00035A55"/>
    <w:rsid w:val="00043A99"/>
    <w:rsid w:val="00044313"/>
    <w:rsid w:val="00047856"/>
    <w:rsid w:val="000537EF"/>
    <w:rsid w:val="00054E9B"/>
    <w:rsid w:val="000602E5"/>
    <w:rsid w:val="00060647"/>
    <w:rsid w:val="00065613"/>
    <w:rsid w:val="00066A86"/>
    <w:rsid w:val="00066D79"/>
    <w:rsid w:val="00073F79"/>
    <w:rsid w:val="00076A56"/>
    <w:rsid w:val="00077F34"/>
    <w:rsid w:val="00082422"/>
    <w:rsid w:val="0008277E"/>
    <w:rsid w:val="00082CEB"/>
    <w:rsid w:val="00083D5B"/>
    <w:rsid w:val="000847BD"/>
    <w:rsid w:val="000856B1"/>
    <w:rsid w:val="000901DE"/>
    <w:rsid w:val="00090571"/>
    <w:rsid w:val="00091A07"/>
    <w:rsid w:val="000945BC"/>
    <w:rsid w:val="0009469A"/>
    <w:rsid w:val="00095A71"/>
    <w:rsid w:val="000964CE"/>
    <w:rsid w:val="00097753"/>
    <w:rsid w:val="000A329E"/>
    <w:rsid w:val="000A3514"/>
    <w:rsid w:val="000A5508"/>
    <w:rsid w:val="000A6BE2"/>
    <w:rsid w:val="000A7037"/>
    <w:rsid w:val="000A7F00"/>
    <w:rsid w:val="000B09C9"/>
    <w:rsid w:val="000B16D8"/>
    <w:rsid w:val="000B1801"/>
    <w:rsid w:val="000B2C79"/>
    <w:rsid w:val="000B31C0"/>
    <w:rsid w:val="000B358B"/>
    <w:rsid w:val="000B3FFC"/>
    <w:rsid w:val="000B6965"/>
    <w:rsid w:val="000C2301"/>
    <w:rsid w:val="000C277B"/>
    <w:rsid w:val="000C56CC"/>
    <w:rsid w:val="000C5C1E"/>
    <w:rsid w:val="000C5DB6"/>
    <w:rsid w:val="000C6C63"/>
    <w:rsid w:val="000C6CB9"/>
    <w:rsid w:val="000D04E7"/>
    <w:rsid w:val="000D0759"/>
    <w:rsid w:val="000D1088"/>
    <w:rsid w:val="000D1660"/>
    <w:rsid w:val="000D1C9D"/>
    <w:rsid w:val="000D336F"/>
    <w:rsid w:val="000D59B4"/>
    <w:rsid w:val="000D5DC9"/>
    <w:rsid w:val="000D6A5B"/>
    <w:rsid w:val="000E11DB"/>
    <w:rsid w:val="000E11E7"/>
    <w:rsid w:val="000E199B"/>
    <w:rsid w:val="000E23D2"/>
    <w:rsid w:val="000E380B"/>
    <w:rsid w:val="000E4A21"/>
    <w:rsid w:val="000E6B51"/>
    <w:rsid w:val="000F0DE6"/>
    <w:rsid w:val="000F3B43"/>
    <w:rsid w:val="000F4245"/>
    <w:rsid w:val="000F5886"/>
    <w:rsid w:val="000F6C56"/>
    <w:rsid w:val="000F6C97"/>
    <w:rsid w:val="00101F6A"/>
    <w:rsid w:val="00102720"/>
    <w:rsid w:val="0010561F"/>
    <w:rsid w:val="00107D53"/>
    <w:rsid w:val="00110CEC"/>
    <w:rsid w:val="00110EDE"/>
    <w:rsid w:val="00111837"/>
    <w:rsid w:val="00112065"/>
    <w:rsid w:val="0011700A"/>
    <w:rsid w:val="00117589"/>
    <w:rsid w:val="00121275"/>
    <w:rsid w:val="00123738"/>
    <w:rsid w:val="00125BE1"/>
    <w:rsid w:val="00125D33"/>
    <w:rsid w:val="00126368"/>
    <w:rsid w:val="00131DFE"/>
    <w:rsid w:val="00132A7D"/>
    <w:rsid w:val="00132E1A"/>
    <w:rsid w:val="00135273"/>
    <w:rsid w:val="00136001"/>
    <w:rsid w:val="001364B9"/>
    <w:rsid w:val="001403DB"/>
    <w:rsid w:val="001404AC"/>
    <w:rsid w:val="001415AD"/>
    <w:rsid w:val="001418B7"/>
    <w:rsid w:val="00141A9B"/>
    <w:rsid w:val="00141E2A"/>
    <w:rsid w:val="0014348A"/>
    <w:rsid w:val="00145F81"/>
    <w:rsid w:val="001475EC"/>
    <w:rsid w:val="00147893"/>
    <w:rsid w:val="00147EA0"/>
    <w:rsid w:val="00151725"/>
    <w:rsid w:val="00157650"/>
    <w:rsid w:val="00160E88"/>
    <w:rsid w:val="00161598"/>
    <w:rsid w:val="00161799"/>
    <w:rsid w:val="001620F5"/>
    <w:rsid w:val="00163331"/>
    <w:rsid w:val="00164842"/>
    <w:rsid w:val="00171DB0"/>
    <w:rsid w:val="0017688A"/>
    <w:rsid w:val="0018038B"/>
    <w:rsid w:val="0018088D"/>
    <w:rsid w:val="001825BC"/>
    <w:rsid w:val="00184A0B"/>
    <w:rsid w:val="001869AD"/>
    <w:rsid w:val="00190E32"/>
    <w:rsid w:val="00191AA5"/>
    <w:rsid w:val="00193D62"/>
    <w:rsid w:val="0019584E"/>
    <w:rsid w:val="001968AD"/>
    <w:rsid w:val="00197CF4"/>
    <w:rsid w:val="001A2280"/>
    <w:rsid w:val="001A3B5E"/>
    <w:rsid w:val="001A49C5"/>
    <w:rsid w:val="001A68E0"/>
    <w:rsid w:val="001A6A2F"/>
    <w:rsid w:val="001B0D08"/>
    <w:rsid w:val="001B1BFF"/>
    <w:rsid w:val="001B308C"/>
    <w:rsid w:val="001B30A4"/>
    <w:rsid w:val="001B37B6"/>
    <w:rsid w:val="001B4588"/>
    <w:rsid w:val="001B6824"/>
    <w:rsid w:val="001C00BF"/>
    <w:rsid w:val="001C05F1"/>
    <w:rsid w:val="001C16DF"/>
    <w:rsid w:val="001C17F9"/>
    <w:rsid w:val="001C1BFE"/>
    <w:rsid w:val="001C2D58"/>
    <w:rsid w:val="001C3DB5"/>
    <w:rsid w:val="001C4313"/>
    <w:rsid w:val="001C4481"/>
    <w:rsid w:val="001C469C"/>
    <w:rsid w:val="001C59D7"/>
    <w:rsid w:val="001C726F"/>
    <w:rsid w:val="001C7BFD"/>
    <w:rsid w:val="001D0F35"/>
    <w:rsid w:val="001D2A68"/>
    <w:rsid w:val="001D4B35"/>
    <w:rsid w:val="001D5167"/>
    <w:rsid w:val="001D5486"/>
    <w:rsid w:val="001D5684"/>
    <w:rsid w:val="001D62E5"/>
    <w:rsid w:val="001D6369"/>
    <w:rsid w:val="001D74B0"/>
    <w:rsid w:val="001E53B7"/>
    <w:rsid w:val="001E6EEE"/>
    <w:rsid w:val="001F0B80"/>
    <w:rsid w:val="001F2014"/>
    <w:rsid w:val="001F2B0C"/>
    <w:rsid w:val="001F2CEB"/>
    <w:rsid w:val="001F4FAD"/>
    <w:rsid w:val="001F51F3"/>
    <w:rsid w:val="001F75D0"/>
    <w:rsid w:val="0020053F"/>
    <w:rsid w:val="00200896"/>
    <w:rsid w:val="002043D7"/>
    <w:rsid w:val="00205198"/>
    <w:rsid w:val="00214B1E"/>
    <w:rsid w:val="00215564"/>
    <w:rsid w:val="00216C8C"/>
    <w:rsid w:val="00220F1C"/>
    <w:rsid w:val="00221668"/>
    <w:rsid w:val="00222365"/>
    <w:rsid w:val="00223722"/>
    <w:rsid w:val="00225832"/>
    <w:rsid w:val="00226F75"/>
    <w:rsid w:val="002279C2"/>
    <w:rsid w:val="00227AC1"/>
    <w:rsid w:val="00227D8A"/>
    <w:rsid w:val="00227EF8"/>
    <w:rsid w:val="00230269"/>
    <w:rsid w:val="00231880"/>
    <w:rsid w:val="00231E5C"/>
    <w:rsid w:val="00233D8C"/>
    <w:rsid w:val="00234565"/>
    <w:rsid w:val="002354E8"/>
    <w:rsid w:val="00235F72"/>
    <w:rsid w:val="00237B6E"/>
    <w:rsid w:val="00240A12"/>
    <w:rsid w:val="0024156F"/>
    <w:rsid w:val="002416F3"/>
    <w:rsid w:val="002452F8"/>
    <w:rsid w:val="00246A48"/>
    <w:rsid w:val="002478E1"/>
    <w:rsid w:val="00247A6F"/>
    <w:rsid w:val="00247B36"/>
    <w:rsid w:val="00251765"/>
    <w:rsid w:val="002535DC"/>
    <w:rsid w:val="002553DC"/>
    <w:rsid w:val="00256E3C"/>
    <w:rsid w:val="00257005"/>
    <w:rsid w:val="00260F52"/>
    <w:rsid w:val="002617A6"/>
    <w:rsid w:val="00262059"/>
    <w:rsid w:val="00263628"/>
    <w:rsid w:val="00265712"/>
    <w:rsid w:val="00266101"/>
    <w:rsid w:val="002674F1"/>
    <w:rsid w:val="00267D8B"/>
    <w:rsid w:val="00267FD8"/>
    <w:rsid w:val="00272BF1"/>
    <w:rsid w:val="00272C93"/>
    <w:rsid w:val="00273343"/>
    <w:rsid w:val="00274482"/>
    <w:rsid w:val="00275EBD"/>
    <w:rsid w:val="00277135"/>
    <w:rsid w:val="00280C26"/>
    <w:rsid w:val="002814BE"/>
    <w:rsid w:val="00282058"/>
    <w:rsid w:val="00282854"/>
    <w:rsid w:val="0028470B"/>
    <w:rsid w:val="00284B7F"/>
    <w:rsid w:val="00284C83"/>
    <w:rsid w:val="00284FAA"/>
    <w:rsid w:val="002876AE"/>
    <w:rsid w:val="00290F4F"/>
    <w:rsid w:val="00293383"/>
    <w:rsid w:val="002941AD"/>
    <w:rsid w:val="002941B7"/>
    <w:rsid w:val="00297109"/>
    <w:rsid w:val="002A0074"/>
    <w:rsid w:val="002A028A"/>
    <w:rsid w:val="002A1A4E"/>
    <w:rsid w:val="002A367B"/>
    <w:rsid w:val="002A4B55"/>
    <w:rsid w:val="002A4F84"/>
    <w:rsid w:val="002A77C0"/>
    <w:rsid w:val="002A7B99"/>
    <w:rsid w:val="002B1F83"/>
    <w:rsid w:val="002B338F"/>
    <w:rsid w:val="002B36EC"/>
    <w:rsid w:val="002B4D5F"/>
    <w:rsid w:val="002B6C74"/>
    <w:rsid w:val="002B7235"/>
    <w:rsid w:val="002B7390"/>
    <w:rsid w:val="002C1F48"/>
    <w:rsid w:val="002C36C7"/>
    <w:rsid w:val="002C551B"/>
    <w:rsid w:val="002C5DBA"/>
    <w:rsid w:val="002C713E"/>
    <w:rsid w:val="002D20A6"/>
    <w:rsid w:val="002D537C"/>
    <w:rsid w:val="002D646B"/>
    <w:rsid w:val="002D77CB"/>
    <w:rsid w:val="002D7E10"/>
    <w:rsid w:val="002E281D"/>
    <w:rsid w:val="002E4757"/>
    <w:rsid w:val="002E669F"/>
    <w:rsid w:val="002E752B"/>
    <w:rsid w:val="002F0973"/>
    <w:rsid w:val="002F141D"/>
    <w:rsid w:val="002F2052"/>
    <w:rsid w:val="002F205A"/>
    <w:rsid w:val="002F5F3B"/>
    <w:rsid w:val="002F7C01"/>
    <w:rsid w:val="002F7E12"/>
    <w:rsid w:val="003009CB"/>
    <w:rsid w:val="003018FB"/>
    <w:rsid w:val="003024E4"/>
    <w:rsid w:val="00302B53"/>
    <w:rsid w:val="003034C6"/>
    <w:rsid w:val="00303A5C"/>
    <w:rsid w:val="00304DCE"/>
    <w:rsid w:val="00307A51"/>
    <w:rsid w:val="003110A4"/>
    <w:rsid w:val="00311653"/>
    <w:rsid w:val="003116DD"/>
    <w:rsid w:val="00312F9C"/>
    <w:rsid w:val="0031365A"/>
    <w:rsid w:val="00313B2F"/>
    <w:rsid w:val="00314FB6"/>
    <w:rsid w:val="00315787"/>
    <w:rsid w:val="00316C40"/>
    <w:rsid w:val="0031715F"/>
    <w:rsid w:val="00317EA9"/>
    <w:rsid w:val="00320A42"/>
    <w:rsid w:val="00321659"/>
    <w:rsid w:val="00324A19"/>
    <w:rsid w:val="00326CB3"/>
    <w:rsid w:val="00333794"/>
    <w:rsid w:val="00335FA4"/>
    <w:rsid w:val="00337062"/>
    <w:rsid w:val="003401CB"/>
    <w:rsid w:val="003402B8"/>
    <w:rsid w:val="003409E0"/>
    <w:rsid w:val="00340D84"/>
    <w:rsid w:val="00340EC5"/>
    <w:rsid w:val="0034179D"/>
    <w:rsid w:val="00341921"/>
    <w:rsid w:val="00342A40"/>
    <w:rsid w:val="00342A79"/>
    <w:rsid w:val="0034399A"/>
    <w:rsid w:val="00343F1D"/>
    <w:rsid w:val="00344DCD"/>
    <w:rsid w:val="00345A88"/>
    <w:rsid w:val="003460CF"/>
    <w:rsid w:val="00346FE2"/>
    <w:rsid w:val="00347002"/>
    <w:rsid w:val="003479D5"/>
    <w:rsid w:val="00347C00"/>
    <w:rsid w:val="00347F25"/>
    <w:rsid w:val="00350A78"/>
    <w:rsid w:val="003512F0"/>
    <w:rsid w:val="00352268"/>
    <w:rsid w:val="00353287"/>
    <w:rsid w:val="00355155"/>
    <w:rsid w:val="00355A4D"/>
    <w:rsid w:val="00357F47"/>
    <w:rsid w:val="00360BDF"/>
    <w:rsid w:val="00362186"/>
    <w:rsid w:val="00363677"/>
    <w:rsid w:val="003657DB"/>
    <w:rsid w:val="003713D9"/>
    <w:rsid w:val="00371529"/>
    <w:rsid w:val="00371BB4"/>
    <w:rsid w:val="0037360E"/>
    <w:rsid w:val="003766A1"/>
    <w:rsid w:val="0038216A"/>
    <w:rsid w:val="0038430D"/>
    <w:rsid w:val="00384444"/>
    <w:rsid w:val="00384467"/>
    <w:rsid w:val="00384E1C"/>
    <w:rsid w:val="00384E9E"/>
    <w:rsid w:val="00384F72"/>
    <w:rsid w:val="00385E6B"/>
    <w:rsid w:val="0039202E"/>
    <w:rsid w:val="00393841"/>
    <w:rsid w:val="00394E74"/>
    <w:rsid w:val="00396171"/>
    <w:rsid w:val="003A071C"/>
    <w:rsid w:val="003A1053"/>
    <w:rsid w:val="003A386B"/>
    <w:rsid w:val="003A46A4"/>
    <w:rsid w:val="003B129B"/>
    <w:rsid w:val="003B2F08"/>
    <w:rsid w:val="003B3509"/>
    <w:rsid w:val="003B5715"/>
    <w:rsid w:val="003B678D"/>
    <w:rsid w:val="003B7051"/>
    <w:rsid w:val="003B790F"/>
    <w:rsid w:val="003C04F1"/>
    <w:rsid w:val="003C0E66"/>
    <w:rsid w:val="003C2476"/>
    <w:rsid w:val="003C4300"/>
    <w:rsid w:val="003C5F92"/>
    <w:rsid w:val="003C7EDE"/>
    <w:rsid w:val="003D0692"/>
    <w:rsid w:val="003D0DE7"/>
    <w:rsid w:val="003D493C"/>
    <w:rsid w:val="003E02A3"/>
    <w:rsid w:val="003E02A6"/>
    <w:rsid w:val="003E0EBE"/>
    <w:rsid w:val="003E1A1C"/>
    <w:rsid w:val="003E1AF6"/>
    <w:rsid w:val="003F06DE"/>
    <w:rsid w:val="003F131C"/>
    <w:rsid w:val="003F1CC4"/>
    <w:rsid w:val="003F252F"/>
    <w:rsid w:val="003F331A"/>
    <w:rsid w:val="003F616B"/>
    <w:rsid w:val="003F7737"/>
    <w:rsid w:val="00400A79"/>
    <w:rsid w:val="00401746"/>
    <w:rsid w:val="0040498B"/>
    <w:rsid w:val="00404A2B"/>
    <w:rsid w:val="00404DA7"/>
    <w:rsid w:val="00405717"/>
    <w:rsid w:val="00405A49"/>
    <w:rsid w:val="00405E02"/>
    <w:rsid w:val="00406F13"/>
    <w:rsid w:val="00410C2E"/>
    <w:rsid w:val="00412083"/>
    <w:rsid w:val="00412298"/>
    <w:rsid w:val="00413231"/>
    <w:rsid w:val="004139B1"/>
    <w:rsid w:val="00415313"/>
    <w:rsid w:val="004170F8"/>
    <w:rsid w:val="0042163C"/>
    <w:rsid w:val="00421A62"/>
    <w:rsid w:val="00421B9C"/>
    <w:rsid w:val="004226DE"/>
    <w:rsid w:val="004241B1"/>
    <w:rsid w:val="004302BE"/>
    <w:rsid w:val="00430662"/>
    <w:rsid w:val="00431743"/>
    <w:rsid w:val="00431785"/>
    <w:rsid w:val="0043367F"/>
    <w:rsid w:val="00433DA0"/>
    <w:rsid w:val="004357A4"/>
    <w:rsid w:val="00436CB1"/>
    <w:rsid w:val="00437A6F"/>
    <w:rsid w:val="00441C54"/>
    <w:rsid w:val="00442880"/>
    <w:rsid w:val="0044462F"/>
    <w:rsid w:val="00444CFD"/>
    <w:rsid w:val="0044590E"/>
    <w:rsid w:val="00445C30"/>
    <w:rsid w:val="00445F50"/>
    <w:rsid w:val="004472CD"/>
    <w:rsid w:val="00450DAB"/>
    <w:rsid w:val="00451B99"/>
    <w:rsid w:val="0045240E"/>
    <w:rsid w:val="00452EF3"/>
    <w:rsid w:val="0045310B"/>
    <w:rsid w:val="004531D7"/>
    <w:rsid w:val="00454D8B"/>
    <w:rsid w:val="00456168"/>
    <w:rsid w:val="004620EF"/>
    <w:rsid w:val="004626E6"/>
    <w:rsid w:val="00463938"/>
    <w:rsid w:val="00466D96"/>
    <w:rsid w:val="00467EAE"/>
    <w:rsid w:val="00467EB7"/>
    <w:rsid w:val="0047073D"/>
    <w:rsid w:val="004724A0"/>
    <w:rsid w:val="00472F4B"/>
    <w:rsid w:val="004732CB"/>
    <w:rsid w:val="0047348A"/>
    <w:rsid w:val="00481528"/>
    <w:rsid w:val="00485966"/>
    <w:rsid w:val="00485D37"/>
    <w:rsid w:val="00493BC8"/>
    <w:rsid w:val="00494D76"/>
    <w:rsid w:val="004950D5"/>
    <w:rsid w:val="00495E5F"/>
    <w:rsid w:val="00497547"/>
    <w:rsid w:val="004A08B0"/>
    <w:rsid w:val="004A272F"/>
    <w:rsid w:val="004A37B4"/>
    <w:rsid w:val="004A5687"/>
    <w:rsid w:val="004A6680"/>
    <w:rsid w:val="004A6928"/>
    <w:rsid w:val="004B09ED"/>
    <w:rsid w:val="004B3D92"/>
    <w:rsid w:val="004B3F7A"/>
    <w:rsid w:val="004B454A"/>
    <w:rsid w:val="004B4F5F"/>
    <w:rsid w:val="004B5273"/>
    <w:rsid w:val="004B73A8"/>
    <w:rsid w:val="004C05D5"/>
    <w:rsid w:val="004C0C81"/>
    <w:rsid w:val="004C1F0E"/>
    <w:rsid w:val="004C3BF7"/>
    <w:rsid w:val="004C4626"/>
    <w:rsid w:val="004C500D"/>
    <w:rsid w:val="004C5041"/>
    <w:rsid w:val="004D273F"/>
    <w:rsid w:val="004D44E6"/>
    <w:rsid w:val="004D50FA"/>
    <w:rsid w:val="004D51EE"/>
    <w:rsid w:val="004D6651"/>
    <w:rsid w:val="004D762E"/>
    <w:rsid w:val="004D7946"/>
    <w:rsid w:val="004E22A0"/>
    <w:rsid w:val="004F092A"/>
    <w:rsid w:val="004F1053"/>
    <w:rsid w:val="004F2228"/>
    <w:rsid w:val="004F282F"/>
    <w:rsid w:val="004F324D"/>
    <w:rsid w:val="004F34EE"/>
    <w:rsid w:val="004F6688"/>
    <w:rsid w:val="004F7E92"/>
    <w:rsid w:val="00502A55"/>
    <w:rsid w:val="0050365B"/>
    <w:rsid w:val="00504642"/>
    <w:rsid w:val="00504CB8"/>
    <w:rsid w:val="00506A41"/>
    <w:rsid w:val="005072F2"/>
    <w:rsid w:val="00507668"/>
    <w:rsid w:val="00507C99"/>
    <w:rsid w:val="00510673"/>
    <w:rsid w:val="00510F42"/>
    <w:rsid w:val="00510F77"/>
    <w:rsid w:val="00511C8F"/>
    <w:rsid w:val="00512C0E"/>
    <w:rsid w:val="00513950"/>
    <w:rsid w:val="00514C47"/>
    <w:rsid w:val="00516473"/>
    <w:rsid w:val="00517866"/>
    <w:rsid w:val="0052048E"/>
    <w:rsid w:val="005234A2"/>
    <w:rsid w:val="00524311"/>
    <w:rsid w:val="00525537"/>
    <w:rsid w:val="005267FD"/>
    <w:rsid w:val="005274AE"/>
    <w:rsid w:val="0053117A"/>
    <w:rsid w:val="00534DC9"/>
    <w:rsid w:val="00534E9C"/>
    <w:rsid w:val="005375D3"/>
    <w:rsid w:val="005407CD"/>
    <w:rsid w:val="00541115"/>
    <w:rsid w:val="005422DC"/>
    <w:rsid w:val="00544B4B"/>
    <w:rsid w:val="0054619F"/>
    <w:rsid w:val="005476FC"/>
    <w:rsid w:val="00551174"/>
    <w:rsid w:val="00554835"/>
    <w:rsid w:val="00556736"/>
    <w:rsid w:val="00556743"/>
    <w:rsid w:val="005567C3"/>
    <w:rsid w:val="005601CE"/>
    <w:rsid w:val="005637B7"/>
    <w:rsid w:val="00563A6C"/>
    <w:rsid w:val="00563B63"/>
    <w:rsid w:val="00563C6A"/>
    <w:rsid w:val="0057028B"/>
    <w:rsid w:val="00574A25"/>
    <w:rsid w:val="00575B38"/>
    <w:rsid w:val="005762EE"/>
    <w:rsid w:val="005769AD"/>
    <w:rsid w:val="005809B4"/>
    <w:rsid w:val="00582B54"/>
    <w:rsid w:val="00583F39"/>
    <w:rsid w:val="005841FE"/>
    <w:rsid w:val="0058674E"/>
    <w:rsid w:val="00586ABA"/>
    <w:rsid w:val="00587B98"/>
    <w:rsid w:val="00594833"/>
    <w:rsid w:val="00595590"/>
    <w:rsid w:val="00596687"/>
    <w:rsid w:val="00596747"/>
    <w:rsid w:val="005976A0"/>
    <w:rsid w:val="00597840"/>
    <w:rsid w:val="00597A79"/>
    <w:rsid w:val="005A144C"/>
    <w:rsid w:val="005A1980"/>
    <w:rsid w:val="005A2D3E"/>
    <w:rsid w:val="005A5C70"/>
    <w:rsid w:val="005A719B"/>
    <w:rsid w:val="005B4370"/>
    <w:rsid w:val="005B47F9"/>
    <w:rsid w:val="005B4EC6"/>
    <w:rsid w:val="005C3F86"/>
    <w:rsid w:val="005D383D"/>
    <w:rsid w:val="005D5C70"/>
    <w:rsid w:val="005E0259"/>
    <w:rsid w:val="005E1058"/>
    <w:rsid w:val="005E18CD"/>
    <w:rsid w:val="005E3317"/>
    <w:rsid w:val="005E3A07"/>
    <w:rsid w:val="005E6084"/>
    <w:rsid w:val="005E68D3"/>
    <w:rsid w:val="005E6E98"/>
    <w:rsid w:val="005E719E"/>
    <w:rsid w:val="005E799D"/>
    <w:rsid w:val="005E7C49"/>
    <w:rsid w:val="005F3D67"/>
    <w:rsid w:val="005F6663"/>
    <w:rsid w:val="005F69A0"/>
    <w:rsid w:val="005F7E55"/>
    <w:rsid w:val="006010AC"/>
    <w:rsid w:val="006040DA"/>
    <w:rsid w:val="006104DA"/>
    <w:rsid w:val="0061322A"/>
    <w:rsid w:val="00616F56"/>
    <w:rsid w:val="00617EC0"/>
    <w:rsid w:val="00621002"/>
    <w:rsid w:val="006215FE"/>
    <w:rsid w:val="00621B06"/>
    <w:rsid w:val="00621ED6"/>
    <w:rsid w:val="00623921"/>
    <w:rsid w:val="00623A9D"/>
    <w:rsid w:val="00624CD1"/>
    <w:rsid w:val="00624EB4"/>
    <w:rsid w:val="00624F1B"/>
    <w:rsid w:val="00630685"/>
    <w:rsid w:val="00632219"/>
    <w:rsid w:val="006325C8"/>
    <w:rsid w:val="006333CC"/>
    <w:rsid w:val="006362EE"/>
    <w:rsid w:val="0063770C"/>
    <w:rsid w:val="006377AB"/>
    <w:rsid w:val="00650C0B"/>
    <w:rsid w:val="0065281C"/>
    <w:rsid w:val="00652957"/>
    <w:rsid w:val="006548B5"/>
    <w:rsid w:val="006560FA"/>
    <w:rsid w:val="00656751"/>
    <w:rsid w:val="006605ED"/>
    <w:rsid w:val="0066194E"/>
    <w:rsid w:val="0066368F"/>
    <w:rsid w:val="00663BF2"/>
    <w:rsid w:val="00670805"/>
    <w:rsid w:val="00675B58"/>
    <w:rsid w:val="006762DE"/>
    <w:rsid w:val="00682595"/>
    <w:rsid w:val="00682A68"/>
    <w:rsid w:val="00682EE9"/>
    <w:rsid w:val="0068376B"/>
    <w:rsid w:val="00683EBF"/>
    <w:rsid w:val="00685141"/>
    <w:rsid w:val="00685C8C"/>
    <w:rsid w:val="00686295"/>
    <w:rsid w:val="00686410"/>
    <w:rsid w:val="0068712E"/>
    <w:rsid w:val="0068730A"/>
    <w:rsid w:val="00690054"/>
    <w:rsid w:val="00690212"/>
    <w:rsid w:val="0069181F"/>
    <w:rsid w:val="00691D4A"/>
    <w:rsid w:val="00692109"/>
    <w:rsid w:val="006925FE"/>
    <w:rsid w:val="00692C99"/>
    <w:rsid w:val="00693B4B"/>
    <w:rsid w:val="00694881"/>
    <w:rsid w:val="006969E3"/>
    <w:rsid w:val="00696F03"/>
    <w:rsid w:val="006A1F91"/>
    <w:rsid w:val="006A1FBD"/>
    <w:rsid w:val="006A342B"/>
    <w:rsid w:val="006A7972"/>
    <w:rsid w:val="006B01B3"/>
    <w:rsid w:val="006B03A8"/>
    <w:rsid w:val="006B2FB8"/>
    <w:rsid w:val="006B34D2"/>
    <w:rsid w:val="006B3CD1"/>
    <w:rsid w:val="006B4B1F"/>
    <w:rsid w:val="006B53E0"/>
    <w:rsid w:val="006B64CB"/>
    <w:rsid w:val="006B6995"/>
    <w:rsid w:val="006C070C"/>
    <w:rsid w:val="006C0E0D"/>
    <w:rsid w:val="006C2518"/>
    <w:rsid w:val="006C4916"/>
    <w:rsid w:val="006C694E"/>
    <w:rsid w:val="006D04B1"/>
    <w:rsid w:val="006D244F"/>
    <w:rsid w:val="006D367D"/>
    <w:rsid w:val="006D43B3"/>
    <w:rsid w:val="006D6586"/>
    <w:rsid w:val="006E3451"/>
    <w:rsid w:val="006E61C4"/>
    <w:rsid w:val="006F0005"/>
    <w:rsid w:val="006F08C4"/>
    <w:rsid w:val="006F1478"/>
    <w:rsid w:val="006F1D48"/>
    <w:rsid w:val="006F3FD3"/>
    <w:rsid w:val="006F4422"/>
    <w:rsid w:val="006F5676"/>
    <w:rsid w:val="006F6196"/>
    <w:rsid w:val="006F683E"/>
    <w:rsid w:val="006F72E4"/>
    <w:rsid w:val="00700737"/>
    <w:rsid w:val="00701038"/>
    <w:rsid w:val="00702583"/>
    <w:rsid w:val="00703A88"/>
    <w:rsid w:val="0071180F"/>
    <w:rsid w:val="00711BCF"/>
    <w:rsid w:val="00713FAA"/>
    <w:rsid w:val="00714540"/>
    <w:rsid w:val="00714B67"/>
    <w:rsid w:val="00714F95"/>
    <w:rsid w:val="00720E22"/>
    <w:rsid w:val="0072177F"/>
    <w:rsid w:val="007217C4"/>
    <w:rsid w:val="00722879"/>
    <w:rsid w:val="00722C72"/>
    <w:rsid w:val="00723C8B"/>
    <w:rsid w:val="00724D19"/>
    <w:rsid w:val="007257EA"/>
    <w:rsid w:val="00730E0F"/>
    <w:rsid w:val="00732380"/>
    <w:rsid w:val="0073341B"/>
    <w:rsid w:val="0073627E"/>
    <w:rsid w:val="007368F6"/>
    <w:rsid w:val="00737A4D"/>
    <w:rsid w:val="00741D5E"/>
    <w:rsid w:val="0074335D"/>
    <w:rsid w:val="0074475A"/>
    <w:rsid w:val="00744896"/>
    <w:rsid w:val="00745E5E"/>
    <w:rsid w:val="007462BE"/>
    <w:rsid w:val="00750A31"/>
    <w:rsid w:val="00750BA6"/>
    <w:rsid w:val="00753595"/>
    <w:rsid w:val="0075646C"/>
    <w:rsid w:val="0075795A"/>
    <w:rsid w:val="00760A4D"/>
    <w:rsid w:val="00760BDA"/>
    <w:rsid w:val="007614E7"/>
    <w:rsid w:val="00762446"/>
    <w:rsid w:val="00762A9C"/>
    <w:rsid w:val="00764B6A"/>
    <w:rsid w:val="00764C1F"/>
    <w:rsid w:val="007662B7"/>
    <w:rsid w:val="00767DF2"/>
    <w:rsid w:val="00770B13"/>
    <w:rsid w:val="007726B7"/>
    <w:rsid w:val="0077297A"/>
    <w:rsid w:val="007737F9"/>
    <w:rsid w:val="00773F67"/>
    <w:rsid w:val="0077483E"/>
    <w:rsid w:val="00774900"/>
    <w:rsid w:val="00774AF7"/>
    <w:rsid w:val="007756DF"/>
    <w:rsid w:val="0077735B"/>
    <w:rsid w:val="00780F16"/>
    <w:rsid w:val="00783A48"/>
    <w:rsid w:val="007847A0"/>
    <w:rsid w:val="00784D46"/>
    <w:rsid w:val="00787ED0"/>
    <w:rsid w:val="00793D55"/>
    <w:rsid w:val="007963A7"/>
    <w:rsid w:val="007A19CD"/>
    <w:rsid w:val="007A45AE"/>
    <w:rsid w:val="007A4CB8"/>
    <w:rsid w:val="007A69EF"/>
    <w:rsid w:val="007B03FE"/>
    <w:rsid w:val="007B1060"/>
    <w:rsid w:val="007B34C3"/>
    <w:rsid w:val="007B7A7A"/>
    <w:rsid w:val="007C00BB"/>
    <w:rsid w:val="007C1DA4"/>
    <w:rsid w:val="007C2EEB"/>
    <w:rsid w:val="007C64D6"/>
    <w:rsid w:val="007C68D9"/>
    <w:rsid w:val="007C7389"/>
    <w:rsid w:val="007D1339"/>
    <w:rsid w:val="007D19DB"/>
    <w:rsid w:val="007D1F85"/>
    <w:rsid w:val="007D217B"/>
    <w:rsid w:val="007D2695"/>
    <w:rsid w:val="007D721F"/>
    <w:rsid w:val="007E0111"/>
    <w:rsid w:val="007E5116"/>
    <w:rsid w:val="007F0416"/>
    <w:rsid w:val="007F0A1D"/>
    <w:rsid w:val="007F2690"/>
    <w:rsid w:val="007F2A06"/>
    <w:rsid w:val="007F2F98"/>
    <w:rsid w:val="007F35A6"/>
    <w:rsid w:val="007F3BBE"/>
    <w:rsid w:val="007F5442"/>
    <w:rsid w:val="007F5F64"/>
    <w:rsid w:val="007F62CD"/>
    <w:rsid w:val="007F6656"/>
    <w:rsid w:val="00800666"/>
    <w:rsid w:val="0080131A"/>
    <w:rsid w:val="00801B3B"/>
    <w:rsid w:val="00801BFD"/>
    <w:rsid w:val="0080303C"/>
    <w:rsid w:val="00804047"/>
    <w:rsid w:val="008103C2"/>
    <w:rsid w:val="00810B15"/>
    <w:rsid w:val="00814478"/>
    <w:rsid w:val="008149C1"/>
    <w:rsid w:val="008166C1"/>
    <w:rsid w:val="008167B2"/>
    <w:rsid w:val="008218C1"/>
    <w:rsid w:val="00821A28"/>
    <w:rsid w:val="008255EE"/>
    <w:rsid w:val="00826CA6"/>
    <w:rsid w:val="00832762"/>
    <w:rsid w:val="00835A2F"/>
    <w:rsid w:val="008377BC"/>
    <w:rsid w:val="00840762"/>
    <w:rsid w:val="00841744"/>
    <w:rsid w:val="00843002"/>
    <w:rsid w:val="0084323A"/>
    <w:rsid w:val="00844892"/>
    <w:rsid w:val="00845EF6"/>
    <w:rsid w:val="00846E3F"/>
    <w:rsid w:val="0085604A"/>
    <w:rsid w:val="008561E4"/>
    <w:rsid w:val="0085770B"/>
    <w:rsid w:val="00860A18"/>
    <w:rsid w:val="00861DE5"/>
    <w:rsid w:val="008620FF"/>
    <w:rsid w:val="008621F2"/>
    <w:rsid w:val="0086286F"/>
    <w:rsid w:val="00862FEC"/>
    <w:rsid w:val="00864C54"/>
    <w:rsid w:val="00865038"/>
    <w:rsid w:val="00865B6A"/>
    <w:rsid w:val="00870636"/>
    <w:rsid w:val="008713CF"/>
    <w:rsid w:val="0087240D"/>
    <w:rsid w:val="0087262E"/>
    <w:rsid w:val="00873778"/>
    <w:rsid w:val="0087471A"/>
    <w:rsid w:val="00874A69"/>
    <w:rsid w:val="008768B6"/>
    <w:rsid w:val="008774EE"/>
    <w:rsid w:val="008819B5"/>
    <w:rsid w:val="00882A97"/>
    <w:rsid w:val="00883D8C"/>
    <w:rsid w:val="008853FE"/>
    <w:rsid w:val="00885740"/>
    <w:rsid w:val="00886A03"/>
    <w:rsid w:val="00890844"/>
    <w:rsid w:val="0089130C"/>
    <w:rsid w:val="00891A63"/>
    <w:rsid w:val="0089243F"/>
    <w:rsid w:val="00893370"/>
    <w:rsid w:val="00894633"/>
    <w:rsid w:val="00894A24"/>
    <w:rsid w:val="008955F3"/>
    <w:rsid w:val="00896B33"/>
    <w:rsid w:val="008A1599"/>
    <w:rsid w:val="008A32EF"/>
    <w:rsid w:val="008A3F4E"/>
    <w:rsid w:val="008A4B66"/>
    <w:rsid w:val="008A50ED"/>
    <w:rsid w:val="008A6335"/>
    <w:rsid w:val="008A778E"/>
    <w:rsid w:val="008B1FD1"/>
    <w:rsid w:val="008B270E"/>
    <w:rsid w:val="008B3BC5"/>
    <w:rsid w:val="008B544D"/>
    <w:rsid w:val="008C01B7"/>
    <w:rsid w:val="008C260C"/>
    <w:rsid w:val="008D0827"/>
    <w:rsid w:val="008D5BF9"/>
    <w:rsid w:val="008D737A"/>
    <w:rsid w:val="008E1788"/>
    <w:rsid w:val="008E4FC6"/>
    <w:rsid w:val="008E5113"/>
    <w:rsid w:val="008E5EB9"/>
    <w:rsid w:val="008E620E"/>
    <w:rsid w:val="008F2EAC"/>
    <w:rsid w:val="008F4583"/>
    <w:rsid w:val="008F5F83"/>
    <w:rsid w:val="009041D9"/>
    <w:rsid w:val="009044D1"/>
    <w:rsid w:val="00904E96"/>
    <w:rsid w:val="009071E6"/>
    <w:rsid w:val="009109F4"/>
    <w:rsid w:val="00912028"/>
    <w:rsid w:val="00914229"/>
    <w:rsid w:val="00914DA9"/>
    <w:rsid w:val="00914EEC"/>
    <w:rsid w:val="00916B18"/>
    <w:rsid w:val="0092100C"/>
    <w:rsid w:val="009210F5"/>
    <w:rsid w:val="00921981"/>
    <w:rsid w:val="00921CCB"/>
    <w:rsid w:val="00923BC4"/>
    <w:rsid w:val="00927A98"/>
    <w:rsid w:val="00931027"/>
    <w:rsid w:val="00931C82"/>
    <w:rsid w:val="00931EEB"/>
    <w:rsid w:val="009342A3"/>
    <w:rsid w:val="00934D77"/>
    <w:rsid w:val="009361A6"/>
    <w:rsid w:val="00937EEE"/>
    <w:rsid w:val="0094527B"/>
    <w:rsid w:val="009461AE"/>
    <w:rsid w:val="009462D3"/>
    <w:rsid w:val="009466C7"/>
    <w:rsid w:val="00947AC5"/>
    <w:rsid w:val="009519F3"/>
    <w:rsid w:val="00953A74"/>
    <w:rsid w:val="009576F0"/>
    <w:rsid w:val="00957E5D"/>
    <w:rsid w:val="00960CE9"/>
    <w:rsid w:val="00963B65"/>
    <w:rsid w:val="009646D3"/>
    <w:rsid w:val="009705C3"/>
    <w:rsid w:val="00972E52"/>
    <w:rsid w:val="009731EB"/>
    <w:rsid w:val="009737EE"/>
    <w:rsid w:val="00976439"/>
    <w:rsid w:val="00976D75"/>
    <w:rsid w:val="00981ED4"/>
    <w:rsid w:val="00982838"/>
    <w:rsid w:val="009834FB"/>
    <w:rsid w:val="00984D09"/>
    <w:rsid w:val="0098596B"/>
    <w:rsid w:val="00986397"/>
    <w:rsid w:val="009919B5"/>
    <w:rsid w:val="00991A3E"/>
    <w:rsid w:val="009923BB"/>
    <w:rsid w:val="00992AA2"/>
    <w:rsid w:val="00993E16"/>
    <w:rsid w:val="00994B14"/>
    <w:rsid w:val="009A033D"/>
    <w:rsid w:val="009A16E2"/>
    <w:rsid w:val="009A2161"/>
    <w:rsid w:val="009A3795"/>
    <w:rsid w:val="009A4AEF"/>
    <w:rsid w:val="009A641F"/>
    <w:rsid w:val="009B1BDC"/>
    <w:rsid w:val="009B392F"/>
    <w:rsid w:val="009B52AC"/>
    <w:rsid w:val="009C0D21"/>
    <w:rsid w:val="009C0FAE"/>
    <w:rsid w:val="009C16F7"/>
    <w:rsid w:val="009C2178"/>
    <w:rsid w:val="009C301D"/>
    <w:rsid w:val="009C3149"/>
    <w:rsid w:val="009C4FFB"/>
    <w:rsid w:val="009C6513"/>
    <w:rsid w:val="009C674D"/>
    <w:rsid w:val="009D1B18"/>
    <w:rsid w:val="009D28AC"/>
    <w:rsid w:val="009D40A2"/>
    <w:rsid w:val="009E2C47"/>
    <w:rsid w:val="009E2FAD"/>
    <w:rsid w:val="009E678F"/>
    <w:rsid w:val="009E6A37"/>
    <w:rsid w:val="009E7B2A"/>
    <w:rsid w:val="009F2A4E"/>
    <w:rsid w:val="009F2E40"/>
    <w:rsid w:val="009F39E7"/>
    <w:rsid w:val="009F4F33"/>
    <w:rsid w:val="009F6EBA"/>
    <w:rsid w:val="009F717D"/>
    <w:rsid w:val="00A01A56"/>
    <w:rsid w:val="00A0304E"/>
    <w:rsid w:val="00A043A7"/>
    <w:rsid w:val="00A04730"/>
    <w:rsid w:val="00A052F6"/>
    <w:rsid w:val="00A10597"/>
    <w:rsid w:val="00A10E61"/>
    <w:rsid w:val="00A11B07"/>
    <w:rsid w:val="00A11DC3"/>
    <w:rsid w:val="00A12401"/>
    <w:rsid w:val="00A139BC"/>
    <w:rsid w:val="00A13E0F"/>
    <w:rsid w:val="00A16A58"/>
    <w:rsid w:val="00A176D6"/>
    <w:rsid w:val="00A211C3"/>
    <w:rsid w:val="00A22143"/>
    <w:rsid w:val="00A2337F"/>
    <w:rsid w:val="00A23712"/>
    <w:rsid w:val="00A24E79"/>
    <w:rsid w:val="00A259C8"/>
    <w:rsid w:val="00A26A0A"/>
    <w:rsid w:val="00A26C58"/>
    <w:rsid w:val="00A30C7C"/>
    <w:rsid w:val="00A31996"/>
    <w:rsid w:val="00A322DB"/>
    <w:rsid w:val="00A32BF4"/>
    <w:rsid w:val="00A32E81"/>
    <w:rsid w:val="00A339A9"/>
    <w:rsid w:val="00A34829"/>
    <w:rsid w:val="00A350B7"/>
    <w:rsid w:val="00A3739E"/>
    <w:rsid w:val="00A37AE3"/>
    <w:rsid w:val="00A43353"/>
    <w:rsid w:val="00A439CE"/>
    <w:rsid w:val="00A44FE2"/>
    <w:rsid w:val="00A4602D"/>
    <w:rsid w:val="00A51CE6"/>
    <w:rsid w:val="00A52687"/>
    <w:rsid w:val="00A526EC"/>
    <w:rsid w:val="00A52B40"/>
    <w:rsid w:val="00A5629B"/>
    <w:rsid w:val="00A653CF"/>
    <w:rsid w:val="00A663FF"/>
    <w:rsid w:val="00A67177"/>
    <w:rsid w:val="00A671EC"/>
    <w:rsid w:val="00A7015A"/>
    <w:rsid w:val="00A7092A"/>
    <w:rsid w:val="00A72B42"/>
    <w:rsid w:val="00A73B85"/>
    <w:rsid w:val="00A74FC1"/>
    <w:rsid w:val="00A759F0"/>
    <w:rsid w:val="00A761A8"/>
    <w:rsid w:val="00A77474"/>
    <w:rsid w:val="00A84519"/>
    <w:rsid w:val="00A87068"/>
    <w:rsid w:val="00A87268"/>
    <w:rsid w:val="00A917C2"/>
    <w:rsid w:val="00A91AB0"/>
    <w:rsid w:val="00A91B8B"/>
    <w:rsid w:val="00A944C4"/>
    <w:rsid w:val="00A954B6"/>
    <w:rsid w:val="00AA1708"/>
    <w:rsid w:val="00AA1EF5"/>
    <w:rsid w:val="00AA215A"/>
    <w:rsid w:val="00AA27F7"/>
    <w:rsid w:val="00AA56B5"/>
    <w:rsid w:val="00AA634C"/>
    <w:rsid w:val="00AA7462"/>
    <w:rsid w:val="00AB01CF"/>
    <w:rsid w:val="00AB223F"/>
    <w:rsid w:val="00AB4954"/>
    <w:rsid w:val="00AB763E"/>
    <w:rsid w:val="00AC3363"/>
    <w:rsid w:val="00AC36DE"/>
    <w:rsid w:val="00AC68C9"/>
    <w:rsid w:val="00AC6A1D"/>
    <w:rsid w:val="00AD00F5"/>
    <w:rsid w:val="00AD35A5"/>
    <w:rsid w:val="00AD7B9C"/>
    <w:rsid w:val="00AE3435"/>
    <w:rsid w:val="00AE4857"/>
    <w:rsid w:val="00AE4B3E"/>
    <w:rsid w:val="00AF115E"/>
    <w:rsid w:val="00AF13D0"/>
    <w:rsid w:val="00AF2E58"/>
    <w:rsid w:val="00AF6B67"/>
    <w:rsid w:val="00B00E3C"/>
    <w:rsid w:val="00B01CE4"/>
    <w:rsid w:val="00B045F5"/>
    <w:rsid w:val="00B11217"/>
    <w:rsid w:val="00B11C0F"/>
    <w:rsid w:val="00B1312C"/>
    <w:rsid w:val="00B1381F"/>
    <w:rsid w:val="00B1672E"/>
    <w:rsid w:val="00B16887"/>
    <w:rsid w:val="00B17F6B"/>
    <w:rsid w:val="00B20016"/>
    <w:rsid w:val="00B21546"/>
    <w:rsid w:val="00B22AA1"/>
    <w:rsid w:val="00B23142"/>
    <w:rsid w:val="00B2739F"/>
    <w:rsid w:val="00B27AE0"/>
    <w:rsid w:val="00B3166A"/>
    <w:rsid w:val="00B31F60"/>
    <w:rsid w:val="00B32994"/>
    <w:rsid w:val="00B32C57"/>
    <w:rsid w:val="00B33684"/>
    <w:rsid w:val="00B37F3C"/>
    <w:rsid w:val="00B41CBA"/>
    <w:rsid w:val="00B42082"/>
    <w:rsid w:val="00B436CE"/>
    <w:rsid w:val="00B443A9"/>
    <w:rsid w:val="00B4476C"/>
    <w:rsid w:val="00B447BE"/>
    <w:rsid w:val="00B46253"/>
    <w:rsid w:val="00B468BA"/>
    <w:rsid w:val="00B46F97"/>
    <w:rsid w:val="00B5069C"/>
    <w:rsid w:val="00B522F3"/>
    <w:rsid w:val="00B53006"/>
    <w:rsid w:val="00B53381"/>
    <w:rsid w:val="00B548BD"/>
    <w:rsid w:val="00B57088"/>
    <w:rsid w:val="00B57174"/>
    <w:rsid w:val="00B576C3"/>
    <w:rsid w:val="00B6048A"/>
    <w:rsid w:val="00B61381"/>
    <w:rsid w:val="00B628A5"/>
    <w:rsid w:val="00B65ADD"/>
    <w:rsid w:val="00B667D8"/>
    <w:rsid w:val="00B73DE3"/>
    <w:rsid w:val="00B76773"/>
    <w:rsid w:val="00B806C9"/>
    <w:rsid w:val="00B811D1"/>
    <w:rsid w:val="00B8252C"/>
    <w:rsid w:val="00B91D7F"/>
    <w:rsid w:val="00B93088"/>
    <w:rsid w:val="00BA13BC"/>
    <w:rsid w:val="00BA1DDE"/>
    <w:rsid w:val="00BA2385"/>
    <w:rsid w:val="00BA3083"/>
    <w:rsid w:val="00BA40D8"/>
    <w:rsid w:val="00BA4DFD"/>
    <w:rsid w:val="00BA7E51"/>
    <w:rsid w:val="00BB101A"/>
    <w:rsid w:val="00BB281F"/>
    <w:rsid w:val="00BB7D3B"/>
    <w:rsid w:val="00BC08A5"/>
    <w:rsid w:val="00BC3558"/>
    <w:rsid w:val="00BC5226"/>
    <w:rsid w:val="00BC55E4"/>
    <w:rsid w:val="00BC57AE"/>
    <w:rsid w:val="00BC5C9B"/>
    <w:rsid w:val="00BC7F83"/>
    <w:rsid w:val="00BD1483"/>
    <w:rsid w:val="00BD1954"/>
    <w:rsid w:val="00BD23DC"/>
    <w:rsid w:val="00BD253F"/>
    <w:rsid w:val="00BD2700"/>
    <w:rsid w:val="00BD2768"/>
    <w:rsid w:val="00BD7B84"/>
    <w:rsid w:val="00BE0CD3"/>
    <w:rsid w:val="00BE3CE8"/>
    <w:rsid w:val="00BE3D63"/>
    <w:rsid w:val="00BE3F8C"/>
    <w:rsid w:val="00BE5021"/>
    <w:rsid w:val="00BE50AE"/>
    <w:rsid w:val="00BF536F"/>
    <w:rsid w:val="00BF59A8"/>
    <w:rsid w:val="00BF5CB9"/>
    <w:rsid w:val="00BF5E8A"/>
    <w:rsid w:val="00BF73BB"/>
    <w:rsid w:val="00BF7BA3"/>
    <w:rsid w:val="00C01562"/>
    <w:rsid w:val="00C0184B"/>
    <w:rsid w:val="00C01AF3"/>
    <w:rsid w:val="00C05924"/>
    <w:rsid w:val="00C060E7"/>
    <w:rsid w:val="00C07363"/>
    <w:rsid w:val="00C075E5"/>
    <w:rsid w:val="00C10A8C"/>
    <w:rsid w:val="00C1136D"/>
    <w:rsid w:val="00C128B7"/>
    <w:rsid w:val="00C13788"/>
    <w:rsid w:val="00C21036"/>
    <w:rsid w:val="00C21477"/>
    <w:rsid w:val="00C21559"/>
    <w:rsid w:val="00C228D9"/>
    <w:rsid w:val="00C24955"/>
    <w:rsid w:val="00C3666F"/>
    <w:rsid w:val="00C40F38"/>
    <w:rsid w:val="00C417EE"/>
    <w:rsid w:val="00C44CFD"/>
    <w:rsid w:val="00C45D65"/>
    <w:rsid w:val="00C462F4"/>
    <w:rsid w:val="00C512F1"/>
    <w:rsid w:val="00C514DA"/>
    <w:rsid w:val="00C516B5"/>
    <w:rsid w:val="00C52819"/>
    <w:rsid w:val="00C536F0"/>
    <w:rsid w:val="00C55C4E"/>
    <w:rsid w:val="00C56139"/>
    <w:rsid w:val="00C62636"/>
    <w:rsid w:val="00C62C17"/>
    <w:rsid w:val="00C64B33"/>
    <w:rsid w:val="00C666C6"/>
    <w:rsid w:val="00C670A7"/>
    <w:rsid w:val="00C72840"/>
    <w:rsid w:val="00C72BAE"/>
    <w:rsid w:val="00C7380F"/>
    <w:rsid w:val="00C73E7C"/>
    <w:rsid w:val="00C74BC2"/>
    <w:rsid w:val="00C76523"/>
    <w:rsid w:val="00C76CEF"/>
    <w:rsid w:val="00C76FCD"/>
    <w:rsid w:val="00C834E5"/>
    <w:rsid w:val="00C847F0"/>
    <w:rsid w:val="00C84CD5"/>
    <w:rsid w:val="00C87C09"/>
    <w:rsid w:val="00C922ED"/>
    <w:rsid w:val="00C930D5"/>
    <w:rsid w:val="00C954AE"/>
    <w:rsid w:val="00C96685"/>
    <w:rsid w:val="00CA4AD9"/>
    <w:rsid w:val="00CA74F6"/>
    <w:rsid w:val="00CB0AB4"/>
    <w:rsid w:val="00CB1C10"/>
    <w:rsid w:val="00CB1DF7"/>
    <w:rsid w:val="00CB3C30"/>
    <w:rsid w:val="00CB47C8"/>
    <w:rsid w:val="00CB6B1D"/>
    <w:rsid w:val="00CB7DDC"/>
    <w:rsid w:val="00CC042A"/>
    <w:rsid w:val="00CC09D0"/>
    <w:rsid w:val="00CC0C52"/>
    <w:rsid w:val="00CC0C65"/>
    <w:rsid w:val="00CC1566"/>
    <w:rsid w:val="00CC29CE"/>
    <w:rsid w:val="00CC4905"/>
    <w:rsid w:val="00CC4F09"/>
    <w:rsid w:val="00CC5F78"/>
    <w:rsid w:val="00CD1CE4"/>
    <w:rsid w:val="00CD1DEE"/>
    <w:rsid w:val="00CD389B"/>
    <w:rsid w:val="00CD4E89"/>
    <w:rsid w:val="00CD6958"/>
    <w:rsid w:val="00CD6A13"/>
    <w:rsid w:val="00CE2444"/>
    <w:rsid w:val="00CE5928"/>
    <w:rsid w:val="00CE5C83"/>
    <w:rsid w:val="00CF0A76"/>
    <w:rsid w:val="00CF3201"/>
    <w:rsid w:val="00CF4793"/>
    <w:rsid w:val="00CF6F53"/>
    <w:rsid w:val="00CF761B"/>
    <w:rsid w:val="00D000EB"/>
    <w:rsid w:val="00D00AF5"/>
    <w:rsid w:val="00D02EA8"/>
    <w:rsid w:val="00D05D79"/>
    <w:rsid w:val="00D06311"/>
    <w:rsid w:val="00D118CC"/>
    <w:rsid w:val="00D12495"/>
    <w:rsid w:val="00D21434"/>
    <w:rsid w:val="00D2367F"/>
    <w:rsid w:val="00D238D8"/>
    <w:rsid w:val="00D24A1B"/>
    <w:rsid w:val="00D24FFF"/>
    <w:rsid w:val="00D256DA"/>
    <w:rsid w:val="00D269DD"/>
    <w:rsid w:val="00D27679"/>
    <w:rsid w:val="00D300B8"/>
    <w:rsid w:val="00D316C1"/>
    <w:rsid w:val="00D346F5"/>
    <w:rsid w:val="00D34BDB"/>
    <w:rsid w:val="00D35E26"/>
    <w:rsid w:val="00D3763B"/>
    <w:rsid w:val="00D407C7"/>
    <w:rsid w:val="00D41D5C"/>
    <w:rsid w:val="00D42AD3"/>
    <w:rsid w:val="00D4452B"/>
    <w:rsid w:val="00D454C0"/>
    <w:rsid w:val="00D46D4C"/>
    <w:rsid w:val="00D5215B"/>
    <w:rsid w:val="00D5651D"/>
    <w:rsid w:val="00D56FB7"/>
    <w:rsid w:val="00D607C9"/>
    <w:rsid w:val="00D607DF"/>
    <w:rsid w:val="00D612B3"/>
    <w:rsid w:val="00D623A2"/>
    <w:rsid w:val="00D635E4"/>
    <w:rsid w:val="00D63F4D"/>
    <w:rsid w:val="00D65645"/>
    <w:rsid w:val="00D65F7F"/>
    <w:rsid w:val="00D66AB5"/>
    <w:rsid w:val="00D6797E"/>
    <w:rsid w:val="00D74090"/>
    <w:rsid w:val="00D7409C"/>
    <w:rsid w:val="00D74824"/>
    <w:rsid w:val="00D77B49"/>
    <w:rsid w:val="00D817F0"/>
    <w:rsid w:val="00D822F3"/>
    <w:rsid w:val="00D849CA"/>
    <w:rsid w:val="00D85B9D"/>
    <w:rsid w:val="00D87470"/>
    <w:rsid w:val="00D909A2"/>
    <w:rsid w:val="00D909FE"/>
    <w:rsid w:val="00D90CB0"/>
    <w:rsid w:val="00D90D76"/>
    <w:rsid w:val="00D959CE"/>
    <w:rsid w:val="00D95D3F"/>
    <w:rsid w:val="00D95E6A"/>
    <w:rsid w:val="00D95ED7"/>
    <w:rsid w:val="00D965F8"/>
    <w:rsid w:val="00DA0D92"/>
    <w:rsid w:val="00DA241E"/>
    <w:rsid w:val="00DA2CCB"/>
    <w:rsid w:val="00DA421E"/>
    <w:rsid w:val="00DA430D"/>
    <w:rsid w:val="00DA4614"/>
    <w:rsid w:val="00DA4A2A"/>
    <w:rsid w:val="00DA522F"/>
    <w:rsid w:val="00DA5ABE"/>
    <w:rsid w:val="00DA6FF9"/>
    <w:rsid w:val="00DA76EF"/>
    <w:rsid w:val="00DB0FAD"/>
    <w:rsid w:val="00DB2EF7"/>
    <w:rsid w:val="00DB35D2"/>
    <w:rsid w:val="00DB3608"/>
    <w:rsid w:val="00DC062F"/>
    <w:rsid w:val="00DC2D13"/>
    <w:rsid w:val="00DC424B"/>
    <w:rsid w:val="00DC5EC4"/>
    <w:rsid w:val="00DC7E42"/>
    <w:rsid w:val="00DD3422"/>
    <w:rsid w:val="00DD39CC"/>
    <w:rsid w:val="00DD4993"/>
    <w:rsid w:val="00DD4BEC"/>
    <w:rsid w:val="00DD4F7C"/>
    <w:rsid w:val="00DD4FEA"/>
    <w:rsid w:val="00DD5583"/>
    <w:rsid w:val="00DD668E"/>
    <w:rsid w:val="00DE1289"/>
    <w:rsid w:val="00DE3719"/>
    <w:rsid w:val="00DE42CD"/>
    <w:rsid w:val="00DE5E55"/>
    <w:rsid w:val="00DE6D28"/>
    <w:rsid w:val="00DE7127"/>
    <w:rsid w:val="00DF0524"/>
    <w:rsid w:val="00DF38B2"/>
    <w:rsid w:val="00DF77D5"/>
    <w:rsid w:val="00E005E7"/>
    <w:rsid w:val="00E01899"/>
    <w:rsid w:val="00E0786F"/>
    <w:rsid w:val="00E07BC4"/>
    <w:rsid w:val="00E07DDE"/>
    <w:rsid w:val="00E104BE"/>
    <w:rsid w:val="00E11ED3"/>
    <w:rsid w:val="00E136B3"/>
    <w:rsid w:val="00E140D8"/>
    <w:rsid w:val="00E15B43"/>
    <w:rsid w:val="00E1726B"/>
    <w:rsid w:val="00E17A6C"/>
    <w:rsid w:val="00E20D11"/>
    <w:rsid w:val="00E219AD"/>
    <w:rsid w:val="00E23CA7"/>
    <w:rsid w:val="00E247D1"/>
    <w:rsid w:val="00E24846"/>
    <w:rsid w:val="00E25087"/>
    <w:rsid w:val="00E32A60"/>
    <w:rsid w:val="00E33785"/>
    <w:rsid w:val="00E37412"/>
    <w:rsid w:val="00E4003E"/>
    <w:rsid w:val="00E43D07"/>
    <w:rsid w:val="00E44DCC"/>
    <w:rsid w:val="00E4753A"/>
    <w:rsid w:val="00E50372"/>
    <w:rsid w:val="00E53555"/>
    <w:rsid w:val="00E54B46"/>
    <w:rsid w:val="00E54BAC"/>
    <w:rsid w:val="00E5587F"/>
    <w:rsid w:val="00E570E1"/>
    <w:rsid w:val="00E57ED8"/>
    <w:rsid w:val="00E60346"/>
    <w:rsid w:val="00E627D6"/>
    <w:rsid w:val="00E66D15"/>
    <w:rsid w:val="00E67985"/>
    <w:rsid w:val="00E756C2"/>
    <w:rsid w:val="00E76DA4"/>
    <w:rsid w:val="00E8260F"/>
    <w:rsid w:val="00E828FC"/>
    <w:rsid w:val="00E83538"/>
    <w:rsid w:val="00E83B6C"/>
    <w:rsid w:val="00E846E1"/>
    <w:rsid w:val="00E90CD5"/>
    <w:rsid w:val="00E92CC4"/>
    <w:rsid w:val="00E92E4B"/>
    <w:rsid w:val="00E93099"/>
    <w:rsid w:val="00E942BA"/>
    <w:rsid w:val="00EA01B9"/>
    <w:rsid w:val="00EA3192"/>
    <w:rsid w:val="00EA46A7"/>
    <w:rsid w:val="00EA5D86"/>
    <w:rsid w:val="00EB219A"/>
    <w:rsid w:val="00EB22A6"/>
    <w:rsid w:val="00EB2AC1"/>
    <w:rsid w:val="00EB67D1"/>
    <w:rsid w:val="00EB7452"/>
    <w:rsid w:val="00EC323E"/>
    <w:rsid w:val="00EC6713"/>
    <w:rsid w:val="00EC69CB"/>
    <w:rsid w:val="00EC6A65"/>
    <w:rsid w:val="00ED163F"/>
    <w:rsid w:val="00ED322D"/>
    <w:rsid w:val="00ED5956"/>
    <w:rsid w:val="00EE0467"/>
    <w:rsid w:val="00EE0C9B"/>
    <w:rsid w:val="00EE10C7"/>
    <w:rsid w:val="00EE333A"/>
    <w:rsid w:val="00EE36D3"/>
    <w:rsid w:val="00EE3CF0"/>
    <w:rsid w:val="00EE442D"/>
    <w:rsid w:val="00EE5B04"/>
    <w:rsid w:val="00EF017C"/>
    <w:rsid w:val="00EF06CC"/>
    <w:rsid w:val="00EF2C15"/>
    <w:rsid w:val="00EF4F53"/>
    <w:rsid w:val="00EF77C6"/>
    <w:rsid w:val="00EF787F"/>
    <w:rsid w:val="00EF7FDC"/>
    <w:rsid w:val="00F00C6F"/>
    <w:rsid w:val="00F012A2"/>
    <w:rsid w:val="00F01A93"/>
    <w:rsid w:val="00F01F7A"/>
    <w:rsid w:val="00F02B75"/>
    <w:rsid w:val="00F05BDA"/>
    <w:rsid w:val="00F05EB3"/>
    <w:rsid w:val="00F07991"/>
    <w:rsid w:val="00F1000C"/>
    <w:rsid w:val="00F1092E"/>
    <w:rsid w:val="00F11846"/>
    <w:rsid w:val="00F11A76"/>
    <w:rsid w:val="00F12F74"/>
    <w:rsid w:val="00F13B40"/>
    <w:rsid w:val="00F1556E"/>
    <w:rsid w:val="00F1605E"/>
    <w:rsid w:val="00F20368"/>
    <w:rsid w:val="00F20F4F"/>
    <w:rsid w:val="00F22A7A"/>
    <w:rsid w:val="00F236F9"/>
    <w:rsid w:val="00F24023"/>
    <w:rsid w:val="00F25A24"/>
    <w:rsid w:val="00F25F02"/>
    <w:rsid w:val="00F2630E"/>
    <w:rsid w:val="00F335AD"/>
    <w:rsid w:val="00F364A0"/>
    <w:rsid w:val="00F42068"/>
    <w:rsid w:val="00F4403B"/>
    <w:rsid w:val="00F45DF8"/>
    <w:rsid w:val="00F469B0"/>
    <w:rsid w:val="00F46A87"/>
    <w:rsid w:val="00F47A51"/>
    <w:rsid w:val="00F518A9"/>
    <w:rsid w:val="00F5388F"/>
    <w:rsid w:val="00F541C4"/>
    <w:rsid w:val="00F55ACE"/>
    <w:rsid w:val="00F60C1D"/>
    <w:rsid w:val="00F62A82"/>
    <w:rsid w:val="00F62F9C"/>
    <w:rsid w:val="00F648D8"/>
    <w:rsid w:val="00F65261"/>
    <w:rsid w:val="00F66756"/>
    <w:rsid w:val="00F6699C"/>
    <w:rsid w:val="00F67A49"/>
    <w:rsid w:val="00F71DC5"/>
    <w:rsid w:val="00F737A4"/>
    <w:rsid w:val="00F8279F"/>
    <w:rsid w:val="00F85264"/>
    <w:rsid w:val="00F90050"/>
    <w:rsid w:val="00F92D68"/>
    <w:rsid w:val="00F9415B"/>
    <w:rsid w:val="00F95CE4"/>
    <w:rsid w:val="00F968D2"/>
    <w:rsid w:val="00F971FC"/>
    <w:rsid w:val="00FA4687"/>
    <w:rsid w:val="00FA75C1"/>
    <w:rsid w:val="00FB0A75"/>
    <w:rsid w:val="00FB284E"/>
    <w:rsid w:val="00FB55F6"/>
    <w:rsid w:val="00FB5BED"/>
    <w:rsid w:val="00FB70B2"/>
    <w:rsid w:val="00FB79B6"/>
    <w:rsid w:val="00FC11EA"/>
    <w:rsid w:val="00FC1A41"/>
    <w:rsid w:val="00FC1A46"/>
    <w:rsid w:val="00FC6C6E"/>
    <w:rsid w:val="00FD020E"/>
    <w:rsid w:val="00FD0D8B"/>
    <w:rsid w:val="00FD16C2"/>
    <w:rsid w:val="00FE02CC"/>
    <w:rsid w:val="00FE0936"/>
    <w:rsid w:val="00FE23A3"/>
    <w:rsid w:val="00FE269D"/>
    <w:rsid w:val="00FE2BCF"/>
    <w:rsid w:val="00FE4C85"/>
    <w:rsid w:val="00FE5357"/>
    <w:rsid w:val="00FE7847"/>
    <w:rsid w:val="00FF1D16"/>
    <w:rsid w:val="00FF2605"/>
    <w:rsid w:val="00FF3069"/>
    <w:rsid w:val="00FF3735"/>
    <w:rsid w:val="00FF3C32"/>
    <w:rsid w:val="00FF4E1F"/>
    <w:rsid w:val="00FF5349"/>
    <w:rsid w:val="00FF56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7A084"/>
  <w15:chartTrackingRefBased/>
  <w15:docId w15:val="{39EDFB58-E981-DB4E-B141-FA6E4020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DB6"/>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DF0524"/>
    <w:pPr>
      <w:numPr>
        <w:numId w:val="5"/>
      </w:numPr>
      <w:spacing w:before="480" w:line="276" w:lineRule="auto"/>
      <w:contextualSpacing/>
      <w:outlineLvl w:val="0"/>
    </w:pPr>
    <w:rPr>
      <w:rFonts w:ascii="Arial" w:hAnsi="Arial"/>
      <w:b/>
      <w:bCs/>
      <w:sz w:val="28"/>
      <w:szCs w:val="28"/>
      <w:lang w:val="en-US" w:eastAsia="en-US"/>
    </w:rPr>
  </w:style>
  <w:style w:type="paragraph" w:styleId="Ttulo2">
    <w:name w:val="heading 2"/>
    <w:basedOn w:val="Normal"/>
    <w:next w:val="Normal"/>
    <w:link w:val="Ttulo2Char"/>
    <w:uiPriority w:val="9"/>
    <w:unhideWhenUsed/>
    <w:qFormat/>
    <w:rsid w:val="00DF0524"/>
    <w:pPr>
      <w:numPr>
        <w:ilvl w:val="1"/>
        <w:numId w:val="5"/>
      </w:numPr>
      <w:spacing w:before="200" w:line="276" w:lineRule="auto"/>
      <w:ind w:left="576"/>
      <w:outlineLvl w:val="1"/>
    </w:pPr>
    <w:rPr>
      <w:rFonts w:ascii="Arial" w:hAnsi="Arial"/>
      <w:b/>
      <w:bCs/>
      <w:sz w:val="26"/>
      <w:szCs w:val="26"/>
      <w:lang w:val="en-US" w:eastAsia="en-US"/>
    </w:rPr>
  </w:style>
  <w:style w:type="paragraph" w:styleId="Ttulo3">
    <w:name w:val="heading 3"/>
    <w:basedOn w:val="Normal"/>
    <w:next w:val="Normal"/>
    <w:link w:val="Ttulo3Char"/>
    <w:uiPriority w:val="9"/>
    <w:unhideWhenUsed/>
    <w:qFormat/>
    <w:rsid w:val="00DF0524"/>
    <w:pPr>
      <w:numPr>
        <w:ilvl w:val="2"/>
        <w:numId w:val="5"/>
      </w:numPr>
      <w:spacing w:before="200" w:line="271" w:lineRule="auto"/>
      <w:ind w:left="720"/>
      <w:outlineLvl w:val="2"/>
    </w:pPr>
    <w:rPr>
      <w:rFonts w:ascii="Arial" w:hAnsi="Arial"/>
      <w:b/>
      <w:bCs/>
      <w:sz w:val="20"/>
      <w:szCs w:val="20"/>
      <w:lang w:val="en-US" w:eastAsia="en-US"/>
    </w:rPr>
  </w:style>
  <w:style w:type="paragraph" w:styleId="Ttulo4">
    <w:name w:val="heading 4"/>
    <w:basedOn w:val="Normal"/>
    <w:next w:val="Normal"/>
    <w:link w:val="Ttulo4Char"/>
    <w:uiPriority w:val="9"/>
    <w:unhideWhenUsed/>
    <w:qFormat/>
    <w:rsid w:val="00DF0524"/>
    <w:pPr>
      <w:numPr>
        <w:ilvl w:val="3"/>
        <w:numId w:val="5"/>
      </w:numPr>
      <w:spacing w:before="200"/>
      <w:ind w:hanging="1080"/>
      <w:outlineLvl w:val="3"/>
    </w:pPr>
    <w:rPr>
      <w:rFonts w:ascii="Arial" w:hAnsi="Arial"/>
      <w:b/>
      <w:bCs/>
      <w:i/>
      <w:iCs/>
      <w:sz w:val="20"/>
      <w:szCs w:val="20"/>
      <w:lang w:val="en-US"/>
    </w:rPr>
  </w:style>
  <w:style w:type="paragraph" w:styleId="Ttulo5">
    <w:name w:val="heading 5"/>
    <w:basedOn w:val="Normal"/>
    <w:next w:val="Normal"/>
    <w:link w:val="Ttulo5Char"/>
    <w:uiPriority w:val="9"/>
    <w:semiHidden/>
    <w:unhideWhenUsed/>
    <w:qFormat/>
    <w:rsid w:val="00DF0524"/>
    <w:pPr>
      <w:numPr>
        <w:ilvl w:val="4"/>
        <w:numId w:val="5"/>
      </w:numPr>
      <w:spacing w:before="200"/>
      <w:ind w:left="1080"/>
      <w:outlineLvl w:val="4"/>
    </w:pPr>
    <w:rPr>
      <w:rFonts w:ascii="Arial" w:hAnsi="Arial"/>
      <w:b/>
      <w:bCs/>
      <w:color w:val="7F7F7F"/>
      <w:sz w:val="20"/>
      <w:szCs w:val="20"/>
      <w:lang w:val="en-US"/>
    </w:rPr>
  </w:style>
  <w:style w:type="paragraph" w:styleId="Ttulo6">
    <w:name w:val="heading 6"/>
    <w:basedOn w:val="Normal"/>
    <w:next w:val="Normal"/>
    <w:link w:val="Ttulo6Char"/>
    <w:uiPriority w:val="9"/>
    <w:semiHidden/>
    <w:unhideWhenUsed/>
    <w:qFormat/>
    <w:rsid w:val="00DF0524"/>
    <w:pPr>
      <w:numPr>
        <w:ilvl w:val="5"/>
        <w:numId w:val="5"/>
      </w:numPr>
      <w:spacing w:line="271" w:lineRule="auto"/>
      <w:ind w:hanging="1440"/>
      <w:outlineLvl w:val="5"/>
    </w:pPr>
    <w:rPr>
      <w:rFonts w:ascii="Arial" w:hAnsi="Arial"/>
      <w:b/>
      <w:bCs/>
      <w:i/>
      <w:iCs/>
      <w:color w:val="7F7F7F"/>
      <w:sz w:val="20"/>
      <w:szCs w:val="20"/>
      <w:lang w:val="en-US"/>
    </w:rPr>
  </w:style>
  <w:style w:type="paragraph" w:styleId="Ttulo7">
    <w:name w:val="heading 7"/>
    <w:basedOn w:val="Normal"/>
    <w:next w:val="Normal"/>
    <w:link w:val="Ttulo7Char"/>
    <w:uiPriority w:val="9"/>
    <w:semiHidden/>
    <w:unhideWhenUsed/>
    <w:qFormat/>
    <w:rsid w:val="00DF0524"/>
    <w:pPr>
      <w:numPr>
        <w:ilvl w:val="6"/>
        <w:numId w:val="5"/>
      </w:numPr>
      <w:ind w:left="1440"/>
      <w:outlineLvl w:val="6"/>
    </w:pPr>
    <w:rPr>
      <w:rFonts w:ascii="Arial" w:hAnsi="Arial"/>
      <w:i/>
      <w:iCs/>
      <w:sz w:val="20"/>
      <w:szCs w:val="20"/>
      <w:lang w:val="en-US"/>
    </w:rPr>
  </w:style>
  <w:style w:type="paragraph" w:styleId="Ttulo8">
    <w:name w:val="heading 8"/>
    <w:basedOn w:val="Normal"/>
    <w:next w:val="Normal"/>
    <w:link w:val="Ttulo8Char"/>
    <w:uiPriority w:val="9"/>
    <w:semiHidden/>
    <w:unhideWhenUsed/>
    <w:qFormat/>
    <w:rsid w:val="00DF0524"/>
    <w:pPr>
      <w:numPr>
        <w:ilvl w:val="7"/>
        <w:numId w:val="5"/>
      </w:numPr>
      <w:ind w:hanging="1800"/>
      <w:outlineLvl w:val="7"/>
    </w:pPr>
    <w:rPr>
      <w:rFonts w:ascii="Arial" w:hAnsi="Arial"/>
      <w:sz w:val="20"/>
      <w:szCs w:val="20"/>
      <w:lang w:val="en-US"/>
    </w:rPr>
  </w:style>
  <w:style w:type="paragraph" w:styleId="Ttulo9">
    <w:name w:val="heading 9"/>
    <w:basedOn w:val="Normal"/>
    <w:next w:val="Normal"/>
    <w:link w:val="Ttulo9Char"/>
    <w:uiPriority w:val="9"/>
    <w:semiHidden/>
    <w:unhideWhenUsed/>
    <w:qFormat/>
    <w:rsid w:val="00DF0524"/>
    <w:pPr>
      <w:numPr>
        <w:ilvl w:val="8"/>
        <w:numId w:val="5"/>
      </w:numPr>
      <w:ind w:left="1800"/>
      <w:outlineLvl w:val="8"/>
    </w:pPr>
    <w:rPr>
      <w:rFonts w:ascii="Arial" w:hAnsi="Arial"/>
      <w:i/>
      <w:iCs/>
      <w:spacing w:val="5"/>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comgrade3">
    <w:name w:val="Tabela com grade3"/>
    <w:basedOn w:val="Tabelanormal"/>
    <w:next w:val="Tabelacomgrade"/>
    <w:uiPriority w:val="39"/>
    <w:rsid w:val="00284B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59"/>
    <w:rsid w:val="00284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Fontepargpadro"/>
    <w:rsid w:val="00184A0B"/>
  </w:style>
  <w:style w:type="character" w:styleId="Refdecomentrio">
    <w:name w:val="annotation reference"/>
    <w:basedOn w:val="Fontepargpadro"/>
    <w:uiPriority w:val="99"/>
    <w:semiHidden/>
    <w:unhideWhenUsed/>
    <w:qFormat/>
    <w:rsid w:val="00E57ED8"/>
    <w:rPr>
      <w:sz w:val="16"/>
      <w:szCs w:val="16"/>
    </w:rPr>
  </w:style>
  <w:style w:type="paragraph" w:styleId="Textodecomentrio">
    <w:name w:val="annotation text"/>
    <w:basedOn w:val="Normal"/>
    <w:link w:val="TextodecomentrioChar"/>
    <w:uiPriority w:val="99"/>
    <w:unhideWhenUsed/>
    <w:rsid w:val="00E57ED8"/>
    <w:pPr>
      <w:spacing w:after="200"/>
    </w:pPr>
    <w:rPr>
      <w:rFonts w:ascii="Calibri" w:eastAsia="Calibri" w:hAnsi="Calibri"/>
      <w:sz w:val="20"/>
      <w:szCs w:val="20"/>
      <w:lang w:eastAsia="en-US"/>
    </w:rPr>
  </w:style>
  <w:style w:type="character" w:customStyle="1" w:styleId="TextodecomentrioChar">
    <w:name w:val="Texto de comentário Char"/>
    <w:basedOn w:val="Fontepargpadro"/>
    <w:link w:val="Textodecomentrio"/>
    <w:uiPriority w:val="99"/>
    <w:rsid w:val="00E57ED8"/>
    <w:rPr>
      <w:rFonts w:ascii="Calibri" w:eastAsia="Calibri" w:hAnsi="Calibri" w:cs="Times New Roman"/>
      <w:sz w:val="20"/>
      <w:szCs w:val="20"/>
    </w:rPr>
  </w:style>
  <w:style w:type="paragraph" w:customStyle="1" w:styleId="Bibliografia1">
    <w:name w:val="Bibliografia1"/>
    <w:basedOn w:val="Normal"/>
    <w:link w:val="BibliographyChar"/>
    <w:rsid w:val="00405A49"/>
    <w:pPr>
      <w:tabs>
        <w:tab w:val="left" w:pos="500"/>
      </w:tabs>
      <w:spacing w:before="30" w:after="240"/>
      <w:ind w:left="504" w:hanging="504"/>
      <w:jc w:val="both"/>
    </w:pPr>
    <w:rPr>
      <w:color w:val="3B3838"/>
    </w:rPr>
  </w:style>
  <w:style w:type="character" w:customStyle="1" w:styleId="BibliographyChar">
    <w:name w:val="Bibliography Char"/>
    <w:basedOn w:val="Fontepargpadro"/>
    <w:link w:val="Bibliografia1"/>
    <w:rsid w:val="00405A49"/>
    <w:rPr>
      <w:rFonts w:ascii="Times New Roman" w:eastAsia="Times New Roman" w:hAnsi="Times New Roman" w:cs="Times New Roman"/>
      <w:color w:val="3B3838"/>
      <w:lang w:eastAsia="pt-BR"/>
    </w:rPr>
  </w:style>
  <w:style w:type="character" w:customStyle="1" w:styleId="Ttulo1Char">
    <w:name w:val="Título 1 Char"/>
    <w:basedOn w:val="Fontepargpadro"/>
    <w:link w:val="Ttulo1"/>
    <w:uiPriority w:val="9"/>
    <w:rsid w:val="00DF0524"/>
    <w:rPr>
      <w:rFonts w:ascii="Arial" w:eastAsia="Times New Roman" w:hAnsi="Arial" w:cs="Times New Roman"/>
      <w:b/>
      <w:bCs/>
      <w:sz w:val="28"/>
      <w:szCs w:val="28"/>
      <w:lang w:val="en-US"/>
    </w:rPr>
  </w:style>
  <w:style w:type="character" w:customStyle="1" w:styleId="Ttulo2Char">
    <w:name w:val="Título 2 Char"/>
    <w:basedOn w:val="Fontepargpadro"/>
    <w:link w:val="Ttulo2"/>
    <w:uiPriority w:val="9"/>
    <w:rsid w:val="00DF0524"/>
    <w:rPr>
      <w:rFonts w:ascii="Arial" w:eastAsia="Times New Roman" w:hAnsi="Arial" w:cs="Times New Roman"/>
      <w:b/>
      <w:bCs/>
      <w:sz w:val="26"/>
      <w:szCs w:val="26"/>
      <w:lang w:val="en-US"/>
    </w:rPr>
  </w:style>
  <w:style w:type="character" w:customStyle="1" w:styleId="Ttulo3Char">
    <w:name w:val="Título 3 Char"/>
    <w:basedOn w:val="Fontepargpadro"/>
    <w:link w:val="Ttulo3"/>
    <w:uiPriority w:val="9"/>
    <w:rsid w:val="00DF0524"/>
    <w:rPr>
      <w:rFonts w:ascii="Arial" w:eastAsia="Times New Roman" w:hAnsi="Arial" w:cs="Times New Roman"/>
      <w:b/>
      <w:bCs/>
      <w:sz w:val="20"/>
      <w:szCs w:val="20"/>
      <w:lang w:val="en-US"/>
    </w:rPr>
  </w:style>
  <w:style w:type="character" w:customStyle="1" w:styleId="Ttulo4Char">
    <w:name w:val="Título 4 Char"/>
    <w:basedOn w:val="Fontepargpadro"/>
    <w:link w:val="Ttulo4"/>
    <w:uiPriority w:val="9"/>
    <w:rsid w:val="00DF0524"/>
    <w:rPr>
      <w:rFonts w:ascii="Arial" w:eastAsia="Times New Roman" w:hAnsi="Arial" w:cs="Times New Roman"/>
      <w:b/>
      <w:bCs/>
      <w:i/>
      <w:iCs/>
      <w:sz w:val="20"/>
      <w:szCs w:val="20"/>
      <w:lang w:val="en-US" w:eastAsia="pt-BR"/>
    </w:rPr>
  </w:style>
  <w:style w:type="character" w:customStyle="1" w:styleId="Ttulo5Char">
    <w:name w:val="Título 5 Char"/>
    <w:basedOn w:val="Fontepargpadro"/>
    <w:link w:val="Ttulo5"/>
    <w:uiPriority w:val="9"/>
    <w:semiHidden/>
    <w:rsid w:val="00DF0524"/>
    <w:rPr>
      <w:rFonts w:ascii="Arial" w:eastAsia="Times New Roman" w:hAnsi="Arial" w:cs="Times New Roman"/>
      <w:b/>
      <w:bCs/>
      <w:color w:val="7F7F7F"/>
      <w:sz w:val="20"/>
      <w:szCs w:val="20"/>
      <w:lang w:val="en-US" w:eastAsia="pt-BR"/>
    </w:rPr>
  </w:style>
  <w:style w:type="character" w:customStyle="1" w:styleId="Ttulo6Char">
    <w:name w:val="Título 6 Char"/>
    <w:basedOn w:val="Fontepargpadro"/>
    <w:link w:val="Ttulo6"/>
    <w:uiPriority w:val="9"/>
    <w:semiHidden/>
    <w:rsid w:val="00DF0524"/>
    <w:rPr>
      <w:rFonts w:ascii="Arial" w:eastAsia="Times New Roman" w:hAnsi="Arial" w:cs="Times New Roman"/>
      <w:b/>
      <w:bCs/>
      <w:i/>
      <w:iCs/>
      <w:color w:val="7F7F7F"/>
      <w:sz w:val="20"/>
      <w:szCs w:val="20"/>
      <w:lang w:val="en-US" w:eastAsia="pt-BR"/>
    </w:rPr>
  </w:style>
  <w:style w:type="character" w:customStyle="1" w:styleId="Ttulo7Char">
    <w:name w:val="Título 7 Char"/>
    <w:basedOn w:val="Fontepargpadro"/>
    <w:link w:val="Ttulo7"/>
    <w:uiPriority w:val="9"/>
    <w:semiHidden/>
    <w:rsid w:val="00DF0524"/>
    <w:rPr>
      <w:rFonts w:ascii="Arial" w:eastAsia="Times New Roman" w:hAnsi="Arial" w:cs="Times New Roman"/>
      <w:i/>
      <w:iCs/>
      <w:sz w:val="20"/>
      <w:szCs w:val="20"/>
      <w:lang w:val="en-US" w:eastAsia="pt-BR"/>
    </w:rPr>
  </w:style>
  <w:style w:type="character" w:customStyle="1" w:styleId="Ttulo8Char">
    <w:name w:val="Título 8 Char"/>
    <w:basedOn w:val="Fontepargpadro"/>
    <w:link w:val="Ttulo8"/>
    <w:uiPriority w:val="9"/>
    <w:semiHidden/>
    <w:rsid w:val="00DF0524"/>
    <w:rPr>
      <w:rFonts w:ascii="Arial" w:eastAsia="Times New Roman" w:hAnsi="Arial" w:cs="Times New Roman"/>
      <w:sz w:val="20"/>
      <w:szCs w:val="20"/>
      <w:lang w:val="en-US" w:eastAsia="pt-BR"/>
    </w:rPr>
  </w:style>
  <w:style w:type="character" w:customStyle="1" w:styleId="Ttulo9Char">
    <w:name w:val="Título 9 Char"/>
    <w:basedOn w:val="Fontepargpadro"/>
    <w:link w:val="Ttulo9"/>
    <w:uiPriority w:val="9"/>
    <w:semiHidden/>
    <w:rsid w:val="00DF0524"/>
    <w:rPr>
      <w:rFonts w:ascii="Arial" w:eastAsia="Times New Roman" w:hAnsi="Arial" w:cs="Times New Roman"/>
      <w:i/>
      <w:iCs/>
      <w:spacing w:val="5"/>
      <w:sz w:val="20"/>
      <w:szCs w:val="20"/>
      <w:lang w:val="en-US" w:eastAsia="pt-BR"/>
    </w:rPr>
  </w:style>
  <w:style w:type="table" w:customStyle="1" w:styleId="Tabelacomgrade1">
    <w:name w:val="Tabela com grade1"/>
    <w:basedOn w:val="Tabelanormal"/>
    <w:next w:val="Tabelacomgrade"/>
    <w:uiPriority w:val="59"/>
    <w:rsid w:val="005D383D"/>
    <w:pPr>
      <w:ind w:firstLine="851"/>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semiHidden/>
    <w:unhideWhenUsed/>
    <w:rsid w:val="00FD0D8B"/>
    <w:rPr>
      <w:color w:val="0000FF"/>
      <w:u w:val="single"/>
    </w:rPr>
  </w:style>
  <w:style w:type="paragraph" w:styleId="NormalWeb">
    <w:name w:val="Normal (Web)"/>
    <w:basedOn w:val="Normal"/>
    <w:uiPriority w:val="99"/>
    <w:unhideWhenUsed/>
    <w:rsid w:val="00FD0D8B"/>
    <w:pPr>
      <w:spacing w:before="100" w:beforeAutospacing="1" w:after="100" w:afterAutospacing="1"/>
    </w:pPr>
  </w:style>
  <w:style w:type="character" w:styleId="nfase">
    <w:name w:val="Emphasis"/>
    <w:basedOn w:val="Fontepargpadro"/>
    <w:uiPriority w:val="20"/>
    <w:qFormat/>
    <w:rsid w:val="00F20F4F"/>
    <w:rPr>
      <w:i/>
      <w:iCs/>
    </w:rPr>
  </w:style>
  <w:style w:type="paragraph" w:customStyle="1" w:styleId="chapter-para">
    <w:name w:val="chapter-para"/>
    <w:basedOn w:val="Normal"/>
    <w:rsid w:val="00724D19"/>
    <w:pPr>
      <w:spacing w:before="100" w:beforeAutospacing="1" w:after="100" w:afterAutospacing="1"/>
    </w:pPr>
  </w:style>
  <w:style w:type="paragraph" w:styleId="Pr-formataoHTML">
    <w:name w:val="HTML Preformatted"/>
    <w:basedOn w:val="Normal"/>
    <w:link w:val="Pr-formataoHTMLChar"/>
    <w:uiPriority w:val="99"/>
    <w:unhideWhenUsed/>
    <w:rsid w:val="00760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760BDA"/>
    <w:rPr>
      <w:rFonts w:ascii="Courier New" w:eastAsia="Times New Roman" w:hAnsi="Courier New" w:cs="Courier New"/>
      <w:sz w:val="20"/>
      <w:szCs w:val="20"/>
      <w:lang w:eastAsia="pt-BR"/>
    </w:rPr>
  </w:style>
  <w:style w:type="paragraph" w:customStyle="1" w:styleId="Default">
    <w:name w:val="Default"/>
    <w:rsid w:val="0034399A"/>
    <w:pPr>
      <w:autoSpaceDE w:val="0"/>
      <w:autoSpaceDN w:val="0"/>
      <w:adjustRightInd w:val="0"/>
    </w:pPr>
    <w:rPr>
      <w:rFonts w:ascii="Minion Pro" w:eastAsia="Calibri" w:hAnsi="Minion Pro" w:cs="Minion Pro"/>
      <w:color w:val="000000"/>
      <w:lang w:eastAsia="pt-BR"/>
    </w:rPr>
  </w:style>
  <w:style w:type="paragraph" w:customStyle="1" w:styleId="Pa14">
    <w:name w:val="Pa14"/>
    <w:basedOn w:val="Default"/>
    <w:next w:val="Default"/>
    <w:uiPriority w:val="99"/>
    <w:rsid w:val="0034399A"/>
    <w:pPr>
      <w:spacing w:line="241" w:lineRule="atLeast"/>
    </w:pPr>
    <w:rPr>
      <w:rFonts w:ascii="Arial" w:hAnsi="Arial" w:cs="Arial"/>
      <w:color w:val="auto"/>
    </w:rPr>
  </w:style>
  <w:style w:type="paragraph" w:styleId="PargrafodaLista">
    <w:name w:val="List Paragraph"/>
    <w:basedOn w:val="Normal"/>
    <w:uiPriority w:val="34"/>
    <w:qFormat/>
    <w:rsid w:val="00FF4E1F"/>
    <w:pPr>
      <w:ind w:left="720"/>
      <w:contextualSpacing/>
    </w:pPr>
  </w:style>
  <w:style w:type="character" w:styleId="TextodoEspaoReservado">
    <w:name w:val="Placeholder Text"/>
    <w:basedOn w:val="Fontepargpadro"/>
    <w:uiPriority w:val="99"/>
    <w:semiHidden/>
    <w:rsid w:val="00720E22"/>
    <w:rPr>
      <w:color w:val="808080"/>
    </w:rPr>
  </w:style>
  <w:style w:type="character" w:customStyle="1" w:styleId="small-caps">
    <w:name w:val="small-caps"/>
    <w:basedOn w:val="Fontepargpadro"/>
    <w:rsid w:val="00D5651D"/>
  </w:style>
  <w:style w:type="paragraph" w:customStyle="1" w:styleId="p">
    <w:name w:val="p"/>
    <w:basedOn w:val="Normal"/>
    <w:rsid w:val="00BA40D8"/>
    <w:pPr>
      <w:spacing w:before="100" w:beforeAutospacing="1" w:after="100" w:afterAutospacing="1"/>
    </w:pPr>
  </w:style>
  <w:style w:type="character" w:styleId="Forte">
    <w:name w:val="Strong"/>
    <w:basedOn w:val="Fontepargpadro"/>
    <w:uiPriority w:val="22"/>
    <w:qFormat/>
    <w:rsid w:val="00125BE1"/>
    <w:rPr>
      <w:b/>
      <w:bCs/>
    </w:rPr>
  </w:style>
  <w:style w:type="character" w:customStyle="1" w:styleId="ej-keyword">
    <w:name w:val="ej-keyword"/>
    <w:basedOn w:val="Fontepargpadro"/>
    <w:rsid w:val="00F62A82"/>
  </w:style>
  <w:style w:type="paragraph" w:customStyle="1" w:styleId="pa">
    <w:name w:val="p_a"/>
    <w:basedOn w:val="Normal"/>
    <w:rsid w:val="00981ED4"/>
    <w:pPr>
      <w:spacing w:before="100" w:beforeAutospacing="1" w:after="100" w:afterAutospacing="1"/>
    </w:pPr>
  </w:style>
  <w:style w:type="paragraph" w:customStyle="1" w:styleId="msonormal0">
    <w:name w:val="msonormal"/>
    <w:basedOn w:val="Normal"/>
    <w:rsid w:val="004D51EE"/>
    <w:pPr>
      <w:spacing w:before="100" w:beforeAutospacing="1" w:after="100" w:afterAutospacing="1"/>
    </w:pPr>
  </w:style>
  <w:style w:type="character" w:customStyle="1" w:styleId="label">
    <w:name w:val="label"/>
    <w:basedOn w:val="Fontepargpadro"/>
    <w:rsid w:val="004D51EE"/>
  </w:style>
  <w:style w:type="character" w:styleId="HiperlinkVisitado">
    <w:name w:val="FollowedHyperlink"/>
    <w:basedOn w:val="Fontepargpadro"/>
    <w:uiPriority w:val="99"/>
    <w:semiHidden/>
    <w:unhideWhenUsed/>
    <w:rsid w:val="004D51EE"/>
    <w:rPr>
      <w:color w:val="800080"/>
      <w:u w:val="single"/>
    </w:rPr>
  </w:style>
  <w:style w:type="character" w:customStyle="1" w:styleId="xreflink">
    <w:name w:val="xreflink"/>
    <w:basedOn w:val="Fontepargpadro"/>
    <w:rsid w:val="004D51EE"/>
  </w:style>
  <w:style w:type="character" w:customStyle="1" w:styleId="fn">
    <w:name w:val="fn"/>
    <w:basedOn w:val="Fontepargpadro"/>
    <w:rsid w:val="004D51EE"/>
  </w:style>
  <w:style w:type="table" w:styleId="SimplesTabela2">
    <w:name w:val="Plain Table 2"/>
    <w:basedOn w:val="Tabelanormal"/>
    <w:uiPriority w:val="42"/>
    <w:rsid w:val="00745E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Grade6Colorida-nfase5">
    <w:name w:val="Grid Table 6 Colorful Accent 5"/>
    <w:basedOn w:val="Tabelanormal"/>
    <w:uiPriority w:val="51"/>
    <w:rsid w:val="002C713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deGrade1Clara-nfase5">
    <w:name w:val="Grid Table 1 Light Accent 5"/>
    <w:basedOn w:val="Tabelanormal"/>
    <w:uiPriority w:val="46"/>
    <w:rsid w:val="00D316C1"/>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eladeGrade4-nfase1">
    <w:name w:val="Grid Table 4 Accent 1"/>
    <w:basedOn w:val="Tabelanormal"/>
    <w:uiPriority w:val="49"/>
    <w:rsid w:val="001D4B3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notaderodap">
    <w:name w:val="footnote text"/>
    <w:basedOn w:val="Normal"/>
    <w:link w:val="TextodenotaderodapChar"/>
    <w:uiPriority w:val="99"/>
    <w:semiHidden/>
    <w:unhideWhenUsed/>
    <w:rsid w:val="00191AA5"/>
    <w:rPr>
      <w:sz w:val="20"/>
      <w:szCs w:val="20"/>
    </w:rPr>
  </w:style>
  <w:style w:type="character" w:customStyle="1" w:styleId="TextodenotaderodapChar">
    <w:name w:val="Texto de nota de rodapé Char"/>
    <w:basedOn w:val="Fontepargpadro"/>
    <w:link w:val="Textodenotaderodap"/>
    <w:uiPriority w:val="99"/>
    <w:semiHidden/>
    <w:rsid w:val="00191AA5"/>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191AA5"/>
    <w:rPr>
      <w:vertAlign w:val="superscript"/>
    </w:rPr>
  </w:style>
  <w:style w:type="paragraph" w:styleId="Rodap">
    <w:name w:val="footer"/>
    <w:basedOn w:val="Normal"/>
    <w:link w:val="RodapChar"/>
    <w:uiPriority w:val="99"/>
    <w:unhideWhenUsed/>
    <w:rsid w:val="00E15B43"/>
    <w:pPr>
      <w:tabs>
        <w:tab w:val="center" w:pos="4252"/>
        <w:tab w:val="right" w:pos="8504"/>
      </w:tabs>
    </w:pPr>
  </w:style>
  <w:style w:type="character" w:customStyle="1" w:styleId="RodapChar">
    <w:name w:val="Rodapé Char"/>
    <w:basedOn w:val="Fontepargpadro"/>
    <w:link w:val="Rodap"/>
    <w:uiPriority w:val="99"/>
    <w:rsid w:val="00E15B43"/>
    <w:rPr>
      <w:rFonts w:ascii="Times New Roman" w:eastAsia="Times New Roman" w:hAnsi="Times New Roman" w:cs="Times New Roman"/>
      <w:lang w:eastAsia="pt-BR"/>
    </w:rPr>
  </w:style>
  <w:style w:type="character" w:styleId="Nmerodepgina">
    <w:name w:val="page number"/>
    <w:basedOn w:val="Fontepargpadro"/>
    <w:uiPriority w:val="99"/>
    <w:semiHidden/>
    <w:unhideWhenUsed/>
    <w:rsid w:val="00E15B43"/>
  </w:style>
  <w:style w:type="paragraph" w:styleId="Cabealho">
    <w:name w:val="header"/>
    <w:basedOn w:val="Normal"/>
    <w:link w:val="CabealhoChar"/>
    <w:uiPriority w:val="99"/>
    <w:unhideWhenUsed/>
    <w:rsid w:val="00DE7127"/>
    <w:pPr>
      <w:tabs>
        <w:tab w:val="center" w:pos="4252"/>
        <w:tab w:val="right" w:pos="8504"/>
      </w:tabs>
    </w:pPr>
  </w:style>
  <w:style w:type="character" w:customStyle="1" w:styleId="CabealhoChar">
    <w:name w:val="Cabeçalho Char"/>
    <w:basedOn w:val="Fontepargpadro"/>
    <w:link w:val="Cabealho"/>
    <w:uiPriority w:val="99"/>
    <w:rsid w:val="00DE7127"/>
    <w:rPr>
      <w:rFonts w:ascii="Times New Roman" w:eastAsia="Times New Roman" w:hAnsi="Times New Roman" w:cs="Times New Roman"/>
      <w:lang w:eastAsia="pt-BR"/>
    </w:rPr>
  </w:style>
  <w:style w:type="paragraph" w:styleId="Textodebalo">
    <w:name w:val="Balloon Text"/>
    <w:basedOn w:val="Normal"/>
    <w:link w:val="TextodebaloChar"/>
    <w:uiPriority w:val="99"/>
    <w:semiHidden/>
    <w:unhideWhenUsed/>
    <w:rsid w:val="00493BC8"/>
    <w:rPr>
      <w:rFonts w:ascii="Segoe UI" w:hAnsi="Segoe UI" w:cs="Segoe UI"/>
      <w:sz w:val="18"/>
      <w:szCs w:val="18"/>
    </w:rPr>
  </w:style>
  <w:style w:type="character" w:customStyle="1" w:styleId="TextodebaloChar">
    <w:name w:val="Texto de balão Char"/>
    <w:basedOn w:val="Fontepargpadro"/>
    <w:link w:val="Textodebalo"/>
    <w:uiPriority w:val="99"/>
    <w:semiHidden/>
    <w:rsid w:val="00493BC8"/>
    <w:rPr>
      <w:rFonts w:ascii="Segoe UI" w:eastAsia="Times New Roman" w:hAnsi="Segoe UI" w:cs="Segoe UI"/>
      <w:sz w:val="18"/>
      <w:szCs w:val="18"/>
      <w:lang w:eastAsia="pt-BR"/>
    </w:rPr>
  </w:style>
  <w:style w:type="paragraph" w:styleId="Assuntodocomentrio">
    <w:name w:val="annotation subject"/>
    <w:basedOn w:val="Textodecomentrio"/>
    <w:next w:val="Textodecomentrio"/>
    <w:link w:val="AssuntodocomentrioChar"/>
    <w:uiPriority w:val="99"/>
    <w:semiHidden/>
    <w:unhideWhenUsed/>
    <w:rsid w:val="00FF3735"/>
    <w:pPr>
      <w:spacing w:after="0"/>
    </w:pPr>
    <w:rPr>
      <w:rFonts w:ascii="Times New Roman" w:eastAsia="Times New Roman" w:hAnsi="Times New Roman"/>
      <w:b/>
      <w:bCs/>
      <w:lang w:eastAsia="pt-BR"/>
    </w:rPr>
  </w:style>
  <w:style w:type="character" w:customStyle="1" w:styleId="AssuntodocomentrioChar">
    <w:name w:val="Assunto do comentário Char"/>
    <w:basedOn w:val="TextodecomentrioChar"/>
    <w:link w:val="Assuntodocomentrio"/>
    <w:uiPriority w:val="99"/>
    <w:semiHidden/>
    <w:rsid w:val="00FF3735"/>
    <w:rPr>
      <w:rFonts w:ascii="Times New Roman" w:eastAsia="Times New Roman" w:hAnsi="Times New Roman" w:cs="Times New Roman"/>
      <w:b/>
      <w:bCs/>
      <w:sz w:val="20"/>
      <w:szCs w:val="20"/>
      <w:lang w:eastAsia="pt-BR"/>
    </w:rPr>
  </w:style>
  <w:style w:type="paragraph" w:customStyle="1" w:styleId="Padro">
    <w:name w:val="Padrão"/>
    <w:rsid w:val="00C05924"/>
    <w:pPr>
      <w:suppressAutoHyphens/>
      <w:spacing w:after="200" w:line="276" w:lineRule="auto"/>
    </w:pPr>
    <w:rPr>
      <w:rFonts w:ascii="Calibri" w:eastAsia="Calibri" w:hAnsi="Calibri" w:cs="Times New Roman"/>
      <w:sz w:val="22"/>
      <w:szCs w:val="22"/>
    </w:rPr>
  </w:style>
  <w:style w:type="character" w:customStyle="1" w:styleId="pg-1fs2">
    <w:name w:val="pg-1fs2"/>
    <w:basedOn w:val="Fontepargpadro"/>
    <w:rsid w:val="00C059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211">
      <w:bodyDiv w:val="1"/>
      <w:marLeft w:val="0"/>
      <w:marRight w:val="0"/>
      <w:marTop w:val="0"/>
      <w:marBottom w:val="0"/>
      <w:divBdr>
        <w:top w:val="none" w:sz="0" w:space="0" w:color="auto"/>
        <w:left w:val="none" w:sz="0" w:space="0" w:color="auto"/>
        <w:bottom w:val="none" w:sz="0" w:space="0" w:color="auto"/>
        <w:right w:val="none" w:sz="0" w:space="0" w:color="auto"/>
      </w:divBdr>
    </w:div>
    <w:div w:id="16077993">
      <w:bodyDiv w:val="1"/>
      <w:marLeft w:val="0"/>
      <w:marRight w:val="0"/>
      <w:marTop w:val="0"/>
      <w:marBottom w:val="0"/>
      <w:divBdr>
        <w:top w:val="none" w:sz="0" w:space="0" w:color="auto"/>
        <w:left w:val="none" w:sz="0" w:space="0" w:color="auto"/>
        <w:bottom w:val="none" w:sz="0" w:space="0" w:color="auto"/>
        <w:right w:val="none" w:sz="0" w:space="0" w:color="auto"/>
      </w:divBdr>
    </w:div>
    <w:div w:id="30109172">
      <w:bodyDiv w:val="1"/>
      <w:marLeft w:val="0"/>
      <w:marRight w:val="0"/>
      <w:marTop w:val="0"/>
      <w:marBottom w:val="0"/>
      <w:divBdr>
        <w:top w:val="none" w:sz="0" w:space="0" w:color="auto"/>
        <w:left w:val="none" w:sz="0" w:space="0" w:color="auto"/>
        <w:bottom w:val="none" w:sz="0" w:space="0" w:color="auto"/>
        <w:right w:val="none" w:sz="0" w:space="0" w:color="auto"/>
      </w:divBdr>
    </w:div>
    <w:div w:id="30768994">
      <w:bodyDiv w:val="1"/>
      <w:marLeft w:val="0"/>
      <w:marRight w:val="0"/>
      <w:marTop w:val="0"/>
      <w:marBottom w:val="0"/>
      <w:divBdr>
        <w:top w:val="none" w:sz="0" w:space="0" w:color="auto"/>
        <w:left w:val="none" w:sz="0" w:space="0" w:color="auto"/>
        <w:bottom w:val="none" w:sz="0" w:space="0" w:color="auto"/>
        <w:right w:val="none" w:sz="0" w:space="0" w:color="auto"/>
      </w:divBdr>
    </w:div>
    <w:div w:id="31924180">
      <w:bodyDiv w:val="1"/>
      <w:marLeft w:val="0"/>
      <w:marRight w:val="0"/>
      <w:marTop w:val="0"/>
      <w:marBottom w:val="0"/>
      <w:divBdr>
        <w:top w:val="none" w:sz="0" w:space="0" w:color="auto"/>
        <w:left w:val="none" w:sz="0" w:space="0" w:color="auto"/>
        <w:bottom w:val="none" w:sz="0" w:space="0" w:color="auto"/>
        <w:right w:val="none" w:sz="0" w:space="0" w:color="auto"/>
      </w:divBdr>
    </w:div>
    <w:div w:id="50464201">
      <w:bodyDiv w:val="1"/>
      <w:marLeft w:val="0"/>
      <w:marRight w:val="0"/>
      <w:marTop w:val="0"/>
      <w:marBottom w:val="0"/>
      <w:divBdr>
        <w:top w:val="none" w:sz="0" w:space="0" w:color="auto"/>
        <w:left w:val="none" w:sz="0" w:space="0" w:color="auto"/>
        <w:bottom w:val="none" w:sz="0" w:space="0" w:color="auto"/>
        <w:right w:val="none" w:sz="0" w:space="0" w:color="auto"/>
      </w:divBdr>
    </w:div>
    <w:div w:id="50741112">
      <w:bodyDiv w:val="1"/>
      <w:marLeft w:val="0"/>
      <w:marRight w:val="0"/>
      <w:marTop w:val="0"/>
      <w:marBottom w:val="0"/>
      <w:divBdr>
        <w:top w:val="none" w:sz="0" w:space="0" w:color="auto"/>
        <w:left w:val="none" w:sz="0" w:space="0" w:color="auto"/>
        <w:bottom w:val="none" w:sz="0" w:space="0" w:color="auto"/>
        <w:right w:val="none" w:sz="0" w:space="0" w:color="auto"/>
      </w:divBdr>
    </w:div>
    <w:div w:id="65420022">
      <w:bodyDiv w:val="1"/>
      <w:marLeft w:val="0"/>
      <w:marRight w:val="0"/>
      <w:marTop w:val="0"/>
      <w:marBottom w:val="0"/>
      <w:divBdr>
        <w:top w:val="none" w:sz="0" w:space="0" w:color="auto"/>
        <w:left w:val="none" w:sz="0" w:space="0" w:color="auto"/>
        <w:bottom w:val="none" w:sz="0" w:space="0" w:color="auto"/>
        <w:right w:val="none" w:sz="0" w:space="0" w:color="auto"/>
      </w:divBdr>
    </w:div>
    <w:div w:id="70859676">
      <w:bodyDiv w:val="1"/>
      <w:marLeft w:val="0"/>
      <w:marRight w:val="0"/>
      <w:marTop w:val="0"/>
      <w:marBottom w:val="0"/>
      <w:divBdr>
        <w:top w:val="none" w:sz="0" w:space="0" w:color="auto"/>
        <w:left w:val="none" w:sz="0" w:space="0" w:color="auto"/>
        <w:bottom w:val="none" w:sz="0" w:space="0" w:color="auto"/>
        <w:right w:val="none" w:sz="0" w:space="0" w:color="auto"/>
      </w:divBdr>
      <w:divsChild>
        <w:div w:id="1778212684">
          <w:marLeft w:val="0"/>
          <w:marRight w:val="0"/>
          <w:marTop w:val="0"/>
          <w:marBottom w:val="0"/>
          <w:divBdr>
            <w:top w:val="none" w:sz="0" w:space="0" w:color="auto"/>
            <w:left w:val="none" w:sz="0" w:space="0" w:color="auto"/>
            <w:bottom w:val="none" w:sz="0" w:space="0" w:color="auto"/>
            <w:right w:val="none" w:sz="0" w:space="0" w:color="auto"/>
          </w:divBdr>
          <w:divsChild>
            <w:div w:id="414136907">
              <w:marLeft w:val="0"/>
              <w:marRight w:val="0"/>
              <w:marTop w:val="0"/>
              <w:marBottom w:val="0"/>
              <w:divBdr>
                <w:top w:val="none" w:sz="0" w:space="0" w:color="auto"/>
                <w:left w:val="none" w:sz="0" w:space="0" w:color="auto"/>
                <w:bottom w:val="none" w:sz="0" w:space="0" w:color="auto"/>
                <w:right w:val="none" w:sz="0" w:space="0" w:color="auto"/>
              </w:divBdr>
              <w:divsChild>
                <w:div w:id="9818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0215">
      <w:bodyDiv w:val="1"/>
      <w:marLeft w:val="0"/>
      <w:marRight w:val="0"/>
      <w:marTop w:val="0"/>
      <w:marBottom w:val="0"/>
      <w:divBdr>
        <w:top w:val="none" w:sz="0" w:space="0" w:color="auto"/>
        <w:left w:val="none" w:sz="0" w:space="0" w:color="auto"/>
        <w:bottom w:val="none" w:sz="0" w:space="0" w:color="auto"/>
        <w:right w:val="none" w:sz="0" w:space="0" w:color="auto"/>
      </w:divBdr>
      <w:divsChild>
        <w:div w:id="814444402">
          <w:marLeft w:val="0"/>
          <w:marRight w:val="0"/>
          <w:marTop w:val="0"/>
          <w:marBottom w:val="0"/>
          <w:divBdr>
            <w:top w:val="none" w:sz="0" w:space="0" w:color="auto"/>
            <w:left w:val="none" w:sz="0" w:space="0" w:color="auto"/>
            <w:bottom w:val="none" w:sz="0" w:space="0" w:color="auto"/>
            <w:right w:val="none" w:sz="0" w:space="0" w:color="auto"/>
          </w:divBdr>
        </w:div>
        <w:div w:id="556016281">
          <w:marLeft w:val="0"/>
          <w:marRight w:val="0"/>
          <w:marTop w:val="0"/>
          <w:marBottom w:val="0"/>
          <w:divBdr>
            <w:top w:val="none" w:sz="0" w:space="0" w:color="auto"/>
            <w:left w:val="none" w:sz="0" w:space="0" w:color="auto"/>
            <w:bottom w:val="none" w:sz="0" w:space="0" w:color="auto"/>
            <w:right w:val="none" w:sz="0" w:space="0" w:color="auto"/>
          </w:divBdr>
        </w:div>
        <w:div w:id="1439987807">
          <w:marLeft w:val="0"/>
          <w:marRight w:val="0"/>
          <w:marTop w:val="0"/>
          <w:marBottom w:val="0"/>
          <w:divBdr>
            <w:top w:val="none" w:sz="0" w:space="0" w:color="auto"/>
            <w:left w:val="none" w:sz="0" w:space="0" w:color="auto"/>
            <w:bottom w:val="none" w:sz="0" w:space="0" w:color="auto"/>
            <w:right w:val="none" w:sz="0" w:space="0" w:color="auto"/>
          </w:divBdr>
        </w:div>
      </w:divsChild>
    </w:div>
    <w:div w:id="95058606">
      <w:bodyDiv w:val="1"/>
      <w:marLeft w:val="0"/>
      <w:marRight w:val="0"/>
      <w:marTop w:val="0"/>
      <w:marBottom w:val="0"/>
      <w:divBdr>
        <w:top w:val="none" w:sz="0" w:space="0" w:color="auto"/>
        <w:left w:val="none" w:sz="0" w:space="0" w:color="auto"/>
        <w:bottom w:val="none" w:sz="0" w:space="0" w:color="auto"/>
        <w:right w:val="none" w:sz="0" w:space="0" w:color="auto"/>
      </w:divBdr>
    </w:div>
    <w:div w:id="105394456">
      <w:bodyDiv w:val="1"/>
      <w:marLeft w:val="0"/>
      <w:marRight w:val="0"/>
      <w:marTop w:val="0"/>
      <w:marBottom w:val="0"/>
      <w:divBdr>
        <w:top w:val="none" w:sz="0" w:space="0" w:color="auto"/>
        <w:left w:val="none" w:sz="0" w:space="0" w:color="auto"/>
        <w:bottom w:val="none" w:sz="0" w:space="0" w:color="auto"/>
        <w:right w:val="none" w:sz="0" w:space="0" w:color="auto"/>
      </w:divBdr>
    </w:div>
    <w:div w:id="146018266">
      <w:bodyDiv w:val="1"/>
      <w:marLeft w:val="0"/>
      <w:marRight w:val="0"/>
      <w:marTop w:val="0"/>
      <w:marBottom w:val="0"/>
      <w:divBdr>
        <w:top w:val="none" w:sz="0" w:space="0" w:color="auto"/>
        <w:left w:val="none" w:sz="0" w:space="0" w:color="auto"/>
        <w:bottom w:val="none" w:sz="0" w:space="0" w:color="auto"/>
        <w:right w:val="none" w:sz="0" w:space="0" w:color="auto"/>
      </w:divBdr>
    </w:div>
    <w:div w:id="146484638">
      <w:bodyDiv w:val="1"/>
      <w:marLeft w:val="0"/>
      <w:marRight w:val="0"/>
      <w:marTop w:val="0"/>
      <w:marBottom w:val="0"/>
      <w:divBdr>
        <w:top w:val="none" w:sz="0" w:space="0" w:color="auto"/>
        <w:left w:val="none" w:sz="0" w:space="0" w:color="auto"/>
        <w:bottom w:val="none" w:sz="0" w:space="0" w:color="auto"/>
        <w:right w:val="none" w:sz="0" w:space="0" w:color="auto"/>
      </w:divBdr>
    </w:div>
    <w:div w:id="146632747">
      <w:bodyDiv w:val="1"/>
      <w:marLeft w:val="0"/>
      <w:marRight w:val="0"/>
      <w:marTop w:val="0"/>
      <w:marBottom w:val="0"/>
      <w:divBdr>
        <w:top w:val="none" w:sz="0" w:space="0" w:color="auto"/>
        <w:left w:val="none" w:sz="0" w:space="0" w:color="auto"/>
        <w:bottom w:val="none" w:sz="0" w:space="0" w:color="auto"/>
        <w:right w:val="none" w:sz="0" w:space="0" w:color="auto"/>
      </w:divBdr>
    </w:div>
    <w:div w:id="155614075">
      <w:bodyDiv w:val="1"/>
      <w:marLeft w:val="0"/>
      <w:marRight w:val="0"/>
      <w:marTop w:val="0"/>
      <w:marBottom w:val="0"/>
      <w:divBdr>
        <w:top w:val="none" w:sz="0" w:space="0" w:color="auto"/>
        <w:left w:val="none" w:sz="0" w:space="0" w:color="auto"/>
        <w:bottom w:val="none" w:sz="0" w:space="0" w:color="auto"/>
        <w:right w:val="none" w:sz="0" w:space="0" w:color="auto"/>
      </w:divBdr>
    </w:div>
    <w:div w:id="163906373">
      <w:bodyDiv w:val="1"/>
      <w:marLeft w:val="0"/>
      <w:marRight w:val="0"/>
      <w:marTop w:val="0"/>
      <w:marBottom w:val="0"/>
      <w:divBdr>
        <w:top w:val="none" w:sz="0" w:space="0" w:color="auto"/>
        <w:left w:val="none" w:sz="0" w:space="0" w:color="auto"/>
        <w:bottom w:val="none" w:sz="0" w:space="0" w:color="auto"/>
        <w:right w:val="none" w:sz="0" w:space="0" w:color="auto"/>
      </w:divBdr>
    </w:div>
    <w:div w:id="170878615">
      <w:bodyDiv w:val="1"/>
      <w:marLeft w:val="0"/>
      <w:marRight w:val="0"/>
      <w:marTop w:val="0"/>
      <w:marBottom w:val="0"/>
      <w:divBdr>
        <w:top w:val="none" w:sz="0" w:space="0" w:color="auto"/>
        <w:left w:val="none" w:sz="0" w:space="0" w:color="auto"/>
        <w:bottom w:val="none" w:sz="0" w:space="0" w:color="auto"/>
        <w:right w:val="none" w:sz="0" w:space="0" w:color="auto"/>
      </w:divBdr>
    </w:div>
    <w:div w:id="193083594">
      <w:bodyDiv w:val="1"/>
      <w:marLeft w:val="0"/>
      <w:marRight w:val="0"/>
      <w:marTop w:val="0"/>
      <w:marBottom w:val="0"/>
      <w:divBdr>
        <w:top w:val="none" w:sz="0" w:space="0" w:color="auto"/>
        <w:left w:val="none" w:sz="0" w:space="0" w:color="auto"/>
        <w:bottom w:val="none" w:sz="0" w:space="0" w:color="auto"/>
        <w:right w:val="none" w:sz="0" w:space="0" w:color="auto"/>
      </w:divBdr>
    </w:div>
    <w:div w:id="197934866">
      <w:bodyDiv w:val="1"/>
      <w:marLeft w:val="0"/>
      <w:marRight w:val="0"/>
      <w:marTop w:val="0"/>
      <w:marBottom w:val="0"/>
      <w:divBdr>
        <w:top w:val="none" w:sz="0" w:space="0" w:color="auto"/>
        <w:left w:val="none" w:sz="0" w:space="0" w:color="auto"/>
        <w:bottom w:val="none" w:sz="0" w:space="0" w:color="auto"/>
        <w:right w:val="none" w:sz="0" w:space="0" w:color="auto"/>
      </w:divBdr>
    </w:div>
    <w:div w:id="225650582">
      <w:bodyDiv w:val="1"/>
      <w:marLeft w:val="0"/>
      <w:marRight w:val="0"/>
      <w:marTop w:val="0"/>
      <w:marBottom w:val="0"/>
      <w:divBdr>
        <w:top w:val="none" w:sz="0" w:space="0" w:color="auto"/>
        <w:left w:val="none" w:sz="0" w:space="0" w:color="auto"/>
        <w:bottom w:val="none" w:sz="0" w:space="0" w:color="auto"/>
        <w:right w:val="none" w:sz="0" w:space="0" w:color="auto"/>
      </w:divBdr>
    </w:div>
    <w:div w:id="234819578">
      <w:bodyDiv w:val="1"/>
      <w:marLeft w:val="0"/>
      <w:marRight w:val="0"/>
      <w:marTop w:val="0"/>
      <w:marBottom w:val="0"/>
      <w:divBdr>
        <w:top w:val="none" w:sz="0" w:space="0" w:color="auto"/>
        <w:left w:val="none" w:sz="0" w:space="0" w:color="auto"/>
        <w:bottom w:val="none" w:sz="0" w:space="0" w:color="auto"/>
        <w:right w:val="none" w:sz="0" w:space="0" w:color="auto"/>
      </w:divBdr>
      <w:divsChild>
        <w:div w:id="600921127">
          <w:marLeft w:val="0"/>
          <w:marRight w:val="0"/>
          <w:marTop w:val="0"/>
          <w:marBottom w:val="0"/>
          <w:divBdr>
            <w:top w:val="none" w:sz="0" w:space="0" w:color="auto"/>
            <w:left w:val="none" w:sz="0" w:space="0" w:color="auto"/>
            <w:bottom w:val="none" w:sz="0" w:space="0" w:color="auto"/>
            <w:right w:val="none" w:sz="0" w:space="0" w:color="auto"/>
          </w:divBdr>
          <w:divsChild>
            <w:div w:id="1186675620">
              <w:marLeft w:val="0"/>
              <w:marRight w:val="0"/>
              <w:marTop w:val="0"/>
              <w:marBottom w:val="0"/>
              <w:divBdr>
                <w:top w:val="none" w:sz="0" w:space="0" w:color="auto"/>
                <w:left w:val="none" w:sz="0" w:space="0" w:color="auto"/>
                <w:bottom w:val="none" w:sz="0" w:space="0" w:color="auto"/>
                <w:right w:val="none" w:sz="0" w:space="0" w:color="auto"/>
              </w:divBdr>
              <w:divsChild>
                <w:div w:id="56781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75979">
      <w:bodyDiv w:val="1"/>
      <w:marLeft w:val="0"/>
      <w:marRight w:val="0"/>
      <w:marTop w:val="0"/>
      <w:marBottom w:val="0"/>
      <w:divBdr>
        <w:top w:val="none" w:sz="0" w:space="0" w:color="auto"/>
        <w:left w:val="none" w:sz="0" w:space="0" w:color="auto"/>
        <w:bottom w:val="none" w:sz="0" w:space="0" w:color="auto"/>
        <w:right w:val="none" w:sz="0" w:space="0" w:color="auto"/>
      </w:divBdr>
    </w:div>
    <w:div w:id="245460196">
      <w:bodyDiv w:val="1"/>
      <w:marLeft w:val="0"/>
      <w:marRight w:val="0"/>
      <w:marTop w:val="0"/>
      <w:marBottom w:val="0"/>
      <w:divBdr>
        <w:top w:val="none" w:sz="0" w:space="0" w:color="auto"/>
        <w:left w:val="none" w:sz="0" w:space="0" w:color="auto"/>
        <w:bottom w:val="none" w:sz="0" w:space="0" w:color="auto"/>
        <w:right w:val="none" w:sz="0" w:space="0" w:color="auto"/>
      </w:divBdr>
      <w:divsChild>
        <w:div w:id="86200032">
          <w:marLeft w:val="0"/>
          <w:marRight w:val="0"/>
          <w:marTop w:val="0"/>
          <w:marBottom w:val="0"/>
          <w:divBdr>
            <w:top w:val="none" w:sz="0" w:space="0" w:color="auto"/>
            <w:left w:val="none" w:sz="0" w:space="0" w:color="auto"/>
            <w:bottom w:val="none" w:sz="0" w:space="0" w:color="auto"/>
            <w:right w:val="none" w:sz="0" w:space="0" w:color="auto"/>
          </w:divBdr>
          <w:divsChild>
            <w:div w:id="14118463">
              <w:marLeft w:val="0"/>
              <w:marRight w:val="0"/>
              <w:marTop w:val="0"/>
              <w:marBottom w:val="0"/>
              <w:divBdr>
                <w:top w:val="none" w:sz="0" w:space="0" w:color="auto"/>
                <w:left w:val="none" w:sz="0" w:space="0" w:color="auto"/>
                <w:bottom w:val="none" w:sz="0" w:space="0" w:color="auto"/>
                <w:right w:val="none" w:sz="0" w:space="0" w:color="auto"/>
              </w:divBdr>
              <w:divsChild>
                <w:div w:id="1474328415">
                  <w:marLeft w:val="0"/>
                  <w:marRight w:val="0"/>
                  <w:marTop w:val="0"/>
                  <w:marBottom w:val="0"/>
                  <w:divBdr>
                    <w:top w:val="none" w:sz="0" w:space="0" w:color="auto"/>
                    <w:left w:val="none" w:sz="0" w:space="0" w:color="auto"/>
                    <w:bottom w:val="none" w:sz="0" w:space="0" w:color="auto"/>
                    <w:right w:val="none" w:sz="0" w:space="0" w:color="auto"/>
                  </w:divBdr>
                  <w:divsChild>
                    <w:div w:id="1044058058">
                      <w:marLeft w:val="0"/>
                      <w:marRight w:val="0"/>
                      <w:marTop w:val="0"/>
                      <w:marBottom w:val="180"/>
                      <w:divBdr>
                        <w:top w:val="none" w:sz="0" w:space="0" w:color="auto"/>
                        <w:left w:val="none" w:sz="0" w:space="0" w:color="auto"/>
                        <w:bottom w:val="none" w:sz="0" w:space="0" w:color="auto"/>
                        <w:right w:val="none" w:sz="0" w:space="0" w:color="auto"/>
                      </w:divBdr>
                    </w:div>
                  </w:divsChild>
                </w:div>
                <w:div w:id="771434479">
                  <w:marLeft w:val="0"/>
                  <w:marRight w:val="0"/>
                  <w:marTop w:val="0"/>
                  <w:marBottom w:val="120"/>
                  <w:divBdr>
                    <w:top w:val="none" w:sz="0" w:space="0" w:color="auto"/>
                    <w:left w:val="none" w:sz="0" w:space="0" w:color="auto"/>
                    <w:bottom w:val="none" w:sz="0" w:space="0" w:color="auto"/>
                    <w:right w:val="none" w:sz="0" w:space="0" w:color="auto"/>
                  </w:divBdr>
                </w:div>
                <w:div w:id="1722747316">
                  <w:marLeft w:val="0"/>
                  <w:marRight w:val="0"/>
                  <w:marTop w:val="0"/>
                  <w:marBottom w:val="0"/>
                  <w:divBdr>
                    <w:top w:val="none" w:sz="0" w:space="0" w:color="auto"/>
                    <w:left w:val="none" w:sz="0" w:space="0" w:color="auto"/>
                    <w:bottom w:val="none" w:sz="0" w:space="0" w:color="auto"/>
                    <w:right w:val="none" w:sz="0" w:space="0" w:color="auto"/>
                  </w:divBdr>
                  <w:divsChild>
                    <w:div w:id="552159313">
                      <w:marLeft w:val="0"/>
                      <w:marRight w:val="0"/>
                      <w:marTop w:val="0"/>
                      <w:marBottom w:val="0"/>
                      <w:divBdr>
                        <w:top w:val="none" w:sz="0" w:space="0" w:color="auto"/>
                        <w:left w:val="none" w:sz="0" w:space="0" w:color="auto"/>
                        <w:bottom w:val="none" w:sz="0" w:space="0" w:color="auto"/>
                        <w:right w:val="none" w:sz="0" w:space="0" w:color="auto"/>
                      </w:divBdr>
                    </w:div>
                    <w:div w:id="1782453629">
                      <w:marLeft w:val="0"/>
                      <w:marRight w:val="0"/>
                      <w:marTop w:val="0"/>
                      <w:marBottom w:val="0"/>
                      <w:divBdr>
                        <w:top w:val="none" w:sz="0" w:space="0" w:color="auto"/>
                        <w:left w:val="none" w:sz="0" w:space="0" w:color="auto"/>
                        <w:bottom w:val="none" w:sz="0" w:space="0" w:color="auto"/>
                        <w:right w:val="none" w:sz="0" w:space="0" w:color="auto"/>
                      </w:divBdr>
                    </w:div>
                  </w:divsChild>
                </w:div>
                <w:div w:id="12621817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48119321">
      <w:bodyDiv w:val="1"/>
      <w:marLeft w:val="0"/>
      <w:marRight w:val="0"/>
      <w:marTop w:val="0"/>
      <w:marBottom w:val="0"/>
      <w:divBdr>
        <w:top w:val="none" w:sz="0" w:space="0" w:color="auto"/>
        <w:left w:val="none" w:sz="0" w:space="0" w:color="auto"/>
        <w:bottom w:val="none" w:sz="0" w:space="0" w:color="auto"/>
        <w:right w:val="none" w:sz="0" w:space="0" w:color="auto"/>
      </w:divBdr>
    </w:div>
    <w:div w:id="248541475">
      <w:bodyDiv w:val="1"/>
      <w:marLeft w:val="0"/>
      <w:marRight w:val="0"/>
      <w:marTop w:val="0"/>
      <w:marBottom w:val="0"/>
      <w:divBdr>
        <w:top w:val="none" w:sz="0" w:space="0" w:color="auto"/>
        <w:left w:val="none" w:sz="0" w:space="0" w:color="auto"/>
        <w:bottom w:val="none" w:sz="0" w:space="0" w:color="auto"/>
        <w:right w:val="none" w:sz="0" w:space="0" w:color="auto"/>
      </w:divBdr>
    </w:div>
    <w:div w:id="265433302">
      <w:bodyDiv w:val="1"/>
      <w:marLeft w:val="0"/>
      <w:marRight w:val="0"/>
      <w:marTop w:val="0"/>
      <w:marBottom w:val="0"/>
      <w:divBdr>
        <w:top w:val="none" w:sz="0" w:space="0" w:color="auto"/>
        <w:left w:val="none" w:sz="0" w:space="0" w:color="auto"/>
        <w:bottom w:val="none" w:sz="0" w:space="0" w:color="auto"/>
        <w:right w:val="none" w:sz="0" w:space="0" w:color="auto"/>
      </w:divBdr>
    </w:div>
    <w:div w:id="274484852">
      <w:bodyDiv w:val="1"/>
      <w:marLeft w:val="0"/>
      <w:marRight w:val="0"/>
      <w:marTop w:val="0"/>
      <w:marBottom w:val="0"/>
      <w:divBdr>
        <w:top w:val="none" w:sz="0" w:space="0" w:color="auto"/>
        <w:left w:val="none" w:sz="0" w:space="0" w:color="auto"/>
        <w:bottom w:val="none" w:sz="0" w:space="0" w:color="auto"/>
        <w:right w:val="none" w:sz="0" w:space="0" w:color="auto"/>
      </w:divBdr>
      <w:divsChild>
        <w:div w:id="2146045513">
          <w:marLeft w:val="0"/>
          <w:marRight w:val="0"/>
          <w:marTop w:val="0"/>
          <w:marBottom w:val="0"/>
          <w:divBdr>
            <w:top w:val="none" w:sz="0" w:space="0" w:color="auto"/>
            <w:left w:val="none" w:sz="0" w:space="0" w:color="auto"/>
            <w:bottom w:val="none" w:sz="0" w:space="0" w:color="auto"/>
            <w:right w:val="none" w:sz="0" w:space="0" w:color="auto"/>
          </w:divBdr>
          <w:divsChild>
            <w:div w:id="1022895086">
              <w:marLeft w:val="0"/>
              <w:marRight w:val="0"/>
              <w:marTop w:val="0"/>
              <w:marBottom w:val="0"/>
              <w:divBdr>
                <w:top w:val="none" w:sz="0" w:space="0" w:color="auto"/>
                <w:left w:val="none" w:sz="0" w:space="0" w:color="auto"/>
                <w:bottom w:val="none" w:sz="0" w:space="0" w:color="auto"/>
                <w:right w:val="none" w:sz="0" w:space="0" w:color="auto"/>
              </w:divBdr>
              <w:divsChild>
                <w:div w:id="12917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8530">
      <w:bodyDiv w:val="1"/>
      <w:marLeft w:val="0"/>
      <w:marRight w:val="0"/>
      <w:marTop w:val="0"/>
      <w:marBottom w:val="0"/>
      <w:divBdr>
        <w:top w:val="none" w:sz="0" w:space="0" w:color="auto"/>
        <w:left w:val="none" w:sz="0" w:space="0" w:color="auto"/>
        <w:bottom w:val="none" w:sz="0" w:space="0" w:color="auto"/>
        <w:right w:val="none" w:sz="0" w:space="0" w:color="auto"/>
      </w:divBdr>
    </w:div>
    <w:div w:id="282661766">
      <w:bodyDiv w:val="1"/>
      <w:marLeft w:val="0"/>
      <w:marRight w:val="0"/>
      <w:marTop w:val="0"/>
      <w:marBottom w:val="0"/>
      <w:divBdr>
        <w:top w:val="none" w:sz="0" w:space="0" w:color="auto"/>
        <w:left w:val="none" w:sz="0" w:space="0" w:color="auto"/>
        <w:bottom w:val="none" w:sz="0" w:space="0" w:color="auto"/>
        <w:right w:val="none" w:sz="0" w:space="0" w:color="auto"/>
      </w:divBdr>
    </w:div>
    <w:div w:id="286742246">
      <w:bodyDiv w:val="1"/>
      <w:marLeft w:val="0"/>
      <w:marRight w:val="0"/>
      <w:marTop w:val="0"/>
      <w:marBottom w:val="0"/>
      <w:divBdr>
        <w:top w:val="none" w:sz="0" w:space="0" w:color="auto"/>
        <w:left w:val="none" w:sz="0" w:space="0" w:color="auto"/>
        <w:bottom w:val="none" w:sz="0" w:space="0" w:color="auto"/>
        <w:right w:val="none" w:sz="0" w:space="0" w:color="auto"/>
      </w:divBdr>
    </w:div>
    <w:div w:id="294146956">
      <w:bodyDiv w:val="1"/>
      <w:marLeft w:val="0"/>
      <w:marRight w:val="0"/>
      <w:marTop w:val="0"/>
      <w:marBottom w:val="0"/>
      <w:divBdr>
        <w:top w:val="none" w:sz="0" w:space="0" w:color="auto"/>
        <w:left w:val="none" w:sz="0" w:space="0" w:color="auto"/>
        <w:bottom w:val="none" w:sz="0" w:space="0" w:color="auto"/>
        <w:right w:val="none" w:sz="0" w:space="0" w:color="auto"/>
      </w:divBdr>
    </w:div>
    <w:div w:id="294216064">
      <w:bodyDiv w:val="1"/>
      <w:marLeft w:val="0"/>
      <w:marRight w:val="0"/>
      <w:marTop w:val="0"/>
      <w:marBottom w:val="0"/>
      <w:divBdr>
        <w:top w:val="none" w:sz="0" w:space="0" w:color="auto"/>
        <w:left w:val="none" w:sz="0" w:space="0" w:color="auto"/>
        <w:bottom w:val="none" w:sz="0" w:space="0" w:color="auto"/>
        <w:right w:val="none" w:sz="0" w:space="0" w:color="auto"/>
      </w:divBdr>
    </w:div>
    <w:div w:id="299578247">
      <w:bodyDiv w:val="1"/>
      <w:marLeft w:val="0"/>
      <w:marRight w:val="0"/>
      <w:marTop w:val="0"/>
      <w:marBottom w:val="0"/>
      <w:divBdr>
        <w:top w:val="none" w:sz="0" w:space="0" w:color="auto"/>
        <w:left w:val="none" w:sz="0" w:space="0" w:color="auto"/>
        <w:bottom w:val="none" w:sz="0" w:space="0" w:color="auto"/>
        <w:right w:val="none" w:sz="0" w:space="0" w:color="auto"/>
      </w:divBdr>
    </w:div>
    <w:div w:id="308944806">
      <w:bodyDiv w:val="1"/>
      <w:marLeft w:val="0"/>
      <w:marRight w:val="0"/>
      <w:marTop w:val="0"/>
      <w:marBottom w:val="0"/>
      <w:divBdr>
        <w:top w:val="none" w:sz="0" w:space="0" w:color="auto"/>
        <w:left w:val="none" w:sz="0" w:space="0" w:color="auto"/>
        <w:bottom w:val="none" w:sz="0" w:space="0" w:color="auto"/>
        <w:right w:val="none" w:sz="0" w:space="0" w:color="auto"/>
      </w:divBdr>
      <w:divsChild>
        <w:div w:id="614560503">
          <w:marLeft w:val="0"/>
          <w:marRight w:val="0"/>
          <w:marTop w:val="0"/>
          <w:marBottom w:val="0"/>
          <w:divBdr>
            <w:top w:val="none" w:sz="0" w:space="0" w:color="auto"/>
            <w:left w:val="none" w:sz="0" w:space="0" w:color="auto"/>
            <w:bottom w:val="none" w:sz="0" w:space="0" w:color="auto"/>
            <w:right w:val="none" w:sz="0" w:space="0" w:color="auto"/>
          </w:divBdr>
          <w:divsChild>
            <w:div w:id="1982492684">
              <w:marLeft w:val="0"/>
              <w:marRight w:val="0"/>
              <w:marTop w:val="0"/>
              <w:marBottom w:val="0"/>
              <w:divBdr>
                <w:top w:val="none" w:sz="0" w:space="0" w:color="auto"/>
                <w:left w:val="none" w:sz="0" w:space="0" w:color="auto"/>
                <w:bottom w:val="none" w:sz="0" w:space="0" w:color="auto"/>
                <w:right w:val="none" w:sz="0" w:space="0" w:color="auto"/>
              </w:divBdr>
              <w:divsChild>
                <w:div w:id="172440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27953">
      <w:bodyDiv w:val="1"/>
      <w:marLeft w:val="0"/>
      <w:marRight w:val="0"/>
      <w:marTop w:val="0"/>
      <w:marBottom w:val="0"/>
      <w:divBdr>
        <w:top w:val="none" w:sz="0" w:space="0" w:color="auto"/>
        <w:left w:val="none" w:sz="0" w:space="0" w:color="auto"/>
        <w:bottom w:val="none" w:sz="0" w:space="0" w:color="auto"/>
        <w:right w:val="none" w:sz="0" w:space="0" w:color="auto"/>
      </w:divBdr>
    </w:div>
    <w:div w:id="329870690">
      <w:bodyDiv w:val="1"/>
      <w:marLeft w:val="0"/>
      <w:marRight w:val="0"/>
      <w:marTop w:val="0"/>
      <w:marBottom w:val="0"/>
      <w:divBdr>
        <w:top w:val="none" w:sz="0" w:space="0" w:color="auto"/>
        <w:left w:val="none" w:sz="0" w:space="0" w:color="auto"/>
        <w:bottom w:val="none" w:sz="0" w:space="0" w:color="auto"/>
        <w:right w:val="none" w:sz="0" w:space="0" w:color="auto"/>
      </w:divBdr>
    </w:div>
    <w:div w:id="342753918">
      <w:bodyDiv w:val="1"/>
      <w:marLeft w:val="0"/>
      <w:marRight w:val="0"/>
      <w:marTop w:val="0"/>
      <w:marBottom w:val="0"/>
      <w:divBdr>
        <w:top w:val="none" w:sz="0" w:space="0" w:color="auto"/>
        <w:left w:val="none" w:sz="0" w:space="0" w:color="auto"/>
        <w:bottom w:val="none" w:sz="0" w:space="0" w:color="auto"/>
        <w:right w:val="none" w:sz="0" w:space="0" w:color="auto"/>
      </w:divBdr>
    </w:div>
    <w:div w:id="358043182">
      <w:bodyDiv w:val="1"/>
      <w:marLeft w:val="0"/>
      <w:marRight w:val="0"/>
      <w:marTop w:val="0"/>
      <w:marBottom w:val="0"/>
      <w:divBdr>
        <w:top w:val="none" w:sz="0" w:space="0" w:color="auto"/>
        <w:left w:val="none" w:sz="0" w:space="0" w:color="auto"/>
        <w:bottom w:val="none" w:sz="0" w:space="0" w:color="auto"/>
        <w:right w:val="none" w:sz="0" w:space="0" w:color="auto"/>
      </w:divBdr>
    </w:div>
    <w:div w:id="359211231">
      <w:bodyDiv w:val="1"/>
      <w:marLeft w:val="0"/>
      <w:marRight w:val="0"/>
      <w:marTop w:val="0"/>
      <w:marBottom w:val="0"/>
      <w:divBdr>
        <w:top w:val="none" w:sz="0" w:space="0" w:color="auto"/>
        <w:left w:val="none" w:sz="0" w:space="0" w:color="auto"/>
        <w:bottom w:val="none" w:sz="0" w:space="0" w:color="auto"/>
        <w:right w:val="none" w:sz="0" w:space="0" w:color="auto"/>
      </w:divBdr>
    </w:div>
    <w:div w:id="384373747">
      <w:bodyDiv w:val="1"/>
      <w:marLeft w:val="0"/>
      <w:marRight w:val="0"/>
      <w:marTop w:val="0"/>
      <w:marBottom w:val="0"/>
      <w:divBdr>
        <w:top w:val="none" w:sz="0" w:space="0" w:color="auto"/>
        <w:left w:val="none" w:sz="0" w:space="0" w:color="auto"/>
        <w:bottom w:val="none" w:sz="0" w:space="0" w:color="auto"/>
        <w:right w:val="none" w:sz="0" w:space="0" w:color="auto"/>
      </w:divBdr>
    </w:div>
    <w:div w:id="399865661">
      <w:bodyDiv w:val="1"/>
      <w:marLeft w:val="0"/>
      <w:marRight w:val="0"/>
      <w:marTop w:val="0"/>
      <w:marBottom w:val="0"/>
      <w:divBdr>
        <w:top w:val="none" w:sz="0" w:space="0" w:color="auto"/>
        <w:left w:val="none" w:sz="0" w:space="0" w:color="auto"/>
        <w:bottom w:val="none" w:sz="0" w:space="0" w:color="auto"/>
        <w:right w:val="none" w:sz="0" w:space="0" w:color="auto"/>
      </w:divBdr>
    </w:div>
    <w:div w:id="401947660">
      <w:bodyDiv w:val="1"/>
      <w:marLeft w:val="0"/>
      <w:marRight w:val="0"/>
      <w:marTop w:val="0"/>
      <w:marBottom w:val="0"/>
      <w:divBdr>
        <w:top w:val="none" w:sz="0" w:space="0" w:color="auto"/>
        <w:left w:val="none" w:sz="0" w:space="0" w:color="auto"/>
        <w:bottom w:val="none" w:sz="0" w:space="0" w:color="auto"/>
        <w:right w:val="none" w:sz="0" w:space="0" w:color="auto"/>
      </w:divBdr>
    </w:div>
    <w:div w:id="413088306">
      <w:bodyDiv w:val="1"/>
      <w:marLeft w:val="0"/>
      <w:marRight w:val="0"/>
      <w:marTop w:val="0"/>
      <w:marBottom w:val="0"/>
      <w:divBdr>
        <w:top w:val="none" w:sz="0" w:space="0" w:color="auto"/>
        <w:left w:val="none" w:sz="0" w:space="0" w:color="auto"/>
        <w:bottom w:val="none" w:sz="0" w:space="0" w:color="auto"/>
        <w:right w:val="none" w:sz="0" w:space="0" w:color="auto"/>
      </w:divBdr>
    </w:div>
    <w:div w:id="413405954">
      <w:bodyDiv w:val="1"/>
      <w:marLeft w:val="0"/>
      <w:marRight w:val="0"/>
      <w:marTop w:val="0"/>
      <w:marBottom w:val="0"/>
      <w:divBdr>
        <w:top w:val="none" w:sz="0" w:space="0" w:color="auto"/>
        <w:left w:val="none" w:sz="0" w:space="0" w:color="auto"/>
        <w:bottom w:val="none" w:sz="0" w:space="0" w:color="auto"/>
        <w:right w:val="none" w:sz="0" w:space="0" w:color="auto"/>
      </w:divBdr>
    </w:div>
    <w:div w:id="417334744">
      <w:bodyDiv w:val="1"/>
      <w:marLeft w:val="0"/>
      <w:marRight w:val="0"/>
      <w:marTop w:val="0"/>
      <w:marBottom w:val="0"/>
      <w:divBdr>
        <w:top w:val="none" w:sz="0" w:space="0" w:color="auto"/>
        <w:left w:val="none" w:sz="0" w:space="0" w:color="auto"/>
        <w:bottom w:val="none" w:sz="0" w:space="0" w:color="auto"/>
        <w:right w:val="none" w:sz="0" w:space="0" w:color="auto"/>
      </w:divBdr>
    </w:div>
    <w:div w:id="422914444">
      <w:bodyDiv w:val="1"/>
      <w:marLeft w:val="0"/>
      <w:marRight w:val="0"/>
      <w:marTop w:val="0"/>
      <w:marBottom w:val="0"/>
      <w:divBdr>
        <w:top w:val="none" w:sz="0" w:space="0" w:color="auto"/>
        <w:left w:val="none" w:sz="0" w:space="0" w:color="auto"/>
        <w:bottom w:val="none" w:sz="0" w:space="0" w:color="auto"/>
        <w:right w:val="none" w:sz="0" w:space="0" w:color="auto"/>
      </w:divBdr>
    </w:div>
    <w:div w:id="430518385">
      <w:bodyDiv w:val="1"/>
      <w:marLeft w:val="0"/>
      <w:marRight w:val="0"/>
      <w:marTop w:val="0"/>
      <w:marBottom w:val="0"/>
      <w:divBdr>
        <w:top w:val="none" w:sz="0" w:space="0" w:color="auto"/>
        <w:left w:val="none" w:sz="0" w:space="0" w:color="auto"/>
        <w:bottom w:val="none" w:sz="0" w:space="0" w:color="auto"/>
        <w:right w:val="none" w:sz="0" w:space="0" w:color="auto"/>
      </w:divBdr>
      <w:divsChild>
        <w:div w:id="603267098">
          <w:marLeft w:val="0"/>
          <w:marRight w:val="0"/>
          <w:marTop w:val="0"/>
          <w:marBottom w:val="0"/>
          <w:divBdr>
            <w:top w:val="none" w:sz="0" w:space="0" w:color="auto"/>
            <w:left w:val="none" w:sz="0" w:space="0" w:color="auto"/>
            <w:bottom w:val="none" w:sz="0" w:space="0" w:color="auto"/>
            <w:right w:val="none" w:sz="0" w:space="0" w:color="auto"/>
          </w:divBdr>
          <w:divsChild>
            <w:div w:id="1145587177">
              <w:marLeft w:val="0"/>
              <w:marRight w:val="0"/>
              <w:marTop w:val="0"/>
              <w:marBottom w:val="0"/>
              <w:divBdr>
                <w:top w:val="none" w:sz="0" w:space="0" w:color="auto"/>
                <w:left w:val="none" w:sz="0" w:space="0" w:color="auto"/>
                <w:bottom w:val="none" w:sz="0" w:space="0" w:color="auto"/>
                <w:right w:val="none" w:sz="0" w:space="0" w:color="auto"/>
              </w:divBdr>
              <w:divsChild>
                <w:div w:id="17793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91161">
      <w:bodyDiv w:val="1"/>
      <w:marLeft w:val="0"/>
      <w:marRight w:val="0"/>
      <w:marTop w:val="0"/>
      <w:marBottom w:val="0"/>
      <w:divBdr>
        <w:top w:val="none" w:sz="0" w:space="0" w:color="auto"/>
        <w:left w:val="none" w:sz="0" w:space="0" w:color="auto"/>
        <w:bottom w:val="none" w:sz="0" w:space="0" w:color="auto"/>
        <w:right w:val="none" w:sz="0" w:space="0" w:color="auto"/>
      </w:divBdr>
    </w:div>
    <w:div w:id="448017323">
      <w:bodyDiv w:val="1"/>
      <w:marLeft w:val="0"/>
      <w:marRight w:val="0"/>
      <w:marTop w:val="0"/>
      <w:marBottom w:val="0"/>
      <w:divBdr>
        <w:top w:val="none" w:sz="0" w:space="0" w:color="auto"/>
        <w:left w:val="none" w:sz="0" w:space="0" w:color="auto"/>
        <w:bottom w:val="none" w:sz="0" w:space="0" w:color="auto"/>
        <w:right w:val="none" w:sz="0" w:space="0" w:color="auto"/>
      </w:divBdr>
    </w:div>
    <w:div w:id="450393586">
      <w:bodyDiv w:val="1"/>
      <w:marLeft w:val="0"/>
      <w:marRight w:val="0"/>
      <w:marTop w:val="0"/>
      <w:marBottom w:val="0"/>
      <w:divBdr>
        <w:top w:val="none" w:sz="0" w:space="0" w:color="auto"/>
        <w:left w:val="none" w:sz="0" w:space="0" w:color="auto"/>
        <w:bottom w:val="none" w:sz="0" w:space="0" w:color="auto"/>
        <w:right w:val="none" w:sz="0" w:space="0" w:color="auto"/>
      </w:divBdr>
    </w:div>
    <w:div w:id="484201269">
      <w:bodyDiv w:val="1"/>
      <w:marLeft w:val="0"/>
      <w:marRight w:val="0"/>
      <w:marTop w:val="0"/>
      <w:marBottom w:val="0"/>
      <w:divBdr>
        <w:top w:val="none" w:sz="0" w:space="0" w:color="auto"/>
        <w:left w:val="none" w:sz="0" w:space="0" w:color="auto"/>
        <w:bottom w:val="none" w:sz="0" w:space="0" w:color="auto"/>
        <w:right w:val="none" w:sz="0" w:space="0" w:color="auto"/>
      </w:divBdr>
    </w:div>
    <w:div w:id="512690622">
      <w:bodyDiv w:val="1"/>
      <w:marLeft w:val="0"/>
      <w:marRight w:val="0"/>
      <w:marTop w:val="0"/>
      <w:marBottom w:val="0"/>
      <w:divBdr>
        <w:top w:val="none" w:sz="0" w:space="0" w:color="auto"/>
        <w:left w:val="none" w:sz="0" w:space="0" w:color="auto"/>
        <w:bottom w:val="none" w:sz="0" w:space="0" w:color="auto"/>
        <w:right w:val="none" w:sz="0" w:space="0" w:color="auto"/>
      </w:divBdr>
    </w:div>
    <w:div w:id="513493791">
      <w:bodyDiv w:val="1"/>
      <w:marLeft w:val="0"/>
      <w:marRight w:val="0"/>
      <w:marTop w:val="0"/>
      <w:marBottom w:val="0"/>
      <w:divBdr>
        <w:top w:val="none" w:sz="0" w:space="0" w:color="auto"/>
        <w:left w:val="none" w:sz="0" w:space="0" w:color="auto"/>
        <w:bottom w:val="none" w:sz="0" w:space="0" w:color="auto"/>
        <w:right w:val="none" w:sz="0" w:space="0" w:color="auto"/>
      </w:divBdr>
    </w:div>
    <w:div w:id="515316079">
      <w:bodyDiv w:val="1"/>
      <w:marLeft w:val="0"/>
      <w:marRight w:val="0"/>
      <w:marTop w:val="0"/>
      <w:marBottom w:val="0"/>
      <w:divBdr>
        <w:top w:val="none" w:sz="0" w:space="0" w:color="auto"/>
        <w:left w:val="none" w:sz="0" w:space="0" w:color="auto"/>
        <w:bottom w:val="none" w:sz="0" w:space="0" w:color="auto"/>
        <w:right w:val="none" w:sz="0" w:space="0" w:color="auto"/>
      </w:divBdr>
      <w:divsChild>
        <w:div w:id="173888712">
          <w:marLeft w:val="0"/>
          <w:marRight w:val="0"/>
          <w:marTop w:val="0"/>
          <w:marBottom w:val="0"/>
          <w:divBdr>
            <w:top w:val="none" w:sz="0" w:space="0" w:color="auto"/>
            <w:left w:val="none" w:sz="0" w:space="0" w:color="auto"/>
            <w:bottom w:val="none" w:sz="0" w:space="0" w:color="auto"/>
            <w:right w:val="none" w:sz="0" w:space="0" w:color="auto"/>
          </w:divBdr>
          <w:divsChild>
            <w:div w:id="1678578746">
              <w:marLeft w:val="0"/>
              <w:marRight w:val="0"/>
              <w:marTop w:val="0"/>
              <w:marBottom w:val="0"/>
              <w:divBdr>
                <w:top w:val="none" w:sz="0" w:space="0" w:color="auto"/>
                <w:left w:val="none" w:sz="0" w:space="0" w:color="auto"/>
                <w:bottom w:val="none" w:sz="0" w:space="0" w:color="auto"/>
                <w:right w:val="none" w:sz="0" w:space="0" w:color="auto"/>
              </w:divBdr>
              <w:divsChild>
                <w:div w:id="8567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46714">
      <w:bodyDiv w:val="1"/>
      <w:marLeft w:val="0"/>
      <w:marRight w:val="0"/>
      <w:marTop w:val="0"/>
      <w:marBottom w:val="0"/>
      <w:divBdr>
        <w:top w:val="none" w:sz="0" w:space="0" w:color="auto"/>
        <w:left w:val="none" w:sz="0" w:space="0" w:color="auto"/>
        <w:bottom w:val="none" w:sz="0" w:space="0" w:color="auto"/>
        <w:right w:val="none" w:sz="0" w:space="0" w:color="auto"/>
      </w:divBdr>
    </w:div>
    <w:div w:id="534654089">
      <w:bodyDiv w:val="1"/>
      <w:marLeft w:val="0"/>
      <w:marRight w:val="0"/>
      <w:marTop w:val="0"/>
      <w:marBottom w:val="0"/>
      <w:divBdr>
        <w:top w:val="none" w:sz="0" w:space="0" w:color="auto"/>
        <w:left w:val="none" w:sz="0" w:space="0" w:color="auto"/>
        <w:bottom w:val="none" w:sz="0" w:space="0" w:color="auto"/>
        <w:right w:val="none" w:sz="0" w:space="0" w:color="auto"/>
      </w:divBdr>
    </w:div>
    <w:div w:id="535851931">
      <w:bodyDiv w:val="1"/>
      <w:marLeft w:val="0"/>
      <w:marRight w:val="0"/>
      <w:marTop w:val="0"/>
      <w:marBottom w:val="0"/>
      <w:divBdr>
        <w:top w:val="none" w:sz="0" w:space="0" w:color="auto"/>
        <w:left w:val="none" w:sz="0" w:space="0" w:color="auto"/>
        <w:bottom w:val="none" w:sz="0" w:space="0" w:color="auto"/>
        <w:right w:val="none" w:sz="0" w:space="0" w:color="auto"/>
      </w:divBdr>
    </w:div>
    <w:div w:id="550726812">
      <w:bodyDiv w:val="1"/>
      <w:marLeft w:val="0"/>
      <w:marRight w:val="0"/>
      <w:marTop w:val="0"/>
      <w:marBottom w:val="0"/>
      <w:divBdr>
        <w:top w:val="none" w:sz="0" w:space="0" w:color="auto"/>
        <w:left w:val="none" w:sz="0" w:space="0" w:color="auto"/>
        <w:bottom w:val="none" w:sz="0" w:space="0" w:color="auto"/>
        <w:right w:val="none" w:sz="0" w:space="0" w:color="auto"/>
      </w:divBdr>
    </w:div>
    <w:div w:id="554779734">
      <w:bodyDiv w:val="1"/>
      <w:marLeft w:val="0"/>
      <w:marRight w:val="0"/>
      <w:marTop w:val="0"/>
      <w:marBottom w:val="0"/>
      <w:divBdr>
        <w:top w:val="none" w:sz="0" w:space="0" w:color="auto"/>
        <w:left w:val="none" w:sz="0" w:space="0" w:color="auto"/>
        <w:bottom w:val="none" w:sz="0" w:space="0" w:color="auto"/>
        <w:right w:val="none" w:sz="0" w:space="0" w:color="auto"/>
      </w:divBdr>
    </w:div>
    <w:div w:id="557473064">
      <w:bodyDiv w:val="1"/>
      <w:marLeft w:val="0"/>
      <w:marRight w:val="0"/>
      <w:marTop w:val="0"/>
      <w:marBottom w:val="0"/>
      <w:divBdr>
        <w:top w:val="none" w:sz="0" w:space="0" w:color="auto"/>
        <w:left w:val="none" w:sz="0" w:space="0" w:color="auto"/>
        <w:bottom w:val="none" w:sz="0" w:space="0" w:color="auto"/>
        <w:right w:val="none" w:sz="0" w:space="0" w:color="auto"/>
      </w:divBdr>
    </w:div>
    <w:div w:id="562982746">
      <w:bodyDiv w:val="1"/>
      <w:marLeft w:val="0"/>
      <w:marRight w:val="0"/>
      <w:marTop w:val="0"/>
      <w:marBottom w:val="0"/>
      <w:divBdr>
        <w:top w:val="none" w:sz="0" w:space="0" w:color="auto"/>
        <w:left w:val="none" w:sz="0" w:space="0" w:color="auto"/>
        <w:bottom w:val="none" w:sz="0" w:space="0" w:color="auto"/>
        <w:right w:val="none" w:sz="0" w:space="0" w:color="auto"/>
      </w:divBdr>
    </w:div>
    <w:div w:id="564294937">
      <w:bodyDiv w:val="1"/>
      <w:marLeft w:val="0"/>
      <w:marRight w:val="0"/>
      <w:marTop w:val="0"/>
      <w:marBottom w:val="0"/>
      <w:divBdr>
        <w:top w:val="none" w:sz="0" w:space="0" w:color="auto"/>
        <w:left w:val="none" w:sz="0" w:space="0" w:color="auto"/>
        <w:bottom w:val="none" w:sz="0" w:space="0" w:color="auto"/>
        <w:right w:val="none" w:sz="0" w:space="0" w:color="auto"/>
      </w:divBdr>
    </w:div>
    <w:div w:id="567307252">
      <w:bodyDiv w:val="1"/>
      <w:marLeft w:val="0"/>
      <w:marRight w:val="0"/>
      <w:marTop w:val="0"/>
      <w:marBottom w:val="0"/>
      <w:divBdr>
        <w:top w:val="none" w:sz="0" w:space="0" w:color="auto"/>
        <w:left w:val="none" w:sz="0" w:space="0" w:color="auto"/>
        <w:bottom w:val="none" w:sz="0" w:space="0" w:color="auto"/>
        <w:right w:val="none" w:sz="0" w:space="0" w:color="auto"/>
      </w:divBdr>
    </w:div>
    <w:div w:id="570425733">
      <w:bodyDiv w:val="1"/>
      <w:marLeft w:val="0"/>
      <w:marRight w:val="0"/>
      <w:marTop w:val="0"/>
      <w:marBottom w:val="0"/>
      <w:divBdr>
        <w:top w:val="none" w:sz="0" w:space="0" w:color="auto"/>
        <w:left w:val="none" w:sz="0" w:space="0" w:color="auto"/>
        <w:bottom w:val="none" w:sz="0" w:space="0" w:color="auto"/>
        <w:right w:val="none" w:sz="0" w:space="0" w:color="auto"/>
      </w:divBdr>
    </w:div>
    <w:div w:id="580025906">
      <w:bodyDiv w:val="1"/>
      <w:marLeft w:val="0"/>
      <w:marRight w:val="0"/>
      <w:marTop w:val="0"/>
      <w:marBottom w:val="0"/>
      <w:divBdr>
        <w:top w:val="none" w:sz="0" w:space="0" w:color="auto"/>
        <w:left w:val="none" w:sz="0" w:space="0" w:color="auto"/>
        <w:bottom w:val="none" w:sz="0" w:space="0" w:color="auto"/>
        <w:right w:val="none" w:sz="0" w:space="0" w:color="auto"/>
      </w:divBdr>
    </w:div>
    <w:div w:id="587081186">
      <w:bodyDiv w:val="1"/>
      <w:marLeft w:val="0"/>
      <w:marRight w:val="0"/>
      <w:marTop w:val="0"/>
      <w:marBottom w:val="0"/>
      <w:divBdr>
        <w:top w:val="none" w:sz="0" w:space="0" w:color="auto"/>
        <w:left w:val="none" w:sz="0" w:space="0" w:color="auto"/>
        <w:bottom w:val="none" w:sz="0" w:space="0" w:color="auto"/>
        <w:right w:val="none" w:sz="0" w:space="0" w:color="auto"/>
      </w:divBdr>
    </w:div>
    <w:div w:id="593902537">
      <w:bodyDiv w:val="1"/>
      <w:marLeft w:val="0"/>
      <w:marRight w:val="0"/>
      <w:marTop w:val="0"/>
      <w:marBottom w:val="0"/>
      <w:divBdr>
        <w:top w:val="none" w:sz="0" w:space="0" w:color="auto"/>
        <w:left w:val="none" w:sz="0" w:space="0" w:color="auto"/>
        <w:bottom w:val="none" w:sz="0" w:space="0" w:color="auto"/>
        <w:right w:val="none" w:sz="0" w:space="0" w:color="auto"/>
      </w:divBdr>
    </w:div>
    <w:div w:id="602079617">
      <w:bodyDiv w:val="1"/>
      <w:marLeft w:val="0"/>
      <w:marRight w:val="0"/>
      <w:marTop w:val="0"/>
      <w:marBottom w:val="0"/>
      <w:divBdr>
        <w:top w:val="none" w:sz="0" w:space="0" w:color="auto"/>
        <w:left w:val="none" w:sz="0" w:space="0" w:color="auto"/>
        <w:bottom w:val="none" w:sz="0" w:space="0" w:color="auto"/>
        <w:right w:val="none" w:sz="0" w:space="0" w:color="auto"/>
      </w:divBdr>
    </w:div>
    <w:div w:id="610362271">
      <w:bodyDiv w:val="1"/>
      <w:marLeft w:val="0"/>
      <w:marRight w:val="0"/>
      <w:marTop w:val="0"/>
      <w:marBottom w:val="0"/>
      <w:divBdr>
        <w:top w:val="none" w:sz="0" w:space="0" w:color="auto"/>
        <w:left w:val="none" w:sz="0" w:space="0" w:color="auto"/>
        <w:bottom w:val="none" w:sz="0" w:space="0" w:color="auto"/>
        <w:right w:val="none" w:sz="0" w:space="0" w:color="auto"/>
      </w:divBdr>
    </w:div>
    <w:div w:id="614606351">
      <w:bodyDiv w:val="1"/>
      <w:marLeft w:val="0"/>
      <w:marRight w:val="0"/>
      <w:marTop w:val="0"/>
      <w:marBottom w:val="0"/>
      <w:divBdr>
        <w:top w:val="none" w:sz="0" w:space="0" w:color="auto"/>
        <w:left w:val="none" w:sz="0" w:space="0" w:color="auto"/>
        <w:bottom w:val="none" w:sz="0" w:space="0" w:color="auto"/>
        <w:right w:val="none" w:sz="0" w:space="0" w:color="auto"/>
      </w:divBdr>
    </w:div>
    <w:div w:id="615913694">
      <w:bodyDiv w:val="1"/>
      <w:marLeft w:val="0"/>
      <w:marRight w:val="0"/>
      <w:marTop w:val="0"/>
      <w:marBottom w:val="0"/>
      <w:divBdr>
        <w:top w:val="none" w:sz="0" w:space="0" w:color="auto"/>
        <w:left w:val="none" w:sz="0" w:space="0" w:color="auto"/>
        <w:bottom w:val="none" w:sz="0" w:space="0" w:color="auto"/>
        <w:right w:val="none" w:sz="0" w:space="0" w:color="auto"/>
      </w:divBdr>
    </w:div>
    <w:div w:id="628169927">
      <w:bodyDiv w:val="1"/>
      <w:marLeft w:val="0"/>
      <w:marRight w:val="0"/>
      <w:marTop w:val="0"/>
      <w:marBottom w:val="0"/>
      <w:divBdr>
        <w:top w:val="none" w:sz="0" w:space="0" w:color="auto"/>
        <w:left w:val="none" w:sz="0" w:space="0" w:color="auto"/>
        <w:bottom w:val="none" w:sz="0" w:space="0" w:color="auto"/>
        <w:right w:val="none" w:sz="0" w:space="0" w:color="auto"/>
      </w:divBdr>
    </w:div>
    <w:div w:id="644505406">
      <w:bodyDiv w:val="1"/>
      <w:marLeft w:val="0"/>
      <w:marRight w:val="0"/>
      <w:marTop w:val="0"/>
      <w:marBottom w:val="0"/>
      <w:divBdr>
        <w:top w:val="none" w:sz="0" w:space="0" w:color="auto"/>
        <w:left w:val="none" w:sz="0" w:space="0" w:color="auto"/>
        <w:bottom w:val="none" w:sz="0" w:space="0" w:color="auto"/>
        <w:right w:val="none" w:sz="0" w:space="0" w:color="auto"/>
      </w:divBdr>
    </w:div>
    <w:div w:id="652952323">
      <w:bodyDiv w:val="1"/>
      <w:marLeft w:val="0"/>
      <w:marRight w:val="0"/>
      <w:marTop w:val="0"/>
      <w:marBottom w:val="0"/>
      <w:divBdr>
        <w:top w:val="none" w:sz="0" w:space="0" w:color="auto"/>
        <w:left w:val="none" w:sz="0" w:space="0" w:color="auto"/>
        <w:bottom w:val="none" w:sz="0" w:space="0" w:color="auto"/>
        <w:right w:val="none" w:sz="0" w:space="0" w:color="auto"/>
      </w:divBdr>
    </w:div>
    <w:div w:id="675183664">
      <w:bodyDiv w:val="1"/>
      <w:marLeft w:val="0"/>
      <w:marRight w:val="0"/>
      <w:marTop w:val="0"/>
      <w:marBottom w:val="0"/>
      <w:divBdr>
        <w:top w:val="none" w:sz="0" w:space="0" w:color="auto"/>
        <w:left w:val="none" w:sz="0" w:space="0" w:color="auto"/>
        <w:bottom w:val="none" w:sz="0" w:space="0" w:color="auto"/>
        <w:right w:val="none" w:sz="0" w:space="0" w:color="auto"/>
      </w:divBdr>
    </w:div>
    <w:div w:id="676426342">
      <w:bodyDiv w:val="1"/>
      <w:marLeft w:val="0"/>
      <w:marRight w:val="0"/>
      <w:marTop w:val="0"/>
      <w:marBottom w:val="0"/>
      <w:divBdr>
        <w:top w:val="none" w:sz="0" w:space="0" w:color="auto"/>
        <w:left w:val="none" w:sz="0" w:space="0" w:color="auto"/>
        <w:bottom w:val="none" w:sz="0" w:space="0" w:color="auto"/>
        <w:right w:val="none" w:sz="0" w:space="0" w:color="auto"/>
      </w:divBdr>
    </w:div>
    <w:div w:id="692540662">
      <w:bodyDiv w:val="1"/>
      <w:marLeft w:val="0"/>
      <w:marRight w:val="0"/>
      <w:marTop w:val="0"/>
      <w:marBottom w:val="0"/>
      <w:divBdr>
        <w:top w:val="none" w:sz="0" w:space="0" w:color="auto"/>
        <w:left w:val="none" w:sz="0" w:space="0" w:color="auto"/>
        <w:bottom w:val="none" w:sz="0" w:space="0" w:color="auto"/>
        <w:right w:val="none" w:sz="0" w:space="0" w:color="auto"/>
      </w:divBdr>
    </w:div>
    <w:div w:id="694161141">
      <w:bodyDiv w:val="1"/>
      <w:marLeft w:val="0"/>
      <w:marRight w:val="0"/>
      <w:marTop w:val="0"/>
      <w:marBottom w:val="0"/>
      <w:divBdr>
        <w:top w:val="none" w:sz="0" w:space="0" w:color="auto"/>
        <w:left w:val="none" w:sz="0" w:space="0" w:color="auto"/>
        <w:bottom w:val="none" w:sz="0" w:space="0" w:color="auto"/>
        <w:right w:val="none" w:sz="0" w:space="0" w:color="auto"/>
      </w:divBdr>
      <w:divsChild>
        <w:div w:id="1943953222">
          <w:marLeft w:val="0"/>
          <w:marRight w:val="0"/>
          <w:marTop w:val="0"/>
          <w:marBottom w:val="0"/>
          <w:divBdr>
            <w:top w:val="none" w:sz="0" w:space="0" w:color="auto"/>
            <w:left w:val="none" w:sz="0" w:space="0" w:color="auto"/>
            <w:bottom w:val="none" w:sz="0" w:space="0" w:color="auto"/>
            <w:right w:val="none" w:sz="0" w:space="0" w:color="auto"/>
          </w:divBdr>
          <w:divsChild>
            <w:div w:id="38172640">
              <w:marLeft w:val="0"/>
              <w:marRight w:val="0"/>
              <w:marTop w:val="0"/>
              <w:marBottom w:val="0"/>
              <w:divBdr>
                <w:top w:val="none" w:sz="0" w:space="0" w:color="auto"/>
                <w:left w:val="none" w:sz="0" w:space="0" w:color="auto"/>
                <w:bottom w:val="none" w:sz="0" w:space="0" w:color="auto"/>
                <w:right w:val="none" w:sz="0" w:space="0" w:color="auto"/>
              </w:divBdr>
              <w:divsChild>
                <w:div w:id="175513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8229">
      <w:bodyDiv w:val="1"/>
      <w:marLeft w:val="0"/>
      <w:marRight w:val="0"/>
      <w:marTop w:val="0"/>
      <w:marBottom w:val="0"/>
      <w:divBdr>
        <w:top w:val="none" w:sz="0" w:space="0" w:color="auto"/>
        <w:left w:val="none" w:sz="0" w:space="0" w:color="auto"/>
        <w:bottom w:val="none" w:sz="0" w:space="0" w:color="auto"/>
        <w:right w:val="none" w:sz="0" w:space="0" w:color="auto"/>
      </w:divBdr>
    </w:div>
    <w:div w:id="716971497">
      <w:bodyDiv w:val="1"/>
      <w:marLeft w:val="0"/>
      <w:marRight w:val="0"/>
      <w:marTop w:val="0"/>
      <w:marBottom w:val="0"/>
      <w:divBdr>
        <w:top w:val="none" w:sz="0" w:space="0" w:color="auto"/>
        <w:left w:val="none" w:sz="0" w:space="0" w:color="auto"/>
        <w:bottom w:val="none" w:sz="0" w:space="0" w:color="auto"/>
        <w:right w:val="none" w:sz="0" w:space="0" w:color="auto"/>
      </w:divBdr>
    </w:div>
    <w:div w:id="732704430">
      <w:bodyDiv w:val="1"/>
      <w:marLeft w:val="0"/>
      <w:marRight w:val="0"/>
      <w:marTop w:val="0"/>
      <w:marBottom w:val="0"/>
      <w:divBdr>
        <w:top w:val="none" w:sz="0" w:space="0" w:color="auto"/>
        <w:left w:val="none" w:sz="0" w:space="0" w:color="auto"/>
        <w:bottom w:val="none" w:sz="0" w:space="0" w:color="auto"/>
        <w:right w:val="none" w:sz="0" w:space="0" w:color="auto"/>
      </w:divBdr>
    </w:div>
    <w:div w:id="733940219">
      <w:bodyDiv w:val="1"/>
      <w:marLeft w:val="0"/>
      <w:marRight w:val="0"/>
      <w:marTop w:val="0"/>
      <w:marBottom w:val="0"/>
      <w:divBdr>
        <w:top w:val="none" w:sz="0" w:space="0" w:color="auto"/>
        <w:left w:val="none" w:sz="0" w:space="0" w:color="auto"/>
        <w:bottom w:val="none" w:sz="0" w:space="0" w:color="auto"/>
        <w:right w:val="none" w:sz="0" w:space="0" w:color="auto"/>
      </w:divBdr>
    </w:div>
    <w:div w:id="742725226">
      <w:bodyDiv w:val="1"/>
      <w:marLeft w:val="0"/>
      <w:marRight w:val="0"/>
      <w:marTop w:val="0"/>
      <w:marBottom w:val="0"/>
      <w:divBdr>
        <w:top w:val="none" w:sz="0" w:space="0" w:color="auto"/>
        <w:left w:val="none" w:sz="0" w:space="0" w:color="auto"/>
        <w:bottom w:val="none" w:sz="0" w:space="0" w:color="auto"/>
        <w:right w:val="none" w:sz="0" w:space="0" w:color="auto"/>
      </w:divBdr>
    </w:div>
    <w:div w:id="747843794">
      <w:bodyDiv w:val="1"/>
      <w:marLeft w:val="0"/>
      <w:marRight w:val="0"/>
      <w:marTop w:val="0"/>
      <w:marBottom w:val="0"/>
      <w:divBdr>
        <w:top w:val="none" w:sz="0" w:space="0" w:color="auto"/>
        <w:left w:val="none" w:sz="0" w:space="0" w:color="auto"/>
        <w:bottom w:val="none" w:sz="0" w:space="0" w:color="auto"/>
        <w:right w:val="none" w:sz="0" w:space="0" w:color="auto"/>
      </w:divBdr>
    </w:div>
    <w:div w:id="749161733">
      <w:bodyDiv w:val="1"/>
      <w:marLeft w:val="0"/>
      <w:marRight w:val="0"/>
      <w:marTop w:val="0"/>
      <w:marBottom w:val="0"/>
      <w:divBdr>
        <w:top w:val="none" w:sz="0" w:space="0" w:color="auto"/>
        <w:left w:val="none" w:sz="0" w:space="0" w:color="auto"/>
        <w:bottom w:val="none" w:sz="0" w:space="0" w:color="auto"/>
        <w:right w:val="none" w:sz="0" w:space="0" w:color="auto"/>
      </w:divBdr>
    </w:div>
    <w:div w:id="761605870">
      <w:bodyDiv w:val="1"/>
      <w:marLeft w:val="0"/>
      <w:marRight w:val="0"/>
      <w:marTop w:val="0"/>
      <w:marBottom w:val="0"/>
      <w:divBdr>
        <w:top w:val="none" w:sz="0" w:space="0" w:color="auto"/>
        <w:left w:val="none" w:sz="0" w:space="0" w:color="auto"/>
        <w:bottom w:val="none" w:sz="0" w:space="0" w:color="auto"/>
        <w:right w:val="none" w:sz="0" w:space="0" w:color="auto"/>
      </w:divBdr>
      <w:divsChild>
        <w:div w:id="966593291">
          <w:marLeft w:val="0"/>
          <w:marRight w:val="0"/>
          <w:marTop w:val="0"/>
          <w:marBottom w:val="0"/>
          <w:divBdr>
            <w:top w:val="none" w:sz="0" w:space="0" w:color="auto"/>
            <w:left w:val="none" w:sz="0" w:space="0" w:color="auto"/>
            <w:bottom w:val="none" w:sz="0" w:space="0" w:color="auto"/>
            <w:right w:val="none" w:sz="0" w:space="0" w:color="auto"/>
          </w:divBdr>
          <w:divsChild>
            <w:div w:id="210728429">
              <w:marLeft w:val="0"/>
              <w:marRight w:val="0"/>
              <w:marTop w:val="0"/>
              <w:marBottom w:val="0"/>
              <w:divBdr>
                <w:top w:val="none" w:sz="0" w:space="0" w:color="auto"/>
                <w:left w:val="none" w:sz="0" w:space="0" w:color="auto"/>
                <w:bottom w:val="none" w:sz="0" w:space="0" w:color="auto"/>
                <w:right w:val="none" w:sz="0" w:space="0" w:color="auto"/>
              </w:divBdr>
            </w:div>
          </w:divsChild>
        </w:div>
        <w:div w:id="1737970668">
          <w:marLeft w:val="0"/>
          <w:marRight w:val="0"/>
          <w:marTop w:val="0"/>
          <w:marBottom w:val="0"/>
          <w:divBdr>
            <w:top w:val="none" w:sz="0" w:space="0" w:color="auto"/>
            <w:left w:val="none" w:sz="0" w:space="0" w:color="auto"/>
            <w:bottom w:val="none" w:sz="0" w:space="0" w:color="auto"/>
            <w:right w:val="none" w:sz="0" w:space="0" w:color="auto"/>
          </w:divBdr>
          <w:divsChild>
            <w:div w:id="360861751">
              <w:marLeft w:val="0"/>
              <w:marRight w:val="0"/>
              <w:marTop w:val="0"/>
              <w:marBottom w:val="0"/>
              <w:divBdr>
                <w:top w:val="none" w:sz="0" w:space="0" w:color="auto"/>
                <w:left w:val="none" w:sz="0" w:space="0" w:color="auto"/>
                <w:bottom w:val="none" w:sz="0" w:space="0" w:color="auto"/>
                <w:right w:val="none" w:sz="0" w:space="0" w:color="auto"/>
              </w:divBdr>
              <w:divsChild>
                <w:div w:id="1672366546">
                  <w:marLeft w:val="0"/>
                  <w:marRight w:val="0"/>
                  <w:marTop w:val="0"/>
                  <w:marBottom w:val="0"/>
                  <w:divBdr>
                    <w:top w:val="none" w:sz="0" w:space="0" w:color="auto"/>
                    <w:left w:val="none" w:sz="0" w:space="0" w:color="auto"/>
                    <w:bottom w:val="none" w:sz="0" w:space="0" w:color="auto"/>
                    <w:right w:val="none" w:sz="0" w:space="0" w:color="auto"/>
                  </w:divBdr>
                  <w:divsChild>
                    <w:div w:id="2083214912">
                      <w:marLeft w:val="0"/>
                      <w:marRight w:val="0"/>
                      <w:marTop w:val="0"/>
                      <w:marBottom w:val="0"/>
                      <w:divBdr>
                        <w:top w:val="none" w:sz="0" w:space="0" w:color="auto"/>
                        <w:left w:val="none" w:sz="0" w:space="0" w:color="auto"/>
                        <w:bottom w:val="none" w:sz="0" w:space="0" w:color="auto"/>
                        <w:right w:val="none" w:sz="0" w:space="0" w:color="auto"/>
                      </w:divBdr>
                      <w:divsChild>
                        <w:div w:id="599680224">
                          <w:marLeft w:val="0"/>
                          <w:marRight w:val="0"/>
                          <w:marTop w:val="0"/>
                          <w:marBottom w:val="0"/>
                          <w:divBdr>
                            <w:top w:val="none" w:sz="0" w:space="0" w:color="auto"/>
                            <w:left w:val="none" w:sz="0" w:space="0" w:color="auto"/>
                            <w:bottom w:val="none" w:sz="0" w:space="0" w:color="auto"/>
                            <w:right w:val="none" w:sz="0" w:space="0" w:color="auto"/>
                          </w:divBdr>
                        </w:div>
                      </w:divsChild>
                    </w:div>
                    <w:div w:id="17568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04235">
      <w:bodyDiv w:val="1"/>
      <w:marLeft w:val="0"/>
      <w:marRight w:val="0"/>
      <w:marTop w:val="0"/>
      <w:marBottom w:val="0"/>
      <w:divBdr>
        <w:top w:val="none" w:sz="0" w:space="0" w:color="auto"/>
        <w:left w:val="none" w:sz="0" w:space="0" w:color="auto"/>
        <w:bottom w:val="none" w:sz="0" w:space="0" w:color="auto"/>
        <w:right w:val="none" w:sz="0" w:space="0" w:color="auto"/>
      </w:divBdr>
    </w:div>
    <w:div w:id="774373466">
      <w:bodyDiv w:val="1"/>
      <w:marLeft w:val="0"/>
      <w:marRight w:val="0"/>
      <w:marTop w:val="0"/>
      <w:marBottom w:val="0"/>
      <w:divBdr>
        <w:top w:val="none" w:sz="0" w:space="0" w:color="auto"/>
        <w:left w:val="none" w:sz="0" w:space="0" w:color="auto"/>
        <w:bottom w:val="none" w:sz="0" w:space="0" w:color="auto"/>
        <w:right w:val="none" w:sz="0" w:space="0" w:color="auto"/>
      </w:divBdr>
    </w:div>
    <w:div w:id="775060533">
      <w:bodyDiv w:val="1"/>
      <w:marLeft w:val="0"/>
      <w:marRight w:val="0"/>
      <w:marTop w:val="0"/>
      <w:marBottom w:val="0"/>
      <w:divBdr>
        <w:top w:val="none" w:sz="0" w:space="0" w:color="auto"/>
        <w:left w:val="none" w:sz="0" w:space="0" w:color="auto"/>
        <w:bottom w:val="none" w:sz="0" w:space="0" w:color="auto"/>
        <w:right w:val="none" w:sz="0" w:space="0" w:color="auto"/>
      </w:divBdr>
    </w:div>
    <w:div w:id="784079460">
      <w:bodyDiv w:val="1"/>
      <w:marLeft w:val="0"/>
      <w:marRight w:val="0"/>
      <w:marTop w:val="0"/>
      <w:marBottom w:val="0"/>
      <w:divBdr>
        <w:top w:val="none" w:sz="0" w:space="0" w:color="auto"/>
        <w:left w:val="none" w:sz="0" w:space="0" w:color="auto"/>
        <w:bottom w:val="none" w:sz="0" w:space="0" w:color="auto"/>
        <w:right w:val="none" w:sz="0" w:space="0" w:color="auto"/>
      </w:divBdr>
    </w:div>
    <w:div w:id="792090221">
      <w:bodyDiv w:val="1"/>
      <w:marLeft w:val="0"/>
      <w:marRight w:val="0"/>
      <w:marTop w:val="0"/>
      <w:marBottom w:val="0"/>
      <w:divBdr>
        <w:top w:val="none" w:sz="0" w:space="0" w:color="auto"/>
        <w:left w:val="none" w:sz="0" w:space="0" w:color="auto"/>
        <w:bottom w:val="none" w:sz="0" w:space="0" w:color="auto"/>
        <w:right w:val="none" w:sz="0" w:space="0" w:color="auto"/>
      </w:divBdr>
    </w:div>
    <w:div w:id="793448951">
      <w:bodyDiv w:val="1"/>
      <w:marLeft w:val="0"/>
      <w:marRight w:val="0"/>
      <w:marTop w:val="0"/>
      <w:marBottom w:val="0"/>
      <w:divBdr>
        <w:top w:val="none" w:sz="0" w:space="0" w:color="auto"/>
        <w:left w:val="none" w:sz="0" w:space="0" w:color="auto"/>
        <w:bottom w:val="none" w:sz="0" w:space="0" w:color="auto"/>
        <w:right w:val="none" w:sz="0" w:space="0" w:color="auto"/>
      </w:divBdr>
    </w:div>
    <w:div w:id="796995874">
      <w:bodyDiv w:val="1"/>
      <w:marLeft w:val="0"/>
      <w:marRight w:val="0"/>
      <w:marTop w:val="0"/>
      <w:marBottom w:val="0"/>
      <w:divBdr>
        <w:top w:val="none" w:sz="0" w:space="0" w:color="auto"/>
        <w:left w:val="none" w:sz="0" w:space="0" w:color="auto"/>
        <w:bottom w:val="none" w:sz="0" w:space="0" w:color="auto"/>
        <w:right w:val="none" w:sz="0" w:space="0" w:color="auto"/>
      </w:divBdr>
    </w:div>
    <w:div w:id="797188570">
      <w:bodyDiv w:val="1"/>
      <w:marLeft w:val="0"/>
      <w:marRight w:val="0"/>
      <w:marTop w:val="0"/>
      <w:marBottom w:val="0"/>
      <w:divBdr>
        <w:top w:val="none" w:sz="0" w:space="0" w:color="auto"/>
        <w:left w:val="none" w:sz="0" w:space="0" w:color="auto"/>
        <w:bottom w:val="none" w:sz="0" w:space="0" w:color="auto"/>
        <w:right w:val="none" w:sz="0" w:space="0" w:color="auto"/>
      </w:divBdr>
    </w:div>
    <w:div w:id="799421322">
      <w:bodyDiv w:val="1"/>
      <w:marLeft w:val="0"/>
      <w:marRight w:val="0"/>
      <w:marTop w:val="0"/>
      <w:marBottom w:val="0"/>
      <w:divBdr>
        <w:top w:val="none" w:sz="0" w:space="0" w:color="auto"/>
        <w:left w:val="none" w:sz="0" w:space="0" w:color="auto"/>
        <w:bottom w:val="none" w:sz="0" w:space="0" w:color="auto"/>
        <w:right w:val="none" w:sz="0" w:space="0" w:color="auto"/>
      </w:divBdr>
    </w:div>
    <w:div w:id="806125031">
      <w:bodyDiv w:val="1"/>
      <w:marLeft w:val="0"/>
      <w:marRight w:val="0"/>
      <w:marTop w:val="0"/>
      <w:marBottom w:val="0"/>
      <w:divBdr>
        <w:top w:val="none" w:sz="0" w:space="0" w:color="auto"/>
        <w:left w:val="none" w:sz="0" w:space="0" w:color="auto"/>
        <w:bottom w:val="none" w:sz="0" w:space="0" w:color="auto"/>
        <w:right w:val="none" w:sz="0" w:space="0" w:color="auto"/>
      </w:divBdr>
    </w:div>
    <w:div w:id="807169999">
      <w:bodyDiv w:val="1"/>
      <w:marLeft w:val="0"/>
      <w:marRight w:val="0"/>
      <w:marTop w:val="0"/>
      <w:marBottom w:val="0"/>
      <w:divBdr>
        <w:top w:val="none" w:sz="0" w:space="0" w:color="auto"/>
        <w:left w:val="none" w:sz="0" w:space="0" w:color="auto"/>
        <w:bottom w:val="none" w:sz="0" w:space="0" w:color="auto"/>
        <w:right w:val="none" w:sz="0" w:space="0" w:color="auto"/>
      </w:divBdr>
    </w:div>
    <w:div w:id="812716844">
      <w:bodyDiv w:val="1"/>
      <w:marLeft w:val="0"/>
      <w:marRight w:val="0"/>
      <w:marTop w:val="0"/>
      <w:marBottom w:val="0"/>
      <w:divBdr>
        <w:top w:val="none" w:sz="0" w:space="0" w:color="auto"/>
        <w:left w:val="none" w:sz="0" w:space="0" w:color="auto"/>
        <w:bottom w:val="none" w:sz="0" w:space="0" w:color="auto"/>
        <w:right w:val="none" w:sz="0" w:space="0" w:color="auto"/>
      </w:divBdr>
    </w:div>
    <w:div w:id="816530129">
      <w:bodyDiv w:val="1"/>
      <w:marLeft w:val="0"/>
      <w:marRight w:val="0"/>
      <w:marTop w:val="0"/>
      <w:marBottom w:val="0"/>
      <w:divBdr>
        <w:top w:val="none" w:sz="0" w:space="0" w:color="auto"/>
        <w:left w:val="none" w:sz="0" w:space="0" w:color="auto"/>
        <w:bottom w:val="none" w:sz="0" w:space="0" w:color="auto"/>
        <w:right w:val="none" w:sz="0" w:space="0" w:color="auto"/>
      </w:divBdr>
    </w:div>
    <w:div w:id="831137637">
      <w:bodyDiv w:val="1"/>
      <w:marLeft w:val="0"/>
      <w:marRight w:val="0"/>
      <w:marTop w:val="0"/>
      <w:marBottom w:val="0"/>
      <w:divBdr>
        <w:top w:val="none" w:sz="0" w:space="0" w:color="auto"/>
        <w:left w:val="none" w:sz="0" w:space="0" w:color="auto"/>
        <w:bottom w:val="none" w:sz="0" w:space="0" w:color="auto"/>
        <w:right w:val="none" w:sz="0" w:space="0" w:color="auto"/>
      </w:divBdr>
    </w:div>
    <w:div w:id="838353335">
      <w:bodyDiv w:val="1"/>
      <w:marLeft w:val="0"/>
      <w:marRight w:val="0"/>
      <w:marTop w:val="0"/>
      <w:marBottom w:val="0"/>
      <w:divBdr>
        <w:top w:val="none" w:sz="0" w:space="0" w:color="auto"/>
        <w:left w:val="none" w:sz="0" w:space="0" w:color="auto"/>
        <w:bottom w:val="none" w:sz="0" w:space="0" w:color="auto"/>
        <w:right w:val="none" w:sz="0" w:space="0" w:color="auto"/>
      </w:divBdr>
    </w:div>
    <w:div w:id="849444489">
      <w:bodyDiv w:val="1"/>
      <w:marLeft w:val="0"/>
      <w:marRight w:val="0"/>
      <w:marTop w:val="0"/>
      <w:marBottom w:val="0"/>
      <w:divBdr>
        <w:top w:val="none" w:sz="0" w:space="0" w:color="auto"/>
        <w:left w:val="none" w:sz="0" w:space="0" w:color="auto"/>
        <w:bottom w:val="none" w:sz="0" w:space="0" w:color="auto"/>
        <w:right w:val="none" w:sz="0" w:space="0" w:color="auto"/>
      </w:divBdr>
    </w:div>
    <w:div w:id="849878824">
      <w:bodyDiv w:val="1"/>
      <w:marLeft w:val="0"/>
      <w:marRight w:val="0"/>
      <w:marTop w:val="0"/>
      <w:marBottom w:val="0"/>
      <w:divBdr>
        <w:top w:val="none" w:sz="0" w:space="0" w:color="auto"/>
        <w:left w:val="none" w:sz="0" w:space="0" w:color="auto"/>
        <w:bottom w:val="none" w:sz="0" w:space="0" w:color="auto"/>
        <w:right w:val="none" w:sz="0" w:space="0" w:color="auto"/>
      </w:divBdr>
    </w:div>
    <w:div w:id="857234510">
      <w:bodyDiv w:val="1"/>
      <w:marLeft w:val="0"/>
      <w:marRight w:val="0"/>
      <w:marTop w:val="0"/>
      <w:marBottom w:val="0"/>
      <w:divBdr>
        <w:top w:val="none" w:sz="0" w:space="0" w:color="auto"/>
        <w:left w:val="none" w:sz="0" w:space="0" w:color="auto"/>
        <w:bottom w:val="none" w:sz="0" w:space="0" w:color="auto"/>
        <w:right w:val="none" w:sz="0" w:space="0" w:color="auto"/>
      </w:divBdr>
    </w:div>
    <w:div w:id="870149544">
      <w:bodyDiv w:val="1"/>
      <w:marLeft w:val="0"/>
      <w:marRight w:val="0"/>
      <w:marTop w:val="0"/>
      <w:marBottom w:val="0"/>
      <w:divBdr>
        <w:top w:val="none" w:sz="0" w:space="0" w:color="auto"/>
        <w:left w:val="none" w:sz="0" w:space="0" w:color="auto"/>
        <w:bottom w:val="none" w:sz="0" w:space="0" w:color="auto"/>
        <w:right w:val="none" w:sz="0" w:space="0" w:color="auto"/>
      </w:divBdr>
    </w:div>
    <w:div w:id="870262515">
      <w:bodyDiv w:val="1"/>
      <w:marLeft w:val="0"/>
      <w:marRight w:val="0"/>
      <w:marTop w:val="0"/>
      <w:marBottom w:val="0"/>
      <w:divBdr>
        <w:top w:val="none" w:sz="0" w:space="0" w:color="auto"/>
        <w:left w:val="none" w:sz="0" w:space="0" w:color="auto"/>
        <w:bottom w:val="none" w:sz="0" w:space="0" w:color="auto"/>
        <w:right w:val="none" w:sz="0" w:space="0" w:color="auto"/>
      </w:divBdr>
    </w:div>
    <w:div w:id="876160181">
      <w:bodyDiv w:val="1"/>
      <w:marLeft w:val="0"/>
      <w:marRight w:val="0"/>
      <w:marTop w:val="0"/>
      <w:marBottom w:val="0"/>
      <w:divBdr>
        <w:top w:val="none" w:sz="0" w:space="0" w:color="auto"/>
        <w:left w:val="none" w:sz="0" w:space="0" w:color="auto"/>
        <w:bottom w:val="none" w:sz="0" w:space="0" w:color="auto"/>
        <w:right w:val="none" w:sz="0" w:space="0" w:color="auto"/>
      </w:divBdr>
    </w:div>
    <w:div w:id="884830497">
      <w:bodyDiv w:val="1"/>
      <w:marLeft w:val="0"/>
      <w:marRight w:val="0"/>
      <w:marTop w:val="0"/>
      <w:marBottom w:val="0"/>
      <w:divBdr>
        <w:top w:val="none" w:sz="0" w:space="0" w:color="auto"/>
        <w:left w:val="none" w:sz="0" w:space="0" w:color="auto"/>
        <w:bottom w:val="none" w:sz="0" w:space="0" w:color="auto"/>
        <w:right w:val="none" w:sz="0" w:space="0" w:color="auto"/>
      </w:divBdr>
      <w:divsChild>
        <w:div w:id="519666309">
          <w:marLeft w:val="0"/>
          <w:marRight w:val="0"/>
          <w:marTop w:val="0"/>
          <w:marBottom w:val="180"/>
          <w:divBdr>
            <w:top w:val="none" w:sz="0" w:space="0" w:color="auto"/>
            <w:left w:val="none" w:sz="0" w:space="0" w:color="auto"/>
            <w:bottom w:val="none" w:sz="0" w:space="0" w:color="auto"/>
            <w:right w:val="none" w:sz="0" w:space="0" w:color="auto"/>
          </w:divBdr>
          <w:divsChild>
            <w:div w:id="1402633432">
              <w:marLeft w:val="0"/>
              <w:marRight w:val="0"/>
              <w:marTop w:val="0"/>
              <w:marBottom w:val="0"/>
              <w:divBdr>
                <w:top w:val="none" w:sz="0" w:space="0" w:color="auto"/>
                <w:left w:val="none" w:sz="0" w:space="0" w:color="auto"/>
                <w:bottom w:val="none" w:sz="0" w:space="0" w:color="auto"/>
                <w:right w:val="none" w:sz="0" w:space="0" w:color="auto"/>
              </w:divBdr>
              <w:divsChild>
                <w:div w:id="1230386645">
                  <w:marLeft w:val="0"/>
                  <w:marRight w:val="0"/>
                  <w:marTop w:val="0"/>
                  <w:marBottom w:val="0"/>
                  <w:divBdr>
                    <w:top w:val="none" w:sz="0" w:space="0" w:color="auto"/>
                    <w:left w:val="none" w:sz="0" w:space="0" w:color="auto"/>
                    <w:bottom w:val="none" w:sz="0" w:space="0" w:color="auto"/>
                    <w:right w:val="none" w:sz="0" w:space="0" w:color="auto"/>
                  </w:divBdr>
                  <w:divsChild>
                    <w:div w:id="1771121742">
                      <w:marLeft w:val="0"/>
                      <w:marRight w:val="0"/>
                      <w:marTop w:val="0"/>
                      <w:marBottom w:val="0"/>
                      <w:divBdr>
                        <w:top w:val="none" w:sz="0" w:space="0" w:color="auto"/>
                        <w:left w:val="none" w:sz="0" w:space="0" w:color="auto"/>
                        <w:bottom w:val="none" w:sz="0" w:space="0" w:color="auto"/>
                        <w:right w:val="none" w:sz="0" w:space="0" w:color="auto"/>
                      </w:divBdr>
                      <w:divsChild>
                        <w:div w:id="1948001792">
                          <w:marLeft w:val="0"/>
                          <w:marRight w:val="0"/>
                          <w:marTop w:val="0"/>
                          <w:marBottom w:val="0"/>
                          <w:divBdr>
                            <w:top w:val="none" w:sz="0" w:space="0" w:color="auto"/>
                            <w:left w:val="none" w:sz="0" w:space="0" w:color="auto"/>
                            <w:bottom w:val="none" w:sz="0" w:space="0" w:color="auto"/>
                            <w:right w:val="none" w:sz="0" w:space="0" w:color="auto"/>
                          </w:divBdr>
                          <w:divsChild>
                            <w:div w:id="2095124792">
                              <w:marLeft w:val="0"/>
                              <w:marRight w:val="0"/>
                              <w:marTop w:val="0"/>
                              <w:marBottom w:val="0"/>
                              <w:divBdr>
                                <w:top w:val="none" w:sz="0" w:space="0" w:color="auto"/>
                                <w:left w:val="none" w:sz="0" w:space="0" w:color="auto"/>
                                <w:bottom w:val="none" w:sz="0" w:space="0" w:color="auto"/>
                                <w:right w:val="none" w:sz="0" w:space="0" w:color="auto"/>
                              </w:divBdr>
                            </w:div>
                            <w:div w:id="679241145">
                              <w:marLeft w:val="0"/>
                              <w:marRight w:val="0"/>
                              <w:marTop w:val="0"/>
                              <w:marBottom w:val="0"/>
                              <w:divBdr>
                                <w:top w:val="none" w:sz="0" w:space="0" w:color="auto"/>
                                <w:left w:val="none" w:sz="0" w:space="0" w:color="auto"/>
                                <w:bottom w:val="none" w:sz="0" w:space="0" w:color="auto"/>
                                <w:right w:val="none" w:sz="0" w:space="0" w:color="auto"/>
                              </w:divBdr>
                            </w:div>
                            <w:div w:id="59108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213525">
          <w:marLeft w:val="0"/>
          <w:marRight w:val="0"/>
          <w:marTop w:val="0"/>
          <w:marBottom w:val="180"/>
          <w:divBdr>
            <w:top w:val="none" w:sz="0" w:space="0" w:color="auto"/>
            <w:left w:val="none" w:sz="0" w:space="0" w:color="auto"/>
            <w:bottom w:val="none" w:sz="0" w:space="0" w:color="auto"/>
            <w:right w:val="none" w:sz="0" w:space="0" w:color="auto"/>
          </w:divBdr>
          <w:divsChild>
            <w:div w:id="1287664021">
              <w:marLeft w:val="0"/>
              <w:marRight w:val="0"/>
              <w:marTop w:val="0"/>
              <w:marBottom w:val="0"/>
              <w:divBdr>
                <w:top w:val="none" w:sz="0" w:space="0" w:color="auto"/>
                <w:left w:val="none" w:sz="0" w:space="0" w:color="auto"/>
                <w:bottom w:val="none" w:sz="0" w:space="0" w:color="auto"/>
                <w:right w:val="none" w:sz="0" w:space="0" w:color="auto"/>
              </w:divBdr>
              <w:divsChild>
                <w:div w:id="954798910">
                  <w:marLeft w:val="0"/>
                  <w:marRight w:val="0"/>
                  <w:marTop w:val="0"/>
                  <w:marBottom w:val="0"/>
                  <w:divBdr>
                    <w:top w:val="none" w:sz="0" w:space="0" w:color="auto"/>
                    <w:left w:val="none" w:sz="0" w:space="0" w:color="auto"/>
                    <w:bottom w:val="none" w:sz="0" w:space="0" w:color="auto"/>
                    <w:right w:val="none" w:sz="0" w:space="0" w:color="auto"/>
                  </w:divBdr>
                  <w:divsChild>
                    <w:div w:id="102236642">
                      <w:marLeft w:val="0"/>
                      <w:marRight w:val="0"/>
                      <w:marTop w:val="0"/>
                      <w:marBottom w:val="0"/>
                      <w:divBdr>
                        <w:top w:val="none" w:sz="0" w:space="0" w:color="auto"/>
                        <w:left w:val="none" w:sz="0" w:space="0" w:color="auto"/>
                        <w:bottom w:val="none" w:sz="0" w:space="0" w:color="auto"/>
                        <w:right w:val="none" w:sz="0" w:space="0" w:color="auto"/>
                      </w:divBdr>
                      <w:divsChild>
                        <w:div w:id="743065722">
                          <w:marLeft w:val="0"/>
                          <w:marRight w:val="0"/>
                          <w:marTop w:val="0"/>
                          <w:marBottom w:val="0"/>
                          <w:divBdr>
                            <w:top w:val="none" w:sz="0" w:space="0" w:color="auto"/>
                            <w:left w:val="none" w:sz="0" w:space="0" w:color="auto"/>
                            <w:bottom w:val="none" w:sz="0" w:space="0" w:color="auto"/>
                            <w:right w:val="none" w:sz="0" w:space="0" w:color="auto"/>
                          </w:divBdr>
                          <w:divsChild>
                            <w:div w:id="2132966878">
                              <w:marLeft w:val="0"/>
                              <w:marRight w:val="0"/>
                              <w:marTop w:val="0"/>
                              <w:marBottom w:val="0"/>
                              <w:divBdr>
                                <w:top w:val="none" w:sz="0" w:space="0" w:color="auto"/>
                                <w:left w:val="none" w:sz="0" w:space="0" w:color="auto"/>
                                <w:bottom w:val="none" w:sz="0" w:space="0" w:color="auto"/>
                                <w:right w:val="none" w:sz="0" w:space="0" w:color="auto"/>
                              </w:divBdr>
                            </w:div>
                            <w:div w:id="1540894640">
                              <w:marLeft w:val="0"/>
                              <w:marRight w:val="0"/>
                              <w:marTop w:val="0"/>
                              <w:marBottom w:val="0"/>
                              <w:divBdr>
                                <w:top w:val="none" w:sz="0" w:space="0" w:color="auto"/>
                                <w:left w:val="none" w:sz="0" w:space="0" w:color="auto"/>
                                <w:bottom w:val="none" w:sz="0" w:space="0" w:color="auto"/>
                                <w:right w:val="none" w:sz="0" w:space="0" w:color="auto"/>
                              </w:divBdr>
                            </w:div>
                            <w:div w:id="394204763">
                              <w:marLeft w:val="0"/>
                              <w:marRight w:val="0"/>
                              <w:marTop w:val="0"/>
                              <w:marBottom w:val="0"/>
                              <w:divBdr>
                                <w:top w:val="none" w:sz="0" w:space="0" w:color="auto"/>
                                <w:left w:val="none" w:sz="0" w:space="0" w:color="auto"/>
                                <w:bottom w:val="none" w:sz="0" w:space="0" w:color="auto"/>
                                <w:right w:val="none" w:sz="0" w:space="0" w:color="auto"/>
                              </w:divBdr>
                            </w:div>
                            <w:div w:id="1058623523">
                              <w:marLeft w:val="0"/>
                              <w:marRight w:val="0"/>
                              <w:marTop w:val="0"/>
                              <w:marBottom w:val="0"/>
                              <w:divBdr>
                                <w:top w:val="none" w:sz="0" w:space="0" w:color="auto"/>
                                <w:left w:val="none" w:sz="0" w:space="0" w:color="auto"/>
                                <w:bottom w:val="none" w:sz="0" w:space="0" w:color="auto"/>
                                <w:right w:val="none" w:sz="0" w:space="0" w:color="auto"/>
                              </w:divBdr>
                            </w:div>
                            <w:div w:id="1611206927">
                              <w:marLeft w:val="0"/>
                              <w:marRight w:val="0"/>
                              <w:marTop w:val="0"/>
                              <w:marBottom w:val="0"/>
                              <w:divBdr>
                                <w:top w:val="none" w:sz="0" w:space="0" w:color="auto"/>
                                <w:left w:val="none" w:sz="0" w:space="0" w:color="auto"/>
                                <w:bottom w:val="none" w:sz="0" w:space="0" w:color="auto"/>
                                <w:right w:val="none" w:sz="0" w:space="0" w:color="auto"/>
                              </w:divBdr>
                            </w:div>
                            <w:div w:id="1925453289">
                              <w:marLeft w:val="0"/>
                              <w:marRight w:val="0"/>
                              <w:marTop w:val="0"/>
                              <w:marBottom w:val="0"/>
                              <w:divBdr>
                                <w:top w:val="none" w:sz="0" w:space="0" w:color="auto"/>
                                <w:left w:val="none" w:sz="0" w:space="0" w:color="auto"/>
                                <w:bottom w:val="none" w:sz="0" w:space="0" w:color="auto"/>
                                <w:right w:val="none" w:sz="0" w:space="0" w:color="auto"/>
                              </w:divBdr>
                            </w:div>
                            <w:div w:id="544222136">
                              <w:marLeft w:val="0"/>
                              <w:marRight w:val="0"/>
                              <w:marTop w:val="0"/>
                              <w:marBottom w:val="0"/>
                              <w:divBdr>
                                <w:top w:val="none" w:sz="0" w:space="0" w:color="auto"/>
                                <w:left w:val="none" w:sz="0" w:space="0" w:color="auto"/>
                                <w:bottom w:val="none" w:sz="0" w:space="0" w:color="auto"/>
                                <w:right w:val="none" w:sz="0" w:space="0" w:color="auto"/>
                              </w:divBdr>
                            </w:div>
                            <w:div w:id="877283108">
                              <w:marLeft w:val="0"/>
                              <w:marRight w:val="0"/>
                              <w:marTop w:val="0"/>
                              <w:marBottom w:val="0"/>
                              <w:divBdr>
                                <w:top w:val="none" w:sz="0" w:space="0" w:color="auto"/>
                                <w:left w:val="none" w:sz="0" w:space="0" w:color="auto"/>
                                <w:bottom w:val="none" w:sz="0" w:space="0" w:color="auto"/>
                                <w:right w:val="none" w:sz="0" w:space="0" w:color="auto"/>
                              </w:divBdr>
                            </w:div>
                            <w:div w:id="1063211941">
                              <w:marLeft w:val="0"/>
                              <w:marRight w:val="0"/>
                              <w:marTop w:val="0"/>
                              <w:marBottom w:val="0"/>
                              <w:divBdr>
                                <w:top w:val="none" w:sz="0" w:space="0" w:color="auto"/>
                                <w:left w:val="none" w:sz="0" w:space="0" w:color="auto"/>
                                <w:bottom w:val="none" w:sz="0" w:space="0" w:color="auto"/>
                                <w:right w:val="none" w:sz="0" w:space="0" w:color="auto"/>
                              </w:divBdr>
                            </w:div>
                            <w:div w:id="19066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63549">
      <w:bodyDiv w:val="1"/>
      <w:marLeft w:val="0"/>
      <w:marRight w:val="0"/>
      <w:marTop w:val="0"/>
      <w:marBottom w:val="0"/>
      <w:divBdr>
        <w:top w:val="none" w:sz="0" w:space="0" w:color="auto"/>
        <w:left w:val="none" w:sz="0" w:space="0" w:color="auto"/>
        <w:bottom w:val="none" w:sz="0" w:space="0" w:color="auto"/>
        <w:right w:val="none" w:sz="0" w:space="0" w:color="auto"/>
      </w:divBdr>
    </w:div>
    <w:div w:id="892545518">
      <w:bodyDiv w:val="1"/>
      <w:marLeft w:val="0"/>
      <w:marRight w:val="0"/>
      <w:marTop w:val="0"/>
      <w:marBottom w:val="0"/>
      <w:divBdr>
        <w:top w:val="none" w:sz="0" w:space="0" w:color="auto"/>
        <w:left w:val="none" w:sz="0" w:space="0" w:color="auto"/>
        <w:bottom w:val="none" w:sz="0" w:space="0" w:color="auto"/>
        <w:right w:val="none" w:sz="0" w:space="0" w:color="auto"/>
      </w:divBdr>
    </w:div>
    <w:div w:id="897277994">
      <w:bodyDiv w:val="1"/>
      <w:marLeft w:val="0"/>
      <w:marRight w:val="0"/>
      <w:marTop w:val="0"/>
      <w:marBottom w:val="0"/>
      <w:divBdr>
        <w:top w:val="none" w:sz="0" w:space="0" w:color="auto"/>
        <w:left w:val="none" w:sz="0" w:space="0" w:color="auto"/>
        <w:bottom w:val="none" w:sz="0" w:space="0" w:color="auto"/>
        <w:right w:val="none" w:sz="0" w:space="0" w:color="auto"/>
      </w:divBdr>
    </w:div>
    <w:div w:id="903563290">
      <w:bodyDiv w:val="1"/>
      <w:marLeft w:val="0"/>
      <w:marRight w:val="0"/>
      <w:marTop w:val="0"/>
      <w:marBottom w:val="0"/>
      <w:divBdr>
        <w:top w:val="none" w:sz="0" w:space="0" w:color="auto"/>
        <w:left w:val="none" w:sz="0" w:space="0" w:color="auto"/>
        <w:bottom w:val="none" w:sz="0" w:space="0" w:color="auto"/>
        <w:right w:val="none" w:sz="0" w:space="0" w:color="auto"/>
      </w:divBdr>
    </w:div>
    <w:div w:id="905527217">
      <w:bodyDiv w:val="1"/>
      <w:marLeft w:val="0"/>
      <w:marRight w:val="0"/>
      <w:marTop w:val="0"/>
      <w:marBottom w:val="0"/>
      <w:divBdr>
        <w:top w:val="none" w:sz="0" w:space="0" w:color="auto"/>
        <w:left w:val="none" w:sz="0" w:space="0" w:color="auto"/>
        <w:bottom w:val="none" w:sz="0" w:space="0" w:color="auto"/>
        <w:right w:val="none" w:sz="0" w:space="0" w:color="auto"/>
      </w:divBdr>
    </w:div>
    <w:div w:id="906038454">
      <w:bodyDiv w:val="1"/>
      <w:marLeft w:val="0"/>
      <w:marRight w:val="0"/>
      <w:marTop w:val="0"/>
      <w:marBottom w:val="0"/>
      <w:divBdr>
        <w:top w:val="none" w:sz="0" w:space="0" w:color="auto"/>
        <w:left w:val="none" w:sz="0" w:space="0" w:color="auto"/>
        <w:bottom w:val="none" w:sz="0" w:space="0" w:color="auto"/>
        <w:right w:val="none" w:sz="0" w:space="0" w:color="auto"/>
      </w:divBdr>
    </w:div>
    <w:div w:id="912474272">
      <w:bodyDiv w:val="1"/>
      <w:marLeft w:val="0"/>
      <w:marRight w:val="0"/>
      <w:marTop w:val="0"/>
      <w:marBottom w:val="0"/>
      <w:divBdr>
        <w:top w:val="none" w:sz="0" w:space="0" w:color="auto"/>
        <w:left w:val="none" w:sz="0" w:space="0" w:color="auto"/>
        <w:bottom w:val="none" w:sz="0" w:space="0" w:color="auto"/>
        <w:right w:val="none" w:sz="0" w:space="0" w:color="auto"/>
      </w:divBdr>
    </w:div>
    <w:div w:id="914434168">
      <w:bodyDiv w:val="1"/>
      <w:marLeft w:val="0"/>
      <w:marRight w:val="0"/>
      <w:marTop w:val="0"/>
      <w:marBottom w:val="0"/>
      <w:divBdr>
        <w:top w:val="none" w:sz="0" w:space="0" w:color="auto"/>
        <w:left w:val="none" w:sz="0" w:space="0" w:color="auto"/>
        <w:bottom w:val="none" w:sz="0" w:space="0" w:color="auto"/>
        <w:right w:val="none" w:sz="0" w:space="0" w:color="auto"/>
      </w:divBdr>
    </w:div>
    <w:div w:id="914969595">
      <w:bodyDiv w:val="1"/>
      <w:marLeft w:val="0"/>
      <w:marRight w:val="0"/>
      <w:marTop w:val="0"/>
      <w:marBottom w:val="0"/>
      <w:divBdr>
        <w:top w:val="none" w:sz="0" w:space="0" w:color="auto"/>
        <w:left w:val="none" w:sz="0" w:space="0" w:color="auto"/>
        <w:bottom w:val="none" w:sz="0" w:space="0" w:color="auto"/>
        <w:right w:val="none" w:sz="0" w:space="0" w:color="auto"/>
      </w:divBdr>
    </w:div>
    <w:div w:id="915821679">
      <w:bodyDiv w:val="1"/>
      <w:marLeft w:val="0"/>
      <w:marRight w:val="0"/>
      <w:marTop w:val="0"/>
      <w:marBottom w:val="0"/>
      <w:divBdr>
        <w:top w:val="none" w:sz="0" w:space="0" w:color="auto"/>
        <w:left w:val="none" w:sz="0" w:space="0" w:color="auto"/>
        <w:bottom w:val="none" w:sz="0" w:space="0" w:color="auto"/>
        <w:right w:val="none" w:sz="0" w:space="0" w:color="auto"/>
      </w:divBdr>
    </w:div>
    <w:div w:id="919102778">
      <w:bodyDiv w:val="1"/>
      <w:marLeft w:val="0"/>
      <w:marRight w:val="0"/>
      <w:marTop w:val="0"/>
      <w:marBottom w:val="0"/>
      <w:divBdr>
        <w:top w:val="none" w:sz="0" w:space="0" w:color="auto"/>
        <w:left w:val="none" w:sz="0" w:space="0" w:color="auto"/>
        <w:bottom w:val="none" w:sz="0" w:space="0" w:color="auto"/>
        <w:right w:val="none" w:sz="0" w:space="0" w:color="auto"/>
      </w:divBdr>
    </w:div>
    <w:div w:id="927268915">
      <w:bodyDiv w:val="1"/>
      <w:marLeft w:val="0"/>
      <w:marRight w:val="0"/>
      <w:marTop w:val="0"/>
      <w:marBottom w:val="0"/>
      <w:divBdr>
        <w:top w:val="none" w:sz="0" w:space="0" w:color="auto"/>
        <w:left w:val="none" w:sz="0" w:space="0" w:color="auto"/>
        <w:bottom w:val="none" w:sz="0" w:space="0" w:color="auto"/>
        <w:right w:val="none" w:sz="0" w:space="0" w:color="auto"/>
      </w:divBdr>
    </w:div>
    <w:div w:id="929657060">
      <w:bodyDiv w:val="1"/>
      <w:marLeft w:val="0"/>
      <w:marRight w:val="0"/>
      <w:marTop w:val="0"/>
      <w:marBottom w:val="0"/>
      <w:divBdr>
        <w:top w:val="none" w:sz="0" w:space="0" w:color="auto"/>
        <w:left w:val="none" w:sz="0" w:space="0" w:color="auto"/>
        <w:bottom w:val="none" w:sz="0" w:space="0" w:color="auto"/>
        <w:right w:val="none" w:sz="0" w:space="0" w:color="auto"/>
      </w:divBdr>
    </w:div>
    <w:div w:id="930620696">
      <w:bodyDiv w:val="1"/>
      <w:marLeft w:val="0"/>
      <w:marRight w:val="0"/>
      <w:marTop w:val="0"/>
      <w:marBottom w:val="0"/>
      <w:divBdr>
        <w:top w:val="none" w:sz="0" w:space="0" w:color="auto"/>
        <w:left w:val="none" w:sz="0" w:space="0" w:color="auto"/>
        <w:bottom w:val="none" w:sz="0" w:space="0" w:color="auto"/>
        <w:right w:val="none" w:sz="0" w:space="0" w:color="auto"/>
      </w:divBdr>
    </w:div>
    <w:div w:id="935409905">
      <w:bodyDiv w:val="1"/>
      <w:marLeft w:val="0"/>
      <w:marRight w:val="0"/>
      <w:marTop w:val="0"/>
      <w:marBottom w:val="0"/>
      <w:divBdr>
        <w:top w:val="none" w:sz="0" w:space="0" w:color="auto"/>
        <w:left w:val="none" w:sz="0" w:space="0" w:color="auto"/>
        <w:bottom w:val="none" w:sz="0" w:space="0" w:color="auto"/>
        <w:right w:val="none" w:sz="0" w:space="0" w:color="auto"/>
      </w:divBdr>
    </w:div>
    <w:div w:id="938680705">
      <w:bodyDiv w:val="1"/>
      <w:marLeft w:val="0"/>
      <w:marRight w:val="0"/>
      <w:marTop w:val="0"/>
      <w:marBottom w:val="0"/>
      <w:divBdr>
        <w:top w:val="none" w:sz="0" w:space="0" w:color="auto"/>
        <w:left w:val="none" w:sz="0" w:space="0" w:color="auto"/>
        <w:bottom w:val="none" w:sz="0" w:space="0" w:color="auto"/>
        <w:right w:val="none" w:sz="0" w:space="0" w:color="auto"/>
      </w:divBdr>
    </w:div>
    <w:div w:id="956911122">
      <w:bodyDiv w:val="1"/>
      <w:marLeft w:val="0"/>
      <w:marRight w:val="0"/>
      <w:marTop w:val="0"/>
      <w:marBottom w:val="0"/>
      <w:divBdr>
        <w:top w:val="none" w:sz="0" w:space="0" w:color="auto"/>
        <w:left w:val="none" w:sz="0" w:space="0" w:color="auto"/>
        <w:bottom w:val="none" w:sz="0" w:space="0" w:color="auto"/>
        <w:right w:val="none" w:sz="0" w:space="0" w:color="auto"/>
      </w:divBdr>
    </w:div>
    <w:div w:id="959071198">
      <w:bodyDiv w:val="1"/>
      <w:marLeft w:val="0"/>
      <w:marRight w:val="0"/>
      <w:marTop w:val="0"/>
      <w:marBottom w:val="0"/>
      <w:divBdr>
        <w:top w:val="none" w:sz="0" w:space="0" w:color="auto"/>
        <w:left w:val="none" w:sz="0" w:space="0" w:color="auto"/>
        <w:bottom w:val="none" w:sz="0" w:space="0" w:color="auto"/>
        <w:right w:val="none" w:sz="0" w:space="0" w:color="auto"/>
      </w:divBdr>
    </w:div>
    <w:div w:id="990867046">
      <w:bodyDiv w:val="1"/>
      <w:marLeft w:val="0"/>
      <w:marRight w:val="0"/>
      <w:marTop w:val="0"/>
      <w:marBottom w:val="0"/>
      <w:divBdr>
        <w:top w:val="none" w:sz="0" w:space="0" w:color="auto"/>
        <w:left w:val="none" w:sz="0" w:space="0" w:color="auto"/>
        <w:bottom w:val="none" w:sz="0" w:space="0" w:color="auto"/>
        <w:right w:val="none" w:sz="0" w:space="0" w:color="auto"/>
      </w:divBdr>
    </w:div>
    <w:div w:id="993410967">
      <w:bodyDiv w:val="1"/>
      <w:marLeft w:val="0"/>
      <w:marRight w:val="0"/>
      <w:marTop w:val="0"/>
      <w:marBottom w:val="0"/>
      <w:divBdr>
        <w:top w:val="none" w:sz="0" w:space="0" w:color="auto"/>
        <w:left w:val="none" w:sz="0" w:space="0" w:color="auto"/>
        <w:bottom w:val="none" w:sz="0" w:space="0" w:color="auto"/>
        <w:right w:val="none" w:sz="0" w:space="0" w:color="auto"/>
      </w:divBdr>
    </w:div>
    <w:div w:id="1013873072">
      <w:bodyDiv w:val="1"/>
      <w:marLeft w:val="0"/>
      <w:marRight w:val="0"/>
      <w:marTop w:val="0"/>
      <w:marBottom w:val="0"/>
      <w:divBdr>
        <w:top w:val="none" w:sz="0" w:space="0" w:color="auto"/>
        <w:left w:val="none" w:sz="0" w:space="0" w:color="auto"/>
        <w:bottom w:val="none" w:sz="0" w:space="0" w:color="auto"/>
        <w:right w:val="none" w:sz="0" w:space="0" w:color="auto"/>
      </w:divBdr>
    </w:div>
    <w:div w:id="1016349562">
      <w:bodyDiv w:val="1"/>
      <w:marLeft w:val="0"/>
      <w:marRight w:val="0"/>
      <w:marTop w:val="0"/>
      <w:marBottom w:val="0"/>
      <w:divBdr>
        <w:top w:val="none" w:sz="0" w:space="0" w:color="auto"/>
        <w:left w:val="none" w:sz="0" w:space="0" w:color="auto"/>
        <w:bottom w:val="none" w:sz="0" w:space="0" w:color="auto"/>
        <w:right w:val="none" w:sz="0" w:space="0" w:color="auto"/>
      </w:divBdr>
    </w:div>
    <w:div w:id="1019621106">
      <w:bodyDiv w:val="1"/>
      <w:marLeft w:val="0"/>
      <w:marRight w:val="0"/>
      <w:marTop w:val="0"/>
      <w:marBottom w:val="0"/>
      <w:divBdr>
        <w:top w:val="none" w:sz="0" w:space="0" w:color="auto"/>
        <w:left w:val="none" w:sz="0" w:space="0" w:color="auto"/>
        <w:bottom w:val="none" w:sz="0" w:space="0" w:color="auto"/>
        <w:right w:val="none" w:sz="0" w:space="0" w:color="auto"/>
      </w:divBdr>
      <w:divsChild>
        <w:div w:id="1924877609">
          <w:marLeft w:val="0"/>
          <w:marRight w:val="0"/>
          <w:marTop w:val="0"/>
          <w:marBottom w:val="0"/>
          <w:divBdr>
            <w:top w:val="none" w:sz="0" w:space="0" w:color="auto"/>
            <w:left w:val="none" w:sz="0" w:space="0" w:color="auto"/>
            <w:bottom w:val="none" w:sz="0" w:space="0" w:color="auto"/>
            <w:right w:val="none" w:sz="0" w:space="0" w:color="auto"/>
          </w:divBdr>
          <w:divsChild>
            <w:div w:id="1615672980">
              <w:marLeft w:val="0"/>
              <w:marRight w:val="0"/>
              <w:marTop w:val="0"/>
              <w:marBottom w:val="0"/>
              <w:divBdr>
                <w:top w:val="none" w:sz="0" w:space="0" w:color="auto"/>
                <w:left w:val="none" w:sz="0" w:space="0" w:color="auto"/>
                <w:bottom w:val="none" w:sz="0" w:space="0" w:color="auto"/>
                <w:right w:val="none" w:sz="0" w:space="0" w:color="auto"/>
              </w:divBdr>
              <w:divsChild>
                <w:div w:id="105088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13976">
      <w:bodyDiv w:val="1"/>
      <w:marLeft w:val="0"/>
      <w:marRight w:val="0"/>
      <w:marTop w:val="0"/>
      <w:marBottom w:val="0"/>
      <w:divBdr>
        <w:top w:val="none" w:sz="0" w:space="0" w:color="auto"/>
        <w:left w:val="none" w:sz="0" w:space="0" w:color="auto"/>
        <w:bottom w:val="none" w:sz="0" w:space="0" w:color="auto"/>
        <w:right w:val="none" w:sz="0" w:space="0" w:color="auto"/>
      </w:divBdr>
    </w:div>
    <w:div w:id="1044600065">
      <w:bodyDiv w:val="1"/>
      <w:marLeft w:val="0"/>
      <w:marRight w:val="0"/>
      <w:marTop w:val="0"/>
      <w:marBottom w:val="0"/>
      <w:divBdr>
        <w:top w:val="none" w:sz="0" w:space="0" w:color="auto"/>
        <w:left w:val="none" w:sz="0" w:space="0" w:color="auto"/>
        <w:bottom w:val="none" w:sz="0" w:space="0" w:color="auto"/>
        <w:right w:val="none" w:sz="0" w:space="0" w:color="auto"/>
      </w:divBdr>
      <w:divsChild>
        <w:div w:id="1867788056">
          <w:marLeft w:val="0"/>
          <w:marRight w:val="0"/>
          <w:marTop w:val="0"/>
          <w:marBottom w:val="0"/>
          <w:divBdr>
            <w:top w:val="none" w:sz="0" w:space="0" w:color="auto"/>
            <w:left w:val="none" w:sz="0" w:space="0" w:color="auto"/>
            <w:bottom w:val="none" w:sz="0" w:space="0" w:color="auto"/>
            <w:right w:val="none" w:sz="0" w:space="0" w:color="auto"/>
          </w:divBdr>
          <w:divsChild>
            <w:div w:id="894850387">
              <w:marLeft w:val="0"/>
              <w:marRight w:val="0"/>
              <w:marTop w:val="0"/>
              <w:marBottom w:val="0"/>
              <w:divBdr>
                <w:top w:val="none" w:sz="0" w:space="0" w:color="auto"/>
                <w:left w:val="none" w:sz="0" w:space="0" w:color="auto"/>
                <w:bottom w:val="none" w:sz="0" w:space="0" w:color="auto"/>
                <w:right w:val="none" w:sz="0" w:space="0" w:color="auto"/>
              </w:divBdr>
              <w:divsChild>
                <w:div w:id="16466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4220">
      <w:bodyDiv w:val="1"/>
      <w:marLeft w:val="0"/>
      <w:marRight w:val="0"/>
      <w:marTop w:val="0"/>
      <w:marBottom w:val="0"/>
      <w:divBdr>
        <w:top w:val="none" w:sz="0" w:space="0" w:color="auto"/>
        <w:left w:val="none" w:sz="0" w:space="0" w:color="auto"/>
        <w:bottom w:val="none" w:sz="0" w:space="0" w:color="auto"/>
        <w:right w:val="none" w:sz="0" w:space="0" w:color="auto"/>
      </w:divBdr>
      <w:divsChild>
        <w:div w:id="1931232503">
          <w:marLeft w:val="547"/>
          <w:marRight w:val="0"/>
          <w:marTop w:val="0"/>
          <w:marBottom w:val="0"/>
          <w:divBdr>
            <w:top w:val="none" w:sz="0" w:space="0" w:color="auto"/>
            <w:left w:val="none" w:sz="0" w:space="0" w:color="auto"/>
            <w:bottom w:val="none" w:sz="0" w:space="0" w:color="auto"/>
            <w:right w:val="none" w:sz="0" w:space="0" w:color="auto"/>
          </w:divBdr>
        </w:div>
        <w:div w:id="352222949">
          <w:marLeft w:val="547"/>
          <w:marRight w:val="0"/>
          <w:marTop w:val="0"/>
          <w:marBottom w:val="0"/>
          <w:divBdr>
            <w:top w:val="none" w:sz="0" w:space="0" w:color="auto"/>
            <w:left w:val="none" w:sz="0" w:space="0" w:color="auto"/>
            <w:bottom w:val="none" w:sz="0" w:space="0" w:color="auto"/>
            <w:right w:val="none" w:sz="0" w:space="0" w:color="auto"/>
          </w:divBdr>
        </w:div>
      </w:divsChild>
    </w:div>
    <w:div w:id="1066533818">
      <w:bodyDiv w:val="1"/>
      <w:marLeft w:val="0"/>
      <w:marRight w:val="0"/>
      <w:marTop w:val="0"/>
      <w:marBottom w:val="0"/>
      <w:divBdr>
        <w:top w:val="none" w:sz="0" w:space="0" w:color="auto"/>
        <w:left w:val="none" w:sz="0" w:space="0" w:color="auto"/>
        <w:bottom w:val="none" w:sz="0" w:space="0" w:color="auto"/>
        <w:right w:val="none" w:sz="0" w:space="0" w:color="auto"/>
      </w:divBdr>
    </w:div>
    <w:div w:id="1086266123">
      <w:bodyDiv w:val="1"/>
      <w:marLeft w:val="0"/>
      <w:marRight w:val="0"/>
      <w:marTop w:val="0"/>
      <w:marBottom w:val="0"/>
      <w:divBdr>
        <w:top w:val="none" w:sz="0" w:space="0" w:color="auto"/>
        <w:left w:val="none" w:sz="0" w:space="0" w:color="auto"/>
        <w:bottom w:val="none" w:sz="0" w:space="0" w:color="auto"/>
        <w:right w:val="none" w:sz="0" w:space="0" w:color="auto"/>
      </w:divBdr>
    </w:div>
    <w:div w:id="1087580745">
      <w:bodyDiv w:val="1"/>
      <w:marLeft w:val="0"/>
      <w:marRight w:val="0"/>
      <w:marTop w:val="0"/>
      <w:marBottom w:val="0"/>
      <w:divBdr>
        <w:top w:val="none" w:sz="0" w:space="0" w:color="auto"/>
        <w:left w:val="none" w:sz="0" w:space="0" w:color="auto"/>
        <w:bottom w:val="none" w:sz="0" w:space="0" w:color="auto"/>
        <w:right w:val="none" w:sz="0" w:space="0" w:color="auto"/>
      </w:divBdr>
    </w:div>
    <w:div w:id="1097217081">
      <w:bodyDiv w:val="1"/>
      <w:marLeft w:val="0"/>
      <w:marRight w:val="0"/>
      <w:marTop w:val="0"/>
      <w:marBottom w:val="0"/>
      <w:divBdr>
        <w:top w:val="none" w:sz="0" w:space="0" w:color="auto"/>
        <w:left w:val="none" w:sz="0" w:space="0" w:color="auto"/>
        <w:bottom w:val="none" w:sz="0" w:space="0" w:color="auto"/>
        <w:right w:val="none" w:sz="0" w:space="0" w:color="auto"/>
      </w:divBdr>
    </w:div>
    <w:div w:id="1103843736">
      <w:bodyDiv w:val="1"/>
      <w:marLeft w:val="0"/>
      <w:marRight w:val="0"/>
      <w:marTop w:val="0"/>
      <w:marBottom w:val="0"/>
      <w:divBdr>
        <w:top w:val="none" w:sz="0" w:space="0" w:color="auto"/>
        <w:left w:val="none" w:sz="0" w:space="0" w:color="auto"/>
        <w:bottom w:val="none" w:sz="0" w:space="0" w:color="auto"/>
        <w:right w:val="none" w:sz="0" w:space="0" w:color="auto"/>
      </w:divBdr>
    </w:div>
    <w:div w:id="1104764194">
      <w:bodyDiv w:val="1"/>
      <w:marLeft w:val="0"/>
      <w:marRight w:val="0"/>
      <w:marTop w:val="0"/>
      <w:marBottom w:val="0"/>
      <w:divBdr>
        <w:top w:val="none" w:sz="0" w:space="0" w:color="auto"/>
        <w:left w:val="none" w:sz="0" w:space="0" w:color="auto"/>
        <w:bottom w:val="none" w:sz="0" w:space="0" w:color="auto"/>
        <w:right w:val="none" w:sz="0" w:space="0" w:color="auto"/>
      </w:divBdr>
    </w:div>
    <w:div w:id="1109155378">
      <w:bodyDiv w:val="1"/>
      <w:marLeft w:val="0"/>
      <w:marRight w:val="0"/>
      <w:marTop w:val="0"/>
      <w:marBottom w:val="0"/>
      <w:divBdr>
        <w:top w:val="none" w:sz="0" w:space="0" w:color="auto"/>
        <w:left w:val="none" w:sz="0" w:space="0" w:color="auto"/>
        <w:bottom w:val="none" w:sz="0" w:space="0" w:color="auto"/>
        <w:right w:val="none" w:sz="0" w:space="0" w:color="auto"/>
      </w:divBdr>
    </w:div>
    <w:div w:id="1132215942">
      <w:bodyDiv w:val="1"/>
      <w:marLeft w:val="0"/>
      <w:marRight w:val="0"/>
      <w:marTop w:val="0"/>
      <w:marBottom w:val="0"/>
      <w:divBdr>
        <w:top w:val="none" w:sz="0" w:space="0" w:color="auto"/>
        <w:left w:val="none" w:sz="0" w:space="0" w:color="auto"/>
        <w:bottom w:val="none" w:sz="0" w:space="0" w:color="auto"/>
        <w:right w:val="none" w:sz="0" w:space="0" w:color="auto"/>
      </w:divBdr>
    </w:div>
    <w:div w:id="1140800916">
      <w:bodyDiv w:val="1"/>
      <w:marLeft w:val="0"/>
      <w:marRight w:val="0"/>
      <w:marTop w:val="0"/>
      <w:marBottom w:val="0"/>
      <w:divBdr>
        <w:top w:val="none" w:sz="0" w:space="0" w:color="auto"/>
        <w:left w:val="none" w:sz="0" w:space="0" w:color="auto"/>
        <w:bottom w:val="none" w:sz="0" w:space="0" w:color="auto"/>
        <w:right w:val="none" w:sz="0" w:space="0" w:color="auto"/>
      </w:divBdr>
    </w:div>
    <w:div w:id="1145317969">
      <w:bodyDiv w:val="1"/>
      <w:marLeft w:val="0"/>
      <w:marRight w:val="0"/>
      <w:marTop w:val="0"/>
      <w:marBottom w:val="0"/>
      <w:divBdr>
        <w:top w:val="none" w:sz="0" w:space="0" w:color="auto"/>
        <w:left w:val="none" w:sz="0" w:space="0" w:color="auto"/>
        <w:bottom w:val="none" w:sz="0" w:space="0" w:color="auto"/>
        <w:right w:val="none" w:sz="0" w:space="0" w:color="auto"/>
      </w:divBdr>
    </w:div>
    <w:div w:id="1155679583">
      <w:bodyDiv w:val="1"/>
      <w:marLeft w:val="0"/>
      <w:marRight w:val="0"/>
      <w:marTop w:val="0"/>
      <w:marBottom w:val="0"/>
      <w:divBdr>
        <w:top w:val="none" w:sz="0" w:space="0" w:color="auto"/>
        <w:left w:val="none" w:sz="0" w:space="0" w:color="auto"/>
        <w:bottom w:val="none" w:sz="0" w:space="0" w:color="auto"/>
        <w:right w:val="none" w:sz="0" w:space="0" w:color="auto"/>
      </w:divBdr>
    </w:div>
    <w:div w:id="1159733245">
      <w:bodyDiv w:val="1"/>
      <w:marLeft w:val="0"/>
      <w:marRight w:val="0"/>
      <w:marTop w:val="0"/>
      <w:marBottom w:val="0"/>
      <w:divBdr>
        <w:top w:val="none" w:sz="0" w:space="0" w:color="auto"/>
        <w:left w:val="none" w:sz="0" w:space="0" w:color="auto"/>
        <w:bottom w:val="none" w:sz="0" w:space="0" w:color="auto"/>
        <w:right w:val="none" w:sz="0" w:space="0" w:color="auto"/>
      </w:divBdr>
      <w:divsChild>
        <w:div w:id="1694501984">
          <w:marLeft w:val="547"/>
          <w:marRight w:val="0"/>
          <w:marTop w:val="0"/>
          <w:marBottom w:val="0"/>
          <w:divBdr>
            <w:top w:val="none" w:sz="0" w:space="0" w:color="auto"/>
            <w:left w:val="none" w:sz="0" w:space="0" w:color="auto"/>
            <w:bottom w:val="none" w:sz="0" w:space="0" w:color="auto"/>
            <w:right w:val="none" w:sz="0" w:space="0" w:color="auto"/>
          </w:divBdr>
        </w:div>
        <w:div w:id="2018803457">
          <w:marLeft w:val="547"/>
          <w:marRight w:val="0"/>
          <w:marTop w:val="0"/>
          <w:marBottom w:val="0"/>
          <w:divBdr>
            <w:top w:val="none" w:sz="0" w:space="0" w:color="auto"/>
            <w:left w:val="none" w:sz="0" w:space="0" w:color="auto"/>
            <w:bottom w:val="none" w:sz="0" w:space="0" w:color="auto"/>
            <w:right w:val="none" w:sz="0" w:space="0" w:color="auto"/>
          </w:divBdr>
        </w:div>
        <w:div w:id="1864441540">
          <w:marLeft w:val="547"/>
          <w:marRight w:val="0"/>
          <w:marTop w:val="0"/>
          <w:marBottom w:val="0"/>
          <w:divBdr>
            <w:top w:val="none" w:sz="0" w:space="0" w:color="auto"/>
            <w:left w:val="none" w:sz="0" w:space="0" w:color="auto"/>
            <w:bottom w:val="none" w:sz="0" w:space="0" w:color="auto"/>
            <w:right w:val="none" w:sz="0" w:space="0" w:color="auto"/>
          </w:divBdr>
        </w:div>
      </w:divsChild>
    </w:div>
    <w:div w:id="1161895737">
      <w:bodyDiv w:val="1"/>
      <w:marLeft w:val="0"/>
      <w:marRight w:val="0"/>
      <w:marTop w:val="0"/>
      <w:marBottom w:val="0"/>
      <w:divBdr>
        <w:top w:val="none" w:sz="0" w:space="0" w:color="auto"/>
        <w:left w:val="none" w:sz="0" w:space="0" w:color="auto"/>
        <w:bottom w:val="none" w:sz="0" w:space="0" w:color="auto"/>
        <w:right w:val="none" w:sz="0" w:space="0" w:color="auto"/>
      </w:divBdr>
    </w:div>
    <w:div w:id="1170757085">
      <w:bodyDiv w:val="1"/>
      <w:marLeft w:val="0"/>
      <w:marRight w:val="0"/>
      <w:marTop w:val="0"/>
      <w:marBottom w:val="0"/>
      <w:divBdr>
        <w:top w:val="none" w:sz="0" w:space="0" w:color="auto"/>
        <w:left w:val="none" w:sz="0" w:space="0" w:color="auto"/>
        <w:bottom w:val="none" w:sz="0" w:space="0" w:color="auto"/>
        <w:right w:val="none" w:sz="0" w:space="0" w:color="auto"/>
      </w:divBdr>
    </w:div>
    <w:div w:id="1182935633">
      <w:bodyDiv w:val="1"/>
      <w:marLeft w:val="0"/>
      <w:marRight w:val="0"/>
      <w:marTop w:val="0"/>
      <w:marBottom w:val="0"/>
      <w:divBdr>
        <w:top w:val="none" w:sz="0" w:space="0" w:color="auto"/>
        <w:left w:val="none" w:sz="0" w:space="0" w:color="auto"/>
        <w:bottom w:val="none" w:sz="0" w:space="0" w:color="auto"/>
        <w:right w:val="none" w:sz="0" w:space="0" w:color="auto"/>
      </w:divBdr>
    </w:div>
    <w:div w:id="1191726823">
      <w:bodyDiv w:val="1"/>
      <w:marLeft w:val="0"/>
      <w:marRight w:val="0"/>
      <w:marTop w:val="0"/>
      <w:marBottom w:val="0"/>
      <w:divBdr>
        <w:top w:val="none" w:sz="0" w:space="0" w:color="auto"/>
        <w:left w:val="none" w:sz="0" w:space="0" w:color="auto"/>
        <w:bottom w:val="none" w:sz="0" w:space="0" w:color="auto"/>
        <w:right w:val="none" w:sz="0" w:space="0" w:color="auto"/>
      </w:divBdr>
    </w:div>
    <w:div w:id="1203981109">
      <w:bodyDiv w:val="1"/>
      <w:marLeft w:val="0"/>
      <w:marRight w:val="0"/>
      <w:marTop w:val="0"/>
      <w:marBottom w:val="0"/>
      <w:divBdr>
        <w:top w:val="none" w:sz="0" w:space="0" w:color="auto"/>
        <w:left w:val="none" w:sz="0" w:space="0" w:color="auto"/>
        <w:bottom w:val="none" w:sz="0" w:space="0" w:color="auto"/>
        <w:right w:val="none" w:sz="0" w:space="0" w:color="auto"/>
      </w:divBdr>
    </w:div>
    <w:div w:id="1213343003">
      <w:bodyDiv w:val="1"/>
      <w:marLeft w:val="0"/>
      <w:marRight w:val="0"/>
      <w:marTop w:val="0"/>
      <w:marBottom w:val="0"/>
      <w:divBdr>
        <w:top w:val="none" w:sz="0" w:space="0" w:color="auto"/>
        <w:left w:val="none" w:sz="0" w:space="0" w:color="auto"/>
        <w:bottom w:val="none" w:sz="0" w:space="0" w:color="auto"/>
        <w:right w:val="none" w:sz="0" w:space="0" w:color="auto"/>
      </w:divBdr>
    </w:div>
    <w:div w:id="1220021899">
      <w:bodyDiv w:val="1"/>
      <w:marLeft w:val="0"/>
      <w:marRight w:val="0"/>
      <w:marTop w:val="0"/>
      <w:marBottom w:val="0"/>
      <w:divBdr>
        <w:top w:val="none" w:sz="0" w:space="0" w:color="auto"/>
        <w:left w:val="none" w:sz="0" w:space="0" w:color="auto"/>
        <w:bottom w:val="none" w:sz="0" w:space="0" w:color="auto"/>
        <w:right w:val="none" w:sz="0" w:space="0" w:color="auto"/>
      </w:divBdr>
    </w:div>
    <w:div w:id="1245994939">
      <w:bodyDiv w:val="1"/>
      <w:marLeft w:val="0"/>
      <w:marRight w:val="0"/>
      <w:marTop w:val="0"/>
      <w:marBottom w:val="0"/>
      <w:divBdr>
        <w:top w:val="none" w:sz="0" w:space="0" w:color="auto"/>
        <w:left w:val="none" w:sz="0" w:space="0" w:color="auto"/>
        <w:bottom w:val="none" w:sz="0" w:space="0" w:color="auto"/>
        <w:right w:val="none" w:sz="0" w:space="0" w:color="auto"/>
      </w:divBdr>
    </w:div>
    <w:div w:id="1255280843">
      <w:bodyDiv w:val="1"/>
      <w:marLeft w:val="0"/>
      <w:marRight w:val="0"/>
      <w:marTop w:val="0"/>
      <w:marBottom w:val="0"/>
      <w:divBdr>
        <w:top w:val="none" w:sz="0" w:space="0" w:color="auto"/>
        <w:left w:val="none" w:sz="0" w:space="0" w:color="auto"/>
        <w:bottom w:val="none" w:sz="0" w:space="0" w:color="auto"/>
        <w:right w:val="none" w:sz="0" w:space="0" w:color="auto"/>
      </w:divBdr>
    </w:div>
    <w:div w:id="1267008667">
      <w:bodyDiv w:val="1"/>
      <w:marLeft w:val="0"/>
      <w:marRight w:val="0"/>
      <w:marTop w:val="0"/>
      <w:marBottom w:val="0"/>
      <w:divBdr>
        <w:top w:val="none" w:sz="0" w:space="0" w:color="auto"/>
        <w:left w:val="none" w:sz="0" w:space="0" w:color="auto"/>
        <w:bottom w:val="none" w:sz="0" w:space="0" w:color="auto"/>
        <w:right w:val="none" w:sz="0" w:space="0" w:color="auto"/>
      </w:divBdr>
    </w:div>
    <w:div w:id="1271015178">
      <w:bodyDiv w:val="1"/>
      <w:marLeft w:val="0"/>
      <w:marRight w:val="0"/>
      <w:marTop w:val="0"/>
      <w:marBottom w:val="0"/>
      <w:divBdr>
        <w:top w:val="none" w:sz="0" w:space="0" w:color="auto"/>
        <w:left w:val="none" w:sz="0" w:space="0" w:color="auto"/>
        <w:bottom w:val="none" w:sz="0" w:space="0" w:color="auto"/>
        <w:right w:val="none" w:sz="0" w:space="0" w:color="auto"/>
      </w:divBdr>
    </w:div>
    <w:div w:id="1282103648">
      <w:bodyDiv w:val="1"/>
      <w:marLeft w:val="0"/>
      <w:marRight w:val="0"/>
      <w:marTop w:val="0"/>
      <w:marBottom w:val="0"/>
      <w:divBdr>
        <w:top w:val="none" w:sz="0" w:space="0" w:color="auto"/>
        <w:left w:val="none" w:sz="0" w:space="0" w:color="auto"/>
        <w:bottom w:val="none" w:sz="0" w:space="0" w:color="auto"/>
        <w:right w:val="none" w:sz="0" w:space="0" w:color="auto"/>
      </w:divBdr>
    </w:div>
    <w:div w:id="1285501658">
      <w:bodyDiv w:val="1"/>
      <w:marLeft w:val="0"/>
      <w:marRight w:val="0"/>
      <w:marTop w:val="0"/>
      <w:marBottom w:val="0"/>
      <w:divBdr>
        <w:top w:val="none" w:sz="0" w:space="0" w:color="auto"/>
        <w:left w:val="none" w:sz="0" w:space="0" w:color="auto"/>
        <w:bottom w:val="none" w:sz="0" w:space="0" w:color="auto"/>
        <w:right w:val="none" w:sz="0" w:space="0" w:color="auto"/>
      </w:divBdr>
    </w:div>
    <w:div w:id="1311983653">
      <w:bodyDiv w:val="1"/>
      <w:marLeft w:val="0"/>
      <w:marRight w:val="0"/>
      <w:marTop w:val="0"/>
      <w:marBottom w:val="0"/>
      <w:divBdr>
        <w:top w:val="none" w:sz="0" w:space="0" w:color="auto"/>
        <w:left w:val="none" w:sz="0" w:space="0" w:color="auto"/>
        <w:bottom w:val="none" w:sz="0" w:space="0" w:color="auto"/>
        <w:right w:val="none" w:sz="0" w:space="0" w:color="auto"/>
      </w:divBdr>
    </w:div>
    <w:div w:id="1313677668">
      <w:bodyDiv w:val="1"/>
      <w:marLeft w:val="0"/>
      <w:marRight w:val="0"/>
      <w:marTop w:val="0"/>
      <w:marBottom w:val="0"/>
      <w:divBdr>
        <w:top w:val="none" w:sz="0" w:space="0" w:color="auto"/>
        <w:left w:val="none" w:sz="0" w:space="0" w:color="auto"/>
        <w:bottom w:val="none" w:sz="0" w:space="0" w:color="auto"/>
        <w:right w:val="none" w:sz="0" w:space="0" w:color="auto"/>
      </w:divBdr>
    </w:div>
    <w:div w:id="1314791332">
      <w:bodyDiv w:val="1"/>
      <w:marLeft w:val="0"/>
      <w:marRight w:val="0"/>
      <w:marTop w:val="0"/>
      <w:marBottom w:val="0"/>
      <w:divBdr>
        <w:top w:val="none" w:sz="0" w:space="0" w:color="auto"/>
        <w:left w:val="none" w:sz="0" w:space="0" w:color="auto"/>
        <w:bottom w:val="none" w:sz="0" w:space="0" w:color="auto"/>
        <w:right w:val="none" w:sz="0" w:space="0" w:color="auto"/>
      </w:divBdr>
    </w:div>
    <w:div w:id="1325737826">
      <w:bodyDiv w:val="1"/>
      <w:marLeft w:val="0"/>
      <w:marRight w:val="0"/>
      <w:marTop w:val="0"/>
      <w:marBottom w:val="0"/>
      <w:divBdr>
        <w:top w:val="none" w:sz="0" w:space="0" w:color="auto"/>
        <w:left w:val="none" w:sz="0" w:space="0" w:color="auto"/>
        <w:bottom w:val="none" w:sz="0" w:space="0" w:color="auto"/>
        <w:right w:val="none" w:sz="0" w:space="0" w:color="auto"/>
      </w:divBdr>
    </w:div>
    <w:div w:id="1328284100">
      <w:bodyDiv w:val="1"/>
      <w:marLeft w:val="0"/>
      <w:marRight w:val="0"/>
      <w:marTop w:val="0"/>
      <w:marBottom w:val="0"/>
      <w:divBdr>
        <w:top w:val="none" w:sz="0" w:space="0" w:color="auto"/>
        <w:left w:val="none" w:sz="0" w:space="0" w:color="auto"/>
        <w:bottom w:val="none" w:sz="0" w:space="0" w:color="auto"/>
        <w:right w:val="none" w:sz="0" w:space="0" w:color="auto"/>
      </w:divBdr>
    </w:div>
    <w:div w:id="1338773909">
      <w:bodyDiv w:val="1"/>
      <w:marLeft w:val="0"/>
      <w:marRight w:val="0"/>
      <w:marTop w:val="0"/>
      <w:marBottom w:val="0"/>
      <w:divBdr>
        <w:top w:val="none" w:sz="0" w:space="0" w:color="auto"/>
        <w:left w:val="none" w:sz="0" w:space="0" w:color="auto"/>
        <w:bottom w:val="none" w:sz="0" w:space="0" w:color="auto"/>
        <w:right w:val="none" w:sz="0" w:space="0" w:color="auto"/>
      </w:divBdr>
    </w:div>
    <w:div w:id="1346519849">
      <w:bodyDiv w:val="1"/>
      <w:marLeft w:val="0"/>
      <w:marRight w:val="0"/>
      <w:marTop w:val="0"/>
      <w:marBottom w:val="0"/>
      <w:divBdr>
        <w:top w:val="none" w:sz="0" w:space="0" w:color="auto"/>
        <w:left w:val="none" w:sz="0" w:space="0" w:color="auto"/>
        <w:bottom w:val="none" w:sz="0" w:space="0" w:color="auto"/>
        <w:right w:val="none" w:sz="0" w:space="0" w:color="auto"/>
      </w:divBdr>
      <w:divsChild>
        <w:div w:id="1852139886">
          <w:marLeft w:val="0"/>
          <w:marRight w:val="0"/>
          <w:marTop w:val="0"/>
          <w:marBottom w:val="660"/>
          <w:divBdr>
            <w:top w:val="none" w:sz="0" w:space="0" w:color="auto"/>
            <w:left w:val="none" w:sz="0" w:space="0" w:color="auto"/>
            <w:bottom w:val="none" w:sz="0" w:space="0" w:color="auto"/>
            <w:right w:val="none" w:sz="0" w:space="0" w:color="auto"/>
          </w:divBdr>
          <w:divsChild>
            <w:div w:id="306596485">
              <w:marLeft w:val="0"/>
              <w:marRight w:val="0"/>
              <w:marTop w:val="0"/>
              <w:marBottom w:val="450"/>
              <w:divBdr>
                <w:top w:val="none" w:sz="0" w:space="0" w:color="auto"/>
                <w:left w:val="none" w:sz="0" w:space="0" w:color="auto"/>
                <w:bottom w:val="none" w:sz="0" w:space="0" w:color="auto"/>
                <w:right w:val="none" w:sz="0" w:space="0" w:color="auto"/>
              </w:divBdr>
              <w:divsChild>
                <w:div w:id="1870876458">
                  <w:marLeft w:val="0"/>
                  <w:marRight w:val="0"/>
                  <w:marTop w:val="0"/>
                  <w:marBottom w:val="0"/>
                  <w:divBdr>
                    <w:top w:val="none" w:sz="0" w:space="0" w:color="auto"/>
                    <w:left w:val="none" w:sz="0" w:space="0" w:color="auto"/>
                    <w:bottom w:val="none" w:sz="0" w:space="0" w:color="auto"/>
                    <w:right w:val="none" w:sz="0" w:space="0" w:color="auto"/>
                  </w:divBdr>
                  <w:divsChild>
                    <w:div w:id="621959519">
                      <w:marLeft w:val="0"/>
                      <w:marRight w:val="0"/>
                      <w:marTop w:val="0"/>
                      <w:marBottom w:val="0"/>
                      <w:divBdr>
                        <w:top w:val="none" w:sz="0" w:space="0" w:color="auto"/>
                        <w:left w:val="none" w:sz="0" w:space="0" w:color="auto"/>
                        <w:bottom w:val="none" w:sz="0" w:space="0" w:color="auto"/>
                        <w:right w:val="none" w:sz="0" w:space="0" w:color="auto"/>
                      </w:divBdr>
                      <w:divsChild>
                        <w:div w:id="2110588722">
                          <w:marLeft w:val="0"/>
                          <w:marRight w:val="0"/>
                          <w:marTop w:val="0"/>
                          <w:marBottom w:val="0"/>
                          <w:divBdr>
                            <w:top w:val="none" w:sz="0" w:space="0" w:color="auto"/>
                            <w:left w:val="none" w:sz="0" w:space="0" w:color="auto"/>
                            <w:bottom w:val="none" w:sz="0" w:space="0" w:color="auto"/>
                            <w:right w:val="none" w:sz="0" w:space="0" w:color="auto"/>
                          </w:divBdr>
                          <w:divsChild>
                            <w:div w:id="1628973526">
                              <w:marLeft w:val="0"/>
                              <w:marRight w:val="0"/>
                              <w:marTop w:val="0"/>
                              <w:marBottom w:val="0"/>
                              <w:divBdr>
                                <w:top w:val="none" w:sz="0" w:space="0" w:color="auto"/>
                                <w:left w:val="none" w:sz="0" w:space="0" w:color="auto"/>
                                <w:bottom w:val="none" w:sz="0" w:space="0" w:color="auto"/>
                                <w:right w:val="none" w:sz="0" w:space="0" w:color="auto"/>
                              </w:divBdr>
                              <w:divsChild>
                                <w:div w:id="1694500316">
                                  <w:marLeft w:val="0"/>
                                  <w:marRight w:val="0"/>
                                  <w:marTop w:val="0"/>
                                  <w:marBottom w:val="0"/>
                                  <w:divBdr>
                                    <w:top w:val="none" w:sz="0" w:space="0" w:color="auto"/>
                                    <w:left w:val="none" w:sz="0" w:space="0" w:color="auto"/>
                                    <w:bottom w:val="none" w:sz="0" w:space="0" w:color="auto"/>
                                    <w:right w:val="none" w:sz="0" w:space="0" w:color="auto"/>
                                  </w:divBdr>
                                  <w:divsChild>
                                    <w:div w:id="395204393">
                                      <w:marLeft w:val="0"/>
                                      <w:marRight w:val="0"/>
                                      <w:marTop w:val="0"/>
                                      <w:marBottom w:val="0"/>
                                      <w:divBdr>
                                        <w:top w:val="none" w:sz="0" w:space="0" w:color="auto"/>
                                        <w:left w:val="none" w:sz="0" w:space="0" w:color="auto"/>
                                        <w:bottom w:val="none" w:sz="0" w:space="0" w:color="auto"/>
                                        <w:right w:val="none" w:sz="0" w:space="0" w:color="auto"/>
                                      </w:divBdr>
                                      <w:divsChild>
                                        <w:div w:id="1766341540">
                                          <w:marLeft w:val="0"/>
                                          <w:marRight w:val="0"/>
                                          <w:marTop w:val="0"/>
                                          <w:marBottom w:val="0"/>
                                          <w:divBdr>
                                            <w:top w:val="none" w:sz="0" w:space="0" w:color="auto"/>
                                            <w:left w:val="none" w:sz="0" w:space="0" w:color="auto"/>
                                            <w:bottom w:val="none" w:sz="0" w:space="0" w:color="auto"/>
                                            <w:right w:val="none" w:sz="0" w:space="0" w:color="auto"/>
                                          </w:divBdr>
                                          <w:divsChild>
                                            <w:div w:id="1039626521">
                                              <w:marLeft w:val="0"/>
                                              <w:marRight w:val="0"/>
                                              <w:marTop w:val="0"/>
                                              <w:marBottom w:val="0"/>
                                              <w:divBdr>
                                                <w:top w:val="none" w:sz="0" w:space="0" w:color="auto"/>
                                                <w:left w:val="none" w:sz="0" w:space="0" w:color="auto"/>
                                                <w:bottom w:val="none" w:sz="0" w:space="0" w:color="auto"/>
                                                <w:right w:val="none" w:sz="0" w:space="0" w:color="auto"/>
                                              </w:divBdr>
                                              <w:divsChild>
                                                <w:div w:id="287318239">
                                                  <w:marLeft w:val="0"/>
                                                  <w:marRight w:val="0"/>
                                                  <w:marTop w:val="0"/>
                                                  <w:marBottom w:val="0"/>
                                                  <w:divBdr>
                                                    <w:top w:val="none" w:sz="0" w:space="0" w:color="auto"/>
                                                    <w:left w:val="none" w:sz="0" w:space="0" w:color="auto"/>
                                                    <w:bottom w:val="none" w:sz="0" w:space="0" w:color="auto"/>
                                                    <w:right w:val="none" w:sz="0" w:space="0" w:color="auto"/>
                                                  </w:divBdr>
                                                </w:div>
                                                <w:div w:id="1900361767">
                                                  <w:marLeft w:val="0"/>
                                                  <w:marRight w:val="0"/>
                                                  <w:marTop w:val="0"/>
                                                  <w:marBottom w:val="0"/>
                                                  <w:divBdr>
                                                    <w:top w:val="none" w:sz="0" w:space="0" w:color="auto"/>
                                                    <w:left w:val="none" w:sz="0" w:space="0" w:color="auto"/>
                                                    <w:bottom w:val="none" w:sz="0" w:space="0" w:color="auto"/>
                                                    <w:right w:val="none" w:sz="0" w:space="0" w:color="auto"/>
                                                  </w:divBdr>
                                                  <w:divsChild>
                                                    <w:div w:id="845829936">
                                                      <w:marLeft w:val="0"/>
                                                      <w:marRight w:val="165"/>
                                                      <w:marTop w:val="150"/>
                                                      <w:marBottom w:val="0"/>
                                                      <w:divBdr>
                                                        <w:top w:val="none" w:sz="0" w:space="0" w:color="auto"/>
                                                        <w:left w:val="none" w:sz="0" w:space="0" w:color="auto"/>
                                                        <w:bottom w:val="none" w:sz="0" w:space="0" w:color="auto"/>
                                                        <w:right w:val="none" w:sz="0" w:space="0" w:color="auto"/>
                                                      </w:divBdr>
                                                      <w:divsChild>
                                                        <w:div w:id="96953202">
                                                          <w:marLeft w:val="0"/>
                                                          <w:marRight w:val="0"/>
                                                          <w:marTop w:val="0"/>
                                                          <w:marBottom w:val="0"/>
                                                          <w:divBdr>
                                                            <w:top w:val="none" w:sz="0" w:space="0" w:color="auto"/>
                                                            <w:left w:val="none" w:sz="0" w:space="0" w:color="auto"/>
                                                            <w:bottom w:val="none" w:sz="0" w:space="0" w:color="auto"/>
                                                            <w:right w:val="none" w:sz="0" w:space="0" w:color="auto"/>
                                                          </w:divBdr>
                                                          <w:divsChild>
                                                            <w:div w:id="41956961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3841764">
                      <w:marLeft w:val="0"/>
                      <w:marRight w:val="0"/>
                      <w:marTop w:val="240"/>
                      <w:marBottom w:val="0"/>
                      <w:divBdr>
                        <w:top w:val="none" w:sz="0" w:space="0" w:color="auto"/>
                        <w:left w:val="none" w:sz="0" w:space="0" w:color="auto"/>
                        <w:bottom w:val="none" w:sz="0" w:space="0" w:color="auto"/>
                        <w:right w:val="none" w:sz="0" w:space="0" w:color="auto"/>
                      </w:divBdr>
                      <w:divsChild>
                        <w:div w:id="566964338">
                          <w:marLeft w:val="210"/>
                          <w:marRight w:val="0"/>
                          <w:marTop w:val="0"/>
                          <w:marBottom w:val="0"/>
                          <w:divBdr>
                            <w:top w:val="none" w:sz="0" w:space="0" w:color="auto"/>
                            <w:left w:val="none" w:sz="0" w:space="0" w:color="auto"/>
                            <w:bottom w:val="none" w:sz="0" w:space="0" w:color="auto"/>
                            <w:right w:val="none" w:sz="0" w:space="0" w:color="auto"/>
                          </w:divBdr>
                          <w:divsChild>
                            <w:div w:id="85376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545352">
          <w:marLeft w:val="0"/>
          <w:marRight w:val="0"/>
          <w:marTop w:val="0"/>
          <w:marBottom w:val="0"/>
          <w:divBdr>
            <w:top w:val="none" w:sz="0" w:space="0" w:color="auto"/>
            <w:left w:val="none" w:sz="0" w:space="0" w:color="auto"/>
            <w:bottom w:val="none" w:sz="0" w:space="0" w:color="auto"/>
            <w:right w:val="none" w:sz="0" w:space="0" w:color="auto"/>
          </w:divBdr>
          <w:divsChild>
            <w:div w:id="911886548">
              <w:marLeft w:val="0"/>
              <w:marRight w:val="0"/>
              <w:marTop w:val="0"/>
              <w:marBottom w:val="450"/>
              <w:divBdr>
                <w:top w:val="none" w:sz="0" w:space="0" w:color="auto"/>
                <w:left w:val="none" w:sz="0" w:space="0" w:color="auto"/>
                <w:bottom w:val="none" w:sz="0" w:space="0" w:color="auto"/>
                <w:right w:val="none" w:sz="0" w:space="0" w:color="auto"/>
              </w:divBdr>
              <w:divsChild>
                <w:div w:id="467170097">
                  <w:marLeft w:val="0"/>
                  <w:marRight w:val="0"/>
                  <w:marTop w:val="0"/>
                  <w:marBottom w:val="0"/>
                  <w:divBdr>
                    <w:top w:val="none" w:sz="0" w:space="0" w:color="auto"/>
                    <w:left w:val="none" w:sz="0" w:space="0" w:color="auto"/>
                    <w:bottom w:val="none" w:sz="0" w:space="0" w:color="auto"/>
                    <w:right w:val="none" w:sz="0" w:space="0" w:color="auto"/>
                  </w:divBdr>
                  <w:divsChild>
                    <w:div w:id="334262561">
                      <w:marLeft w:val="0"/>
                      <w:marRight w:val="0"/>
                      <w:marTop w:val="0"/>
                      <w:marBottom w:val="0"/>
                      <w:divBdr>
                        <w:top w:val="none" w:sz="0" w:space="0" w:color="auto"/>
                        <w:left w:val="none" w:sz="0" w:space="0" w:color="auto"/>
                        <w:bottom w:val="none" w:sz="0" w:space="0" w:color="auto"/>
                        <w:right w:val="none" w:sz="0" w:space="0" w:color="auto"/>
                      </w:divBdr>
                      <w:divsChild>
                        <w:div w:id="184708718">
                          <w:marLeft w:val="0"/>
                          <w:marRight w:val="0"/>
                          <w:marTop w:val="0"/>
                          <w:marBottom w:val="0"/>
                          <w:divBdr>
                            <w:top w:val="none" w:sz="0" w:space="0" w:color="auto"/>
                            <w:left w:val="none" w:sz="0" w:space="0" w:color="auto"/>
                            <w:bottom w:val="none" w:sz="0" w:space="0" w:color="auto"/>
                            <w:right w:val="none" w:sz="0" w:space="0" w:color="auto"/>
                          </w:divBdr>
                          <w:divsChild>
                            <w:div w:id="10396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211020">
      <w:bodyDiv w:val="1"/>
      <w:marLeft w:val="0"/>
      <w:marRight w:val="0"/>
      <w:marTop w:val="0"/>
      <w:marBottom w:val="0"/>
      <w:divBdr>
        <w:top w:val="none" w:sz="0" w:space="0" w:color="auto"/>
        <w:left w:val="none" w:sz="0" w:space="0" w:color="auto"/>
        <w:bottom w:val="none" w:sz="0" w:space="0" w:color="auto"/>
        <w:right w:val="none" w:sz="0" w:space="0" w:color="auto"/>
      </w:divBdr>
    </w:div>
    <w:div w:id="1366059719">
      <w:bodyDiv w:val="1"/>
      <w:marLeft w:val="0"/>
      <w:marRight w:val="0"/>
      <w:marTop w:val="0"/>
      <w:marBottom w:val="0"/>
      <w:divBdr>
        <w:top w:val="none" w:sz="0" w:space="0" w:color="auto"/>
        <w:left w:val="none" w:sz="0" w:space="0" w:color="auto"/>
        <w:bottom w:val="none" w:sz="0" w:space="0" w:color="auto"/>
        <w:right w:val="none" w:sz="0" w:space="0" w:color="auto"/>
      </w:divBdr>
    </w:div>
    <w:div w:id="1377660854">
      <w:bodyDiv w:val="1"/>
      <w:marLeft w:val="0"/>
      <w:marRight w:val="0"/>
      <w:marTop w:val="0"/>
      <w:marBottom w:val="0"/>
      <w:divBdr>
        <w:top w:val="none" w:sz="0" w:space="0" w:color="auto"/>
        <w:left w:val="none" w:sz="0" w:space="0" w:color="auto"/>
        <w:bottom w:val="none" w:sz="0" w:space="0" w:color="auto"/>
        <w:right w:val="none" w:sz="0" w:space="0" w:color="auto"/>
      </w:divBdr>
      <w:divsChild>
        <w:div w:id="497424745">
          <w:marLeft w:val="547"/>
          <w:marRight w:val="0"/>
          <w:marTop w:val="0"/>
          <w:marBottom w:val="0"/>
          <w:divBdr>
            <w:top w:val="none" w:sz="0" w:space="0" w:color="auto"/>
            <w:left w:val="none" w:sz="0" w:space="0" w:color="auto"/>
            <w:bottom w:val="none" w:sz="0" w:space="0" w:color="auto"/>
            <w:right w:val="none" w:sz="0" w:space="0" w:color="auto"/>
          </w:divBdr>
        </w:div>
        <w:div w:id="2047026267">
          <w:marLeft w:val="547"/>
          <w:marRight w:val="0"/>
          <w:marTop w:val="0"/>
          <w:marBottom w:val="0"/>
          <w:divBdr>
            <w:top w:val="none" w:sz="0" w:space="0" w:color="auto"/>
            <w:left w:val="none" w:sz="0" w:space="0" w:color="auto"/>
            <w:bottom w:val="none" w:sz="0" w:space="0" w:color="auto"/>
            <w:right w:val="none" w:sz="0" w:space="0" w:color="auto"/>
          </w:divBdr>
        </w:div>
      </w:divsChild>
    </w:div>
    <w:div w:id="1379279474">
      <w:bodyDiv w:val="1"/>
      <w:marLeft w:val="0"/>
      <w:marRight w:val="0"/>
      <w:marTop w:val="0"/>
      <w:marBottom w:val="0"/>
      <w:divBdr>
        <w:top w:val="none" w:sz="0" w:space="0" w:color="auto"/>
        <w:left w:val="none" w:sz="0" w:space="0" w:color="auto"/>
        <w:bottom w:val="none" w:sz="0" w:space="0" w:color="auto"/>
        <w:right w:val="none" w:sz="0" w:space="0" w:color="auto"/>
      </w:divBdr>
    </w:div>
    <w:div w:id="1398019300">
      <w:bodyDiv w:val="1"/>
      <w:marLeft w:val="0"/>
      <w:marRight w:val="0"/>
      <w:marTop w:val="0"/>
      <w:marBottom w:val="0"/>
      <w:divBdr>
        <w:top w:val="none" w:sz="0" w:space="0" w:color="auto"/>
        <w:left w:val="none" w:sz="0" w:space="0" w:color="auto"/>
        <w:bottom w:val="none" w:sz="0" w:space="0" w:color="auto"/>
        <w:right w:val="none" w:sz="0" w:space="0" w:color="auto"/>
      </w:divBdr>
      <w:divsChild>
        <w:div w:id="286355112">
          <w:marLeft w:val="0"/>
          <w:marRight w:val="0"/>
          <w:marTop w:val="0"/>
          <w:marBottom w:val="0"/>
          <w:divBdr>
            <w:top w:val="none" w:sz="0" w:space="0" w:color="auto"/>
            <w:left w:val="none" w:sz="0" w:space="0" w:color="auto"/>
            <w:bottom w:val="none" w:sz="0" w:space="0" w:color="auto"/>
            <w:right w:val="none" w:sz="0" w:space="0" w:color="auto"/>
          </w:divBdr>
          <w:divsChild>
            <w:div w:id="2018800452">
              <w:marLeft w:val="0"/>
              <w:marRight w:val="0"/>
              <w:marTop w:val="0"/>
              <w:marBottom w:val="0"/>
              <w:divBdr>
                <w:top w:val="none" w:sz="0" w:space="0" w:color="auto"/>
                <w:left w:val="none" w:sz="0" w:space="0" w:color="auto"/>
                <w:bottom w:val="none" w:sz="0" w:space="0" w:color="auto"/>
                <w:right w:val="none" w:sz="0" w:space="0" w:color="auto"/>
              </w:divBdr>
              <w:divsChild>
                <w:div w:id="45595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06844">
      <w:bodyDiv w:val="1"/>
      <w:marLeft w:val="0"/>
      <w:marRight w:val="0"/>
      <w:marTop w:val="0"/>
      <w:marBottom w:val="0"/>
      <w:divBdr>
        <w:top w:val="none" w:sz="0" w:space="0" w:color="auto"/>
        <w:left w:val="none" w:sz="0" w:space="0" w:color="auto"/>
        <w:bottom w:val="none" w:sz="0" w:space="0" w:color="auto"/>
        <w:right w:val="none" w:sz="0" w:space="0" w:color="auto"/>
      </w:divBdr>
    </w:div>
    <w:div w:id="1413966786">
      <w:bodyDiv w:val="1"/>
      <w:marLeft w:val="0"/>
      <w:marRight w:val="0"/>
      <w:marTop w:val="0"/>
      <w:marBottom w:val="0"/>
      <w:divBdr>
        <w:top w:val="none" w:sz="0" w:space="0" w:color="auto"/>
        <w:left w:val="none" w:sz="0" w:space="0" w:color="auto"/>
        <w:bottom w:val="none" w:sz="0" w:space="0" w:color="auto"/>
        <w:right w:val="none" w:sz="0" w:space="0" w:color="auto"/>
      </w:divBdr>
    </w:div>
    <w:div w:id="1414937455">
      <w:bodyDiv w:val="1"/>
      <w:marLeft w:val="0"/>
      <w:marRight w:val="0"/>
      <w:marTop w:val="0"/>
      <w:marBottom w:val="0"/>
      <w:divBdr>
        <w:top w:val="none" w:sz="0" w:space="0" w:color="auto"/>
        <w:left w:val="none" w:sz="0" w:space="0" w:color="auto"/>
        <w:bottom w:val="none" w:sz="0" w:space="0" w:color="auto"/>
        <w:right w:val="none" w:sz="0" w:space="0" w:color="auto"/>
      </w:divBdr>
    </w:div>
    <w:div w:id="1419524211">
      <w:bodyDiv w:val="1"/>
      <w:marLeft w:val="0"/>
      <w:marRight w:val="0"/>
      <w:marTop w:val="0"/>
      <w:marBottom w:val="0"/>
      <w:divBdr>
        <w:top w:val="none" w:sz="0" w:space="0" w:color="auto"/>
        <w:left w:val="none" w:sz="0" w:space="0" w:color="auto"/>
        <w:bottom w:val="none" w:sz="0" w:space="0" w:color="auto"/>
        <w:right w:val="none" w:sz="0" w:space="0" w:color="auto"/>
      </w:divBdr>
    </w:div>
    <w:div w:id="1442336040">
      <w:bodyDiv w:val="1"/>
      <w:marLeft w:val="0"/>
      <w:marRight w:val="0"/>
      <w:marTop w:val="0"/>
      <w:marBottom w:val="0"/>
      <w:divBdr>
        <w:top w:val="none" w:sz="0" w:space="0" w:color="auto"/>
        <w:left w:val="none" w:sz="0" w:space="0" w:color="auto"/>
        <w:bottom w:val="none" w:sz="0" w:space="0" w:color="auto"/>
        <w:right w:val="none" w:sz="0" w:space="0" w:color="auto"/>
      </w:divBdr>
    </w:div>
    <w:div w:id="1445688692">
      <w:bodyDiv w:val="1"/>
      <w:marLeft w:val="0"/>
      <w:marRight w:val="0"/>
      <w:marTop w:val="0"/>
      <w:marBottom w:val="0"/>
      <w:divBdr>
        <w:top w:val="none" w:sz="0" w:space="0" w:color="auto"/>
        <w:left w:val="none" w:sz="0" w:space="0" w:color="auto"/>
        <w:bottom w:val="none" w:sz="0" w:space="0" w:color="auto"/>
        <w:right w:val="none" w:sz="0" w:space="0" w:color="auto"/>
      </w:divBdr>
    </w:div>
    <w:div w:id="1464613070">
      <w:bodyDiv w:val="1"/>
      <w:marLeft w:val="0"/>
      <w:marRight w:val="0"/>
      <w:marTop w:val="0"/>
      <w:marBottom w:val="0"/>
      <w:divBdr>
        <w:top w:val="none" w:sz="0" w:space="0" w:color="auto"/>
        <w:left w:val="none" w:sz="0" w:space="0" w:color="auto"/>
        <w:bottom w:val="none" w:sz="0" w:space="0" w:color="auto"/>
        <w:right w:val="none" w:sz="0" w:space="0" w:color="auto"/>
      </w:divBdr>
    </w:div>
    <w:div w:id="1474252364">
      <w:bodyDiv w:val="1"/>
      <w:marLeft w:val="0"/>
      <w:marRight w:val="0"/>
      <w:marTop w:val="0"/>
      <w:marBottom w:val="0"/>
      <w:divBdr>
        <w:top w:val="none" w:sz="0" w:space="0" w:color="auto"/>
        <w:left w:val="none" w:sz="0" w:space="0" w:color="auto"/>
        <w:bottom w:val="none" w:sz="0" w:space="0" w:color="auto"/>
        <w:right w:val="none" w:sz="0" w:space="0" w:color="auto"/>
      </w:divBdr>
    </w:div>
    <w:div w:id="1475635676">
      <w:bodyDiv w:val="1"/>
      <w:marLeft w:val="0"/>
      <w:marRight w:val="0"/>
      <w:marTop w:val="0"/>
      <w:marBottom w:val="0"/>
      <w:divBdr>
        <w:top w:val="none" w:sz="0" w:space="0" w:color="auto"/>
        <w:left w:val="none" w:sz="0" w:space="0" w:color="auto"/>
        <w:bottom w:val="none" w:sz="0" w:space="0" w:color="auto"/>
        <w:right w:val="none" w:sz="0" w:space="0" w:color="auto"/>
      </w:divBdr>
    </w:div>
    <w:div w:id="1485047613">
      <w:bodyDiv w:val="1"/>
      <w:marLeft w:val="0"/>
      <w:marRight w:val="0"/>
      <w:marTop w:val="0"/>
      <w:marBottom w:val="0"/>
      <w:divBdr>
        <w:top w:val="none" w:sz="0" w:space="0" w:color="auto"/>
        <w:left w:val="none" w:sz="0" w:space="0" w:color="auto"/>
        <w:bottom w:val="none" w:sz="0" w:space="0" w:color="auto"/>
        <w:right w:val="none" w:sz="0" w:space="0" w:color="auto"/>
      </w:divBdr>
    </w:div>
    <w:div w:id="1488932218">
      <w:bodyDiv w:val="1"/>
      <w:marLeft w:val="0"/>
      <w:marRight w:val="0"/>
      <w:marTop w:val="0"/>
      <w:marBottom w:val="0"/>
      <w:divBdr>
        <w:top w:val="none" w:sz="0" w:space="0" w:color="auto"/>
        <w:left w:val="none" w:sz="0" w:space="0" w:color="auto"/>
        <w:bottom w:val="none" w:sz="0" w:space="0" w:color="auto"/>
        <w:right w:val="none" w:sz="0" w:space="0" w:color="auto"/>
      </w:divBdr>
    </w:div>
    <w:div w:id="1499685308">
      <w:bodyDiv w:val="1"/>
      <w:marLeft w:val="0"/>
      <w:marRight w:val="0"/>
      <w:marTop w:val="0"/>
      <w:marBottom w:val="0"/>
      <w:divBdr>
        <w:top w:val="none" w:sz="0" w:space="0" w:color="auto"/>
        <w:left w:val="none" w:sz="0" w:space="0" w:color="auto"/>
        <w:bottom w:val="none" w:sz="0" w:space="0" w:color="auto"/>
        <w:right w:val="none" w:sz="0" w:space="0" w:color="auto"/>
      </w:divBdr>
    </w:div>
    <w:div w:id="1502814223">
      <w:bodyDiv w:val="1"/>
      <w:marLeft w:val="0"/>
      <w:marRight w:val="0"/>
      <w:marTop w:val="0"/>
      <w:marBottom w:val="0"/>
      <w:divBdr>
        <w:top w:val="none" w:sz="0" w:space="0" w:color="auto"/>
        <w:left w:val="none" w:sz="0" w:space="0" w:color="auto"/>
        <w:bottom w:val="none" w:sz="0" w:space="0" w:color="auto"/>
        <w:right w:val="none" w:sz="0" w:space="0" w:color="auto"/>
      </w:divBdr>
    </w:div>
    <w:div w:id="1504514655">
      <w:bodyDiv w:val="1"/>
      <w:marLeft w:val="0"/>
      <w:marRight w:val="0"/>
      <w:marTop w:val="0"/>
      <w:marBottom w:val="0"/>
      <w:divBdr>
        <w:top w:val="none" w:sz="0" w:space="0" w:color="auto"/>
        <w:left w:val="none" w:sz="0" w:space="0" w:color="auto"/>
        <w:bottom w:val="none" w:sz="0" w:space="0" w:color="auto"/>
        <w:right w:val="none" w:sz="0" w:space="0" w:color="auto"/>
      </w:divBdr>
    </w:div>
    <w:div w:id="1509326386">
      <w:bodyDiv w:val="1"/>
      <w:marLeft w:val="0"/>
      <w:marRight w:val="0"/>
      <w:marTop w:val="0"/>
      <w:marBottom w:val="0"/>
      <w:divBdr>
        <w:top w:val="none" w:sz="0" w:space="0" w:color="auto"/>
        <w:left w:val="none" w:sz="0" w:space="0" w:color="auto"/>
        <w:bottom w:val="none" w:sz="0" w:space="0" w:color="auto"/>
        <w:right w:val="none" w:sz="0" w:space="0" w:color="auto"/>
      </w:divBdr>
    </w:div>
    <w:div w:id="1510867460">
      <w:bodyDiv w:val="1"/>
      <w:marLeft w:val="0"/>
      <w:marRight w:val="0"/>
      <w:marTop w:val="0"/>
      <w:marBottom w:val="0"/>
      <w:divBdr>
        <w:top w:val="none" w:sz="0" w:space="0" w:color="auto"/>
        <w:left w:val="none" w:sz="0" w:space="0" w:color="auto"/>
        <w:bottom w:val="none" w:sz="0" w:space="0" w:color="auto"/>
        <w:right w:val="none" w:sz="0" w:space="0" w:color="auto"/>
      </w:divBdr>
    </w:div>
    <w:div w:id="1511526205">
      <w:bodyDiv w:val="1"/>
      <w:marLeft w:val="0"/>
      <w:marRight w:val="0"/>
      <w:marTop w:val="0"/>
      <w:marBottom w:val="0"/>
      <w:divBdr>
        <w:top w:val="none" w:sz="0" w:space="0" w:color="auto"/>
        <w:left w:val="none" w:sz="0" w:space="0" w:color="auto"/>
        <w:bottom w:val="none" w:sz="0" w:space="0" w:color="auto"/>
        <w:right w:val="none" w:sz="0" w:space="0" w:color="auto"/>
      </w:divBdr>
    </w:div>
    <w:div w:id="1523085384">
      <w:bodyDiv w:val="1"/>
      <w:marLeft w:val="0"/>
      <w:marRight w:val="0"/>
      <w:marTop w:val="0"/>
      <w:marBottom w:val="0"/>
      <w:divBdr>
        <w:top w:val="none" w:sz="0" w:space="0" w:color="auto"/>
        <w:left w:val="none" w:sz="0" w:space="0" w:color="auto"/>
        <w:bottom w:val="none" w:sz="0" w:space="0" w:color="auto"/>
        <w:right w:val="none" w:sz="0" w:space="0" w:color="auto"/>
      </w:divBdr>
    </w:div>
    <w:div w:id="1534613614">
      <w:bodyDiv w:val="1"/>
      <w:marLeft w:val="0"/>
      <w:marRight w:val="0"/>
      <w:marTop w:val="0"/>
      <w:marBottom w:val="0"/>
      <w:divBdr>
        <w:top w:val="none" w:sz="0" w:space="0" w:color="auto"/>
        <w:left w:val="none" w:sz="0" w:space="0" w:color="auto"/>
        <w:bottom w:val="none" w:sz="0" w:space="0" w:color="auto"/>
        <w:right w:val="none" w:sz="0" w:space="0" w:color="auto"/>
      </w:divBdr>
    </w:div>
    <w:div w:id="1540167808">
      <w:bodyDiv w:val="1"/>
      <w:marLeft w:val="0"/>
      <w:marRight w:val="0"/>
      <w:marTop w:val="0"/>
      <w:marBottom w:val="0"/>
      <w:divBdr>
        <w:top w:val="none" w:sz="0" w:space="0" w:color="auto"/>
        <w:left w:val="none" w:sz="0" w:space="0" w:color="auto"/>
        <w:bottom w:val="none" w:sz="0" w:space="0" w:color="auto"/>
        <w:right w:val="none" w:sz="0" w:space="0" w:color="auto"/>
      </w:divBdr>
    </w:div>
    <w:div w:id="1541897575">
      <w:bodyDiv w:val="1"/>
      <w:marLeft w:val="0"/>
      <w:marRight w:val="0"/>
      <w:marTop w:val="0"/>
      <w:marBottom w:val="0"/>
      <w:divBdr>
        <w:top w:val="none" w:sz="0" w:space="0" w:color="auto"/>
        <w:left w:val="none" w:sz="0" w:space="0" w:color="auto"/>
        <w:bottom w:val="none" w:sz="0" w:space="0" w:color="auto"/>
        <w:right w:val="none" w:sz="0" w:space="0" w:color="auto"/>
      </w:divBdr>
    </w:div>
    <w:div w:id="1543328738">
      <w:bodyDiv w:val="1"/>
      <w:marLeft w:val="0"/>
      <w:marRight w:val="0"/>
      <w:marTop w:val="0"/>
      <w:marBottom w:val="0"/>
      <w:divBdr>
        <w:top w:val="none" w:sz="0" w:space="0" w:color="auto"/>
        <w:left w:val="none" w:sz="0" w:space="0" w:color="auto"/>
        <w:bottom w:val="none" w:sz="0" w:space="0" w:color="auto"/>
        <w:right w:val="none" w:sz="0" w:space="0" w:color="auto"/>
      </w:divBdr>
      <w:divsChild>
        <w:div w:id="1683162912">
          <w:marLeft w:val="0"/>
          <w:marRight w:val="0"/>
          <w:marTop w:val="0"/>
          <w:marBottom w:val="0"/>
          <w:divBdr>
            <w:top w:val="none" w:sz="0" w:space="0" w:color="auto"/>
            <w:left w:val="none" w:sz="0" w:space="0" w:color="auto"/>
            <w:bottom w:val="none" w:sz="0" w:space="0" w:color="auto"/>
            <w:right w:val="none" w:sz="0" w:space="0" w:color="auto"/>
          </w:divBdr>
          <w:divsChild>
            <w:div w:id="1136802943">
              <w:marLeft w:val="0"/>
              <w:marRight w:val="0"/>
              <w:marTop w:val="0"/>
              <w:marBottom w:val="0"/>
              <w:divBdr>
                <w:top w:val="none" w:sz="0" w:space="0" w:color="auto"/>
                <w:left w:val="none" w:sz="0" w:space="0" w:color="auto"/>
                <w:bottom w:val="none" w:sz="0" w:space="0" w:color="auto"/>
                <w:right w:val="none" w:sz="0" w:space="0" w:color="auto"/>
              </w:divBdr>
              <w:divsChild>
                <w:div w:id="9401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72943">
      <w:bodyDiv w:val="1"/>
      <w:marLeft w:val="0"/>
      <w:marRight w:val="0"/>
      <w:marTop w:val="0"/>
      <w:marBottom w:val="0"/>
      <w:divBdr>
        <w:top w:val="none" w:sz="0" w:space="0" w:color="auto"/>
        <w:left w:val="none" w:sz="0" w:space="0" w:color="auto"/>
        <w:bottom w:val="none" w:sz="0" w:space="0" w:color="auto"/>
        <w:right w:val="none" w:sz="0" w:space="0" w:color="auto"/>
      </w:divBdr>
    </w:div>
    <w:div w:id="1573587346">
      <w:bodyDiv w:val="1"/>
      <w:marLeft w:val="0"/>
      <w:marRight w:val="0"/>
      <w:marTop w:val="0"/>
      <w:marBottom w:val="0"/>
      <w:divBdr>
        <w:top w:val="none" w:sz="0" w:space="0" w:color="auto"/>
        <w:left w:val="none" w:sz="0" w:space="0" w:color="auto"/>
        <w:bottom w:val="none" w:sz="0" w:space="0" w:color="auto"/>
        <w:right w:val="none" w:sz="0" w:space="0" w:color="auto"/>
      </w:divBdr>
    </w:div>
    <w:div w:id="1574047610">
      <w:bodyDiv w:val="1"/>
      <w:marLeft w:val="0"/>
      <w:marRight w:val="0"/>
      <w:marTop w:val="0"/>
      <w:marBottom w:val="0"/>
      <w:divBdr>
        <w:top w:val="none" w:sz="0" w:space="0" w:color="auto"/>
        <w:left w:val="none" w:sz="0" w:space="0" w:color="auto"/>
        <w:bottom w:val="none" w:sz="0" w:space="0" w:color="auto"/>
        <w:right w:val="none" w:sz="0" w:space="0" w:color="auto"/>
      </w:divBdr>
    </w:div>
    <w:div w:id="1588073017">
      <w:bodyDiv w:val="1"/>
      <w:marLeft w:val="0"/>
      <w:marRight w:val="0"/>
      <w:marTop w:val="0"/>
      <w:marBottom w:val="0"/>
      <w:divBdr>
        <w:top w:val="none" w:sz="0" w:space="0" w:color="auto"/>
        <w:left w:val="none" w:sz="0" w:space="0" w:color="auto"/>
        <w:bottom w:val="none" w:sz="0" w:space="0" w:color="auto"/>
        <w:right w:val="none" w:sz="0" w:space="0" w:color="auto"/>
      </w:divBdr>
    </w:div>
    <w:div w:id="1605261294">
      <w:bodyDiv w:val="1"/>
      <w:marLeft w:val="0"/>
      <w:marRight w:val="0"/>
      <w:marTop w:val="0"/>
      <w:marBottom w:val="0"/>
      <w:divBdr>
        <w:top w:val="none" w:sz="0" w:space="0" w:color="auto"/>
        <w:left w:val="none" w:sz="0" w:space="0" w:color="auto"/>
        <w:bottom w:val="none" w:sz="0" w:space="0" w:color="auto"/>
        <w:right w:val="none" w:sz="0" w:space="0" w:color="auto"/>
      </w:divBdr>
    </w:div>
    <w:div w:id="1618491544">
      <w:bodyDiv w:val="1"/>
      <w:marLeft w:val="0"/>
      <w:marRight w:val="0"/>
      <w:marTop w:val="0"/>
      <w:marBottom w:val="0"/>
      <w:divBdr>
        <w:top w:val="none" w:sz="0" w:space="0" w:color="auto"/>
        <w:left w:val="none" w:sz="0" w:space="0" w:color="auto"/>
        <w:bottom w:val="none" w:sz="0" w:space="0" w:color="auto"/>
        <w:right w:val="none" w:sz="0" w:space="0" w:color="auto"/>
      </w:divBdr>
    </w:div>
    <w:div w:id="1642808957">
      <w:bodyDiv w:val="1"/>
      <w:marLeft w:val="0"/>
      <w:marRight w:val="0"/>
      <w:marTop w:val="0"/>
      <w:marBottom w:val="0"/>
      <w:divBdr>
        <w:top w:val="none" w:sz="0" w:space="0" w:color="auto"/>
        <w:left w:val="none" w:sz="0" w:space="0" w:color="auto"/>
        <w:bottom w:val="none" w:sz="0" w:space="0" w:color="auto"/>
        <w:right w:val="none" w:sz="0" w:space="0" w:color="auto"/>
      </w:divBdr>
    </w:div>
    <w:div w:id="1655715295">
      <w:bodyDiv w:val="1"/>
      <w:marLeft w:val="0"/>
      <w:marRight w:val="0"/>
      <w:marTop w:val="0"/>
      <w:marBottom w:val="0"/>
      <w:divBdr>
        <w:top w:val="none" w:sz="0" w:space="0" w:color="auto"/>
        <w:left w:val="none" w:sz="0" w:space="0" w:color="auto"/>
        <w:bottom w:val="none" w:sz="0" w:space="0" w:color="auto"/>
        <w:right w:val="none" w:sz="0" w:space="0" w:color="auto"/>
      </w:divBdr>
    </w:div>
    <w:div w:id="1658151890">
      <w:bodyDiv w:val="1"/>
      <w:marLeft w:val="0"/>
      <w:marRight w:val="0"/>
      <w:marTop w:val="0"/>
      <w:marBottom w:val="0"/>
      <w:divBdr>
        <w:top w:val="none" w:sz="0" w:space="0" w:color="auto"/>
        <w:left w:val="none" w:sz="0" w:space="0" w:color="auto"/>
        <w:bottom w:val="none" w:sz="0" w:space="0" w:color="auto"/>
        <w:right w:val="none" w:sz="0" w:space="0" w:color="auto"/>
      </w:divBdr>
    </w:div>
    <w:div w:id="1666980559">
      <w:bodyDiv w:val="1"/>
      <w:marLeft w:val="0"/>
      <w:marRight w:val="0"/>
      <w:marTop w:val="0"/>
      <w:marBottom w:val="0"/>
      <w:divBdr>
        <w:top w:val="none" w:sz="0" w:space="0" w:color="auto"/>
        <w:left w:val="none" w:sz="0" w:space="0" w:color="auto"/>
        <w:bottom w:val="none" w:sz="0" w:space="0" w:color="auto"/>
        <w:right w:val="none" w:sz="0" w:space="0" w:color="auto"/>
      </w:divBdr>
    </w:div>
    <w:div w:id="1671565608">
      <w:bodyDiv w:val="1"/>
      <w:marLeft w:val="0"/>
      <w:marRight w:val="0"/>
      <w:marTop w:val="0"/>
      <w:marBottom w:val="0"/>
      <w:divBdr>
        <w:top w:val="none" w:sz="0" w:space="0" w:color="auto"/>
        <w:left w:val="none" w:sz="0" w:space="0" w:color="auto"/>
        <w:bottom w:val="none" w:sz="0" w:space="0" w:color="auto"/>
        <w:right w:val="none" w:sz="0" w:space="0" w:color="auto"/>
      </w:divBdr>
    </w:div>
    <w:div w:id="1684280521">
      <w:bodyDiv w:val="1"/>
      <w:marLeft w:val="0"/>
      <w:marRight w:val="0"/>
      <w:marTop w:val="0"/>
      <w:marBottom w:val="0"/>
      <w:divBdr>
        <w:top w:val="none" w:sz="0" w:space="0" w:color="auto"/>
        <w:left w:val="none" w:sz="0" w:space="0" w:color="auto"/>
        <w:bottom w:val="none" w:sz="0" w:space="0" w:color="auto"/>
        <w:right w:val="none" w:sz="0" w:space="0" w:color="auto"/>
      </w:divBdr>
    </w:div>
    <w:div w:id="1684553608">
      <w:bodyDiv w:val="1"/>
      <w:marLeft w:val="0"/>
      <w:marRight w:val="0"/>
      <w:marTop w:val="0"/>
      <w:marBottom w:val="0"/>
      <w:divBdr>
        <w:top w:val="none" w:sz="0" w:space="0" w:color="auto"/>
        <w:left w:val="none" w:sz="0" w:space="0" w:color="auto"/>
        <w:bottom w:val="none" w:sz="0" w:space="0" w:color="auto"/>
        <w:right w:val="none" w:sz="0" w:space="0" w:color="auto"/>
      </w:divBdr>
    </w:div>
    <w:div w:id="1684935270">
      <w:bodyDiv w:val="1"/>
      <w:marLeft w:val="0"/>
      <w:marRight w:val="0"/>
      <w:marTop w:val="0"/>
      <w:marBottom w:val="0"/>
      <w:divBdr>
        <w:top w:val="none" w:sz="0" w:space="0" w:color="auto"/>
        <w:left w:val="none" w:sz="0" w:space="0" w:color="auto"/>
        <w:bottom w:val="none" w:sz="0" w:space="0" w:color="auto"/>
        <w:right w:val="none" w:sz="0" w:space="0" w:color="auto"/>
      </w:divBdr>
    </w:div>
    <w:div w:id="1687902924">
      <w:bodyDiv w:val="1"/>
      <w:marLeft w:val="0"/>
      <w:marRight w:val="0"/>
      <w:marTop w:val="0"/>
      <w:marBottom w:val="0"/>
      <w:divBdr>
        <w:top w:val="none" w:sz="0" w:space="0" w:color="auto"/>
        <w:left w:val="none" w:sz="0" w:space="0" w:color="auto"/>
        <w:bottom w:val="none" w:sz="0" w:space="0" w:color="auto"/>
        <w:right w:val="none" w:sz="0" w:space="0" w:color="auto"/>
      </w:divBdr>
    </w:div>
    <w:div w:id="1694765736">
      <w:bodyDiv w:val="1"/>
      <w:marLeft w:val="0"/>
      <w:marRight w:val="0"/>
      <w:marTop w:val="0"/>
      <w:marBottom w:val="0"/>
      <w:divBdr>
        <w:top w:val="none" w:sz="0" w:space="0" w:color="auto"/>
        <w:left w:val="none" w:sz="0" w:space="0" w:color="auto"/>
        <w:bottom w:val="none" w:sz="0" w:space="0" w:color="auto"/>
        <w:right w:val="none" w:sz="0" w:space="0" w:color="auto"/>
      </w:divBdr>
      <w:divsChild>
        <w:div w:id="1306663086">
          <w:marLeft w:val="0"/>
          <w:marRight w:val="0"/>
          <w:marTop w:val="0"/>
          <w:marBottom w:val="0"/>
          <w:divBdr>
            <w:top w:val="none" w:sz="0" w:space="0" w:color="auto"/>
            <w:left w:val="none" w:sz="0" w:space="0" w:color="auto"/>
            <w:bottom w:val="none" w:sz="0" w:space="0" w:color="auto"/>
            <w:right w:val="none" w:sz="0" w:space="0" w:color="auto"/>
          </w:divBdr>
          <w:divsChild>
            <w:div w:id="194538575">
              <w:marLeft w:val="0"/>
              <w:marRight w:val="0"/>
              <w:marTop w:val="0"/>
              <w:marBottom w:val="0"/>
              <w:divBdr>
                <w:top w:val="none" w:sz="0" w:space="0" w:color="auto"/>
                <w:left w:val="none" w:sz="0" w:space="0" w:color="auto"/>
                <w:bottom w:val="none" w:sz="0" w:space="0" w:color="auto"/>
                <w:right w:val="none" w:sz="0" w:space="0" w:color="auto"/>
              </w:divBdr>
              <w:divsChild>
                <w:div w:id="4003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75514">
      <w:bodyDiv w:val="1"/>
      <w:marLeft w:val="0"/>
      <w:marRight w:val="0"/>
      <w:marTop w:val="0"/>
      <w:marBottom w:val="0"/>
      <w:divBdr>
        <w:top w:val="none" w:sz="0" w:space="0" w:color="auto"/>
        <w:left w:val="none" w:sz="0" w:space="0" w:color="auto"/>
        <w:bottom w:val="none" w:sz="0" w:space="0" w:color="auto"/>
        <w:right w:val="none" w:sz="0" w:space="0" w:color="auto"/>
      </w:divBdr>
    </w:div>
    <w:div w:id="1706565727">
      <w:bodyDiv w:val="1"/>
      <w:marLeft w:val="0"/>
      <w:marRight w:val="0"/>
      <w:marTop w:val="0"/>
      <w:marBottom w:val="0"/>
      <w:divBdr>
        <w:top w:val="none" w:sz="0" w:space="0" w:color="auto"/>
        <w:left w:val="none" w:sz="0" w:space="0" w:color="auto"/>
        <w:bottom w:val="none" w:sz="0" w:space="0" w:color="auto"/>
        <w:right w:val="none" w:sz="0" w:space="0" w:color="auto"/>
      </w:divBdr>
      <w:divsChild>
        <w:div w:id="2011323071">
          <w:marLeft w:val="0"/>
          <w:marRight w:val="0"/>
          <w:marTop w:val="0"/>
          <w:marBottom w:val="0"/>
          <w:divBdr>
            <w:top w:val="none" w:sz="0" w:space="0" w:color="auto"/>
            <w:left w:val="none" w:sz="0" w:space="0" w:color="auto"/>
            <w:bottom w:val="none" w:sz="0" w:space="0" w:color="auto"/>
            <w:right w:val="none" w:sz="0" w:space="0" w:color="auto"/>
          </w:divBdr>
          <w:divsChild>
            <w:div w:id="465703316">
              <w:marLeft w:val="0"/>
              <w:marRight w:val="0"/>
              <w:marTop w:val="0"/>
              <w:marBottom w:val="0"/>
              <w:divBdr>
                <w:top w:val="none" w:sz="0" w:space="0" w:color="auto"/>
                <w:left w:val="none" w:sz="0" w:space="0" w:color="auto"/>
                <w:bottom w:val="none" w:sz="0" w:space="0" w:color="auto"/>
                <w:right w:val="none" w:sz="0" w:space="0" w:color="auto"/>
              </w:divBdr>
              <w:divsChild>
                <w:div w:id="1313870199">
                  <w:marLeft w:val="0"/>
                  <w:marRight w:val="0"/>
                  <w:marTop w:val="0"/>
                  <w:marBottom w:val="0"/>
                  <w:divBdr>
                    <w:top w:val="none" w:sz="0" w:space="0" w:color="auto"/>
                    <w:left w:val="none" w:sz="0" w:space="0" w:color="auto"/>
                    <w:bottom w:val="none" w:sz="0" w:space="0" w:color="auto"/>
                    <w:right w:val="none" w:sz="0" w:space="0" w:color="auto"/>
                  </w:divBdr>
                  <w:divsChild>
                    <w:div w:id="21433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907637">
      <w:bodyDiv w:val="1"/>
      <w:marLeft w:val="0"/>
      <w:marRight w:val="0"/>
      <w:marTop w:val="0"/>
      <w:marBottom w:val="0"/>
      <w:divBdr>
        <w:top w:val="none" w:sz="0" w:space="0" w:color="auto"/>
        <w:left w:val="none" w:sz="0" w:space="0" w:color="auto"/>
        <w:bottom w:val="none" w:sz="0" w:space="0" w:color="auto"/>
        <w:right w:val="none" w:sz="0" w:space="0" w:color="auto"/>
      </w:divBdr>
    </w:div>
    <w:div w:id="1712683464">
      <w:bodyDiv w:val="1"/>
      <w:marLeft w:val="0"/>
      <w:marRight w:val="0"/>
      <w:marTop w:val="0"/>
      <w:marBottom w:val="0"/>
      <w:divBdr>
        <w:top w:val="none" w:sz="0" w:space="0" w:color="auto"/>
        <w:left w:val="none" w:sz="0" w:space="0" w:color="auto"/>
        <w:bottom w:val="none" w:sz="0" w:space="0" w:color="auto"/>
        <w:right w:val="none" w:sz="0" w:space="0" w:color="auto"/>
      </w:divBdr>
    </w:div>
    <w:div w:id="1725713324">
      <w:bodyDiv w:val="1"/>
      <w:marLeft w:val="0"/>
      <w:marRight w:val="0"/>
      <w:marTop w:val="0"/>
      <w:marBottom w:val="0"/>
      <w:divBdr>
        <w:top w:val="none" w:sz="0" w:space="0" w:color="auto"/>
        <w:left w:val="none" w:sz="0" w:space="0" w:color="auto"/>
        <w:bottom w:val="none" w:sz="0" w:space="0" w:color="auto"/>
        <w:right w:val="none" w:sz="0" w:space="0" w:color="auto"/>
      </w:divBdr>
    </w:div>
    <w:div w:id="1742213439">
      <w:bodyDiv w:val="1"/>
      <w:marLeft w:val="0"/>
      <w:marRight w:val="0"/>
      <w:marTop w:val="0"/>
      <w:marBottom w:val="0"/>
      <w:divBdr>
        <w:top w:val="none" w:sz="0" w:space="0" w:color="auto"/>
        <w:left w:val="none" w:sz="0" w:space="0" w:color="auto"/>
        <w:bottom w:val="none" w:sz="0" w:space="0" w:color="auto"/>
        <w:right w:val="none" w:sz="0" w:space="0" w:color="auto"/>
      </w:divBdr>
      <w:divsChild>
        <w:div w:id="642782452">
          <w:marLeft w:val="547"/>
          <w:marRight w:val="0"/>
          <w:marTop w:val="0"/>
          <w:marBottom w:val="0"/>
          <w:divBdr>
            <w:top w:val="none" w:sz="0" w:space="0" w:color="auto"/>
            <w:left w:val="none" w:sz="0" w:space="0" w:color="auto"/>
            <w:bottom w:val="none" w:sz="0" w:space="0" w:color="auto"/>
            <w:right w:val="none" w:sz="0" w:space="0" w:color="auto"/>
          </w:divBdr>
        </w:div>
        <w:div w:id="2076194838">
          <w:marLeft w:val="547"/>
          <w:marRight w:val="0"/>
          <w:marTop w:val="0"/>
          <w:marBottom w:val="0"/>
          <w:divBdr>
            <w:top w:val="none" w:sz="0" w:space="0" w:color="auto"/>
            <w:left w:val="none" w:sz="0" w:space="0" w:color="auto"/>
            <w:bottom w:val="none" w:sz="0" w:space="0" w:color="auto"/>
            <w:right w:val="none" w:sz="0" w:space="0" w:color="auto"/>
          </w:divBdr>
        </w:div>
        <w:div w:id="1252273112">
          <w:marLeft w:val="547"/>
          <w:marRight w:val="0"/>
          <w:marTop w:val="0"/>
          <w:marBottom w:val="0"/>
          <w:divBdr>
            <w:top w:val="none" w:sz="0" w:space="0" w:color="auto"/>
            <w:left w:val="none" w:sz="0" w:space="0" w:color="auto"/>
            <w:bottom w:val="none" w:sz="0" w:space="0" w:color="auto"/>
            <w:right w:val="none" w:sz="0" w:space="0" w:color="auto"/>
          </w:divBdr>
        </w:div>
        <w:div w:id="233321241">
          <w:marLeft w:val="547"/>
          <w:marRight w:val="0"/>
          <w:marTop w:val="0"/>
          <w:marBottom w:val="0"/>
          <w:divBdr>
            <w:top w:val="none" w:sz="0" w:space="0" w:color="auto"/>
            <w:left w:val="none" w:sz="0" w:space="0" w:color="auto"/>
            <w:bottom w:val="none" w:sz="0" w:space="0" w:color="auto"/>
            <w:right w:val="none" w:sz="0" w:space="0" w:color="auto"/>
          </w:divBdr>
        </w:div>
      </w:divsChild>
    </w:div>
    <w:div w:id="1743212038">
      <w:bodyDiv w:val="1"/>
      <w:marLeft w:val="0"/>
      <w:marRight w:val="0"/>
      <w:marTop w:val="0"/>
      <w:marBottom w:val="0"/>
      <w:divBdr>
        <w:top w:val="none" w:sz="0" w:space="0" w:color="auto"/>
        <w:left w:val="none" w:sz="0" w:space="0" w:color="auto"/>
        <w:bottom w:val="none" w:sz="0" w:space="0" w:color="auto"/>
        <w:right w:val="none" w:sz="0" w:space="0" w:color="auto"/>
      </w:divBdr>
    </w:div>
    <w:div w:id="1746412086">
      <w:bodyDiv w:val="1"/>
      <w:marLeft w:val="0"/>
      <w:marRight w:val="0"/>
      <w:marTop w:val="0"/>
      <w:marBottom w:val="0"/>
      <w:divBdr>
        <w:top w:val="none" w:sz="0" w:space="0" w:color="auto"/>
        <w:left w:val="none" w:sz="0" w:space="0" w:color="auto"/>
        <w:bottom w:val="none" w:sz="0" w:space="0" w:color="auto"/>
        <w:right w:val="none" w:sz="0" w:space="0" w:color="auto"/>
      </w:divBdr>
    </w:div>
    <w:div w:id="1750035070">
      <w:bodyDiv w:val="1"/>
      <w:marLeft w:val="0"/>
      <w:marRight w:val="0"/>
      <w:marTop w:val="0"/>
      <w:marBottom w:val="0"/>
      <w:divBdr>
        <w:top w:val="none" w:sz="0" w:space="0" w:color="auto"/>
        <w:left w:val="none" w:sz="0" w:space="0" w:color="auto"/>
        <w:bottom w:val="none" w:sz="0" w:space="0" w:color="auto"/>
        <w:right w:val="none" w:sz="0" w:space="0" w:color="auto"/>
      </w:divBdr>
    </w:div>
    <w:div w:id="1750691563">
      <w:bodyDiv w:val="1"/>
      <w:marLeft w:val="0"/>
      <w:marRight w:val="0"/>
      <w:marTop w:val="0"/>
      <w:marBottom w:val="0"/>
      <w:divBdr>
        <w:top w:val="none" w:sz="0" w:space="0" w:color="auto"/>
        <w:left w:val="none" w:sz="0" w:space="0" w:color="auto"/>
        <w:bottom w:val="none" w:sz="0" w:space="0" w:color="auto"/>
        <w:right w:val="none" w:sz="0" w:space="0" w:color="auto"/>
      </w:divBdr>
      <w:divsChild>
        <w:div w:id="226843474">
          <w:marLeft w:val="547"/>
          <w:marRight w:val="0"/>
          <w:marTop w:val="0"/>
          <w:marBottom w:val="0"/>
          <w:divBdr>
            <w:top w:val="none" w:sz="0" w:space="0" w:color="auto"/>
            <w:left w:val="none" w:sz="0" w:space="0" w:color="auto"/>
            <w:bottom w:val="none" w:sz="0" w:space="0" w:color="auto"/>
            <w:right w:val="none" w:sz="0" w:space="0" w:color="auto"/>
          </w:divBdr>
        </w:div>
        <w:div w:id="757410041">
          <w:marLeft w:val="547"/>
          <w:marRight w:val="0"/>
          <w:marTop w:val="0"/>
          <w:marBottom w:val="0"/>
          <w:divBdr>
            <w:top w:val="none" w:sz="0" w:space="0" w:color="auto"/>
            <w:left w:val="none" w:sz="0" w:space="0" w:color="auto"/>
            <w:bottom w:val="none" w:sz="0" w:space="0" w:color="auto"/>
            <w:right w:val="none" w:sz="0" w:space="0" w:color="auto"/>
          </w:divBdr>
        </w:div>
      </w:divsChild>
    </w:div>
    <w:div w:id="1779981360">
      <w:bodyDiv w:val="1"/>
      <w:marLeft w:val="0"/>
      <w:marRight w:val="0"/>
      <w:marTop w:val="0"/>
      <w:marBottom w:val="0"/>
      <w:divBdr>
        <w:top w:val="none" w:sz="0" w:space="0" w:color="auto"/>
        <w:left w:val="none" w:sz="0" w:space="0" w:color="auto"/>
        <w:bottom w:val="none" w:sz="0" w:space="0" w:color="auto"/>
        <w:right w:val="none" w:sz="0" w:space="0" w:color="auto"/>
      </w:divBdr>
      <w:divsChild>
        <w:div w:id="1196651911">
          <w:marLeft w:val="0"/>
          <w:marRight w:val="0"/>
          <w:marTop w:val="0"/>
          <w:marBottom w:val="0"/>
          <w:divBdr>
            <w:top w:val="none" w:sz="0" w:space="0" w:color="auto"/>
            <w:left w:val="none" w:sz="0" w:space="0" w:color="auto"/>
            <w:bottom w:val="none" w:sz="0" w:space="0" w:color="auto"/>
            <w:right w:val="none" w:sz="0" w:space="0" w:color="auto"/>
          </w:divBdr>
          <w:divsChild>
            <w:div w:id="1110470112">
              <w:marLeft w:val="0"/>
              <w:marRight w:val="0"/>
              <w:marTop w:val="0"/>
              <w:marBottom w:val="0"/>
              <w:divBdr>
                <w:top w:val="none" w:sz="0" w:space="0" w:color="auto"/>
                <w:left w:val="none" w:sz="0" w:space="0" w:color="auto"/>
                <w:bottom w:val="none" w:sz="0" w:space="0" w:color="auto"/>
                <w:right w:val="none" w:sz="0" w:space="0" w:color="auto"/>
              </w:divBdr>
              <w:divsChild>
                <w:div w:id="116998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28777">
      <w:bodyDiv w:val="1"/>
      <w:marLeft w:val="0"/>
      <w:marRight w:val="0"/>
      <w:marTop w:val="0"/>
      <w:marBottom w:val="0"/>
      <w:divBdr>
        <w:top w:val="none" w:sz="0" w:space="0" w:color="auto"/>
        <w:left w:val="none" w:sz="0" w:space="0" w:color="auto"/>
        <w:bottom w:val="none" w:sz="0" w:space="0" w:color="auto"/>
        <w:right w:val="none" w:sz="0" w:space="0" w:color="auto"/>
      </w:divBdr>
    </w:div>
    <w:div w:id="1801914918">
      <w:bodyDiv w:val="1"/>
      <w:marLeft w:val="0"/>
      <w:marRight w:val="0"/>
      <w:marTop w:val="0"/>
      <w:marBottom w:val="0"/>
      <w:divBdr>
        <w:top w:val="none" w:sz="0" w:space="0" w:color="auto"/>
        <w:left w:val="none" w:sz="0" w:space="0" w:color="auto"/>
        <w:bottom w:val="none" w:sz="0" w:space="0" w:color="auto"/>
        <w:right w:val="none" w:sz="0" w:space="0" w:color="auto"/>
      </w:divBdr>
    </w:div>
    <w:div w:id="1802721870">
      <w:bodyDiv w:val="1"/>
      <w:marLeft w:val="0"/>
      <w:marRight w:val="0"/>
      <w:marTop w:val="0"/>
      <w:marBottom w:val="0"/>
      <w:divBdr>
        <w:top w:val="none" w:sz="0" w:space="0" w:color="auto"/>
        <w:left w:val="none" w:sz="0" w:space="0" w:color="auto"/>
        <w:bottom w:val="none" w:sz="0" w:space="0" w:color="auto"/>
        <w:right w:val="none" w:sz="0" w:space="0" w:color="auto"/>
      </w:divBdr>
    </w:div>
    <w:div w:id="1829205245">
      <w:bodyDiv w:val="1"/>
      <w:marLeft w:val="0"/>
      <w:marRight w:val="0"/>
      <w:marTop w:val="0"/>
      <w:marBottom w:val="0"/>
      <w:divBdr>
        <w:top w:val="none" w:sz="0" w:space="0" w:color="auto"/>
        <w:left w:val="none" w:sz="0" w:space="0" w:color="auto"/>
        <w:bottom w:val="none" w:sz="0" w:space="0" w:color="auto"/>
        <w:right w:val="none" w:sz="0" w:space="0" w:color="auto"/>
      </w:divBdr>
    </w:div>
    <w:div w:id="1833984335">
      <w:bodyDiv w:val="1"/>
      <w:marLeft w:val="0"/>
      <w:marRight w:val="0"/>
      <w:marTop w:val="0"/>
      <w:marBottom w:val="0"/>
      <w:divBdr>
        <w:top w:val="none" w:sz="0" w:space="0" w:color="auto"/>
        <w:left w:val="none" w:sz="0" w:space="0" w:color="auto"/>
        <w:bottom w:val="none" w:sz="0" w:space="0" w:color="auto"/>
        <w:right w:val="none" w:sz="0" w:space="0" w:color="auto"/>
      </w:divBdr>
    </w:div>
    <w:div w:id="1834418974">
      <w:bodyDiv w:val="1"/>
      <w:marLeft w:val="0"/>
      <w:marRight w:val="0"/>
      <w:marTop w:val="0"/>
      <w:marBottom w:val="0"/>
      <w:divBdr>
        <w:top w:val="none" w:sz="0" w:space="0" w:color="auto"/>
        <w:left w:val="none" w:sz="0" w:space="0" w:color="auto"/>
        <w:bottom w:val="none" w:sz="0" w:space="0" w:color="auto"/>
        <w:right w:val="none" w:sz="0" w:space="0" w:color="auto"/>
      </w:divBdr>
    </w:div>
    <w:div w:id="1839735122">
      <w:bodyDiv w:val="1"/>
      <w:marLeft w:val="0"/>
      <w:marRight w:val="0"/>
      <w:marTop w:val="0"/>
      <w:marBottom w:val="0"/>
      <w:divBdr>
        <w:top w:val="none" w:sz="0" w:space="0" w:color="auto"/>
        <w:left w:val="none" w:sz="0" w:space="0" w:color="auto"/>
        <w:bottom w:val="none" w:sz="0" w:space="0" w:color="auto"/>
        <w:right w:val="none" w:sz="0" w:space="0" w:color="auto"/>
      </w:divBdr>
    </w:div>
    <w:div w:id="1847206036">
      <w:bodyDiv w:val="1"/>
      <w:marLeft w:val="0"/>
      <w:marRight w:val="0"/>
      <w:marTop w:val="0"/>
      <w:marBottom w:val="0"/>
      <w:divBdr>
        <w:top w:val="none" w:sz="0" w:space="0" w:color="auto"/>
        <w:left w:val="none" w:sz="0" w:space="0" w:color="auto"/>
        <w:bottom w:val="none" w:sz="0" w:space="0" w:color="auto"/>
        <w:right w:val="none" w:sz="0" w:space="0" w:color="auto"/>
      </w:divBdr>
    </w:div>
    <w:div w:id="1849441157">
      <w:bodyDiv w:val="1"/>
      <w:marLeft w:val="0"/>
      <w:marRight w:val="0"/>
      <w:marTop w:val="0"/>
      <w:marBottom w:val="0"/>
      <w:divBdr>
        <w:top w:val="none" w:sz="0" w:space="0" w:color="auto"/>
        <w:left w:val="none" w:sz="0" w:space="0" w:color="auto"/>
        <w:bottom w:val="none" w:sz="0" w:space="0" w:color="auto"/>
        <w:right w:val="none" w:sz="0" w:space="0" w:color="auto"/>
      </w:divBdr>
    </w:div>
    <w:div w:id="1869373428">
      <w:bodyDiv w:val="1"/>
      <w:marLeft w:val="0"/>
      <w:marRight w:val="0"/>
      <w:marTop w:val="0"/>
      <w:marBottom w:val="0"/>
      <w:divBdr>
        <w:top w:val="none" w:sz="0" w:space="0" w:color="auto"/>
        <w:left w:val="none" w:sz="0" w:space="0" w:color="auto"/>
        <w:bottom w:val="none" w:sz="0" w:space="0" w:color="auto"/>
        <w:right w:val="none" w:sz="0" w:space="0" w:color="auto"/>
      </w:divBdr>
    </w:div>
    <w:div w:id="1870021089">
      <w:bodyDiv w:val="1"/>
      <w:marLeft w:val="0"/>
      <w:marRight w:val="0"/>
      <w:marTop w:val="0"/>
      <w:marBottom w:val="0"/>
      <w:divBdr>
        <w:top w:val="none" w:sz="0" w:space="0" w:color="auto"/>
        <w:left w:val="none" w:sz="0" w:space="0" w:color="auto"/>
        <w:bottom w:val="none" w:sz="0" w:space="0" w:color="auto"/>
        <w:right w:val="none" w:sz="0" w:space="0" w:color="auto"/>
      </w:divBdr>
    </w:div>
    <w:div w:id="1878809943">
      <w:bodyDiv w:val="1"/>
      <w:marLeft w:val="0"/>
      <w:marRight w:val="0"/>
      <w:marTop w:val="0"/>
      <w:marBottom w:val="0"/>
      <w:divBdr>
        <w:top w:val="none" w:sz="0" w:space="0" w:color="auto"/>
        <w:left w:val="none" w:sz="0" w:space="0" w:color="auto"/>
        <w:bottom w:val="none" w:sz="0" w:space="0" w:color="auto"/>
        <w:right w:val="none" w:sz="0" w:space="0" w:color="auto"/>
      </w:divBdr>
    </w:div>
    <w:div w:id="1889536279">
      <w:bodyDiv w:val="1"/>
      <w:marLeft w:val="0"/>
      <w:marRight w:val="0"/>
      <w:marTop w:val="0"/>
      <w:marBottom w:val="0"/>
      <w:divBdr>
        <w:top w:val="none" w:sz="0" w:space="0" w:color="auto"/>
        <w:left w:val="none" w:sz="0" w:space="0" w:color="auto"/>
        <w:bottom w:val="none" w:sz="0" w:space="0" w:color="auto"/>
        <w:right w:val="none" w:sz="0" w:space="0" w:color="auto"/>
      </w:divBdr>
    </w:div>
    <w:div w:id="1900900199">
      <w:bodyDiv w:val="1"/>
      <w:marLeft w:val="0"/>
      <w:marRight w:val="0"/>
      <w:marTop w:val="0"/>
      <w:marBottom w:val="0"/>
      <w:divBdr>
        <w:top w:val="none" w:sz="0" w:space="0" w:color="auto"/>
        <w:left w:val="none" w:sz="0" w:space="0" w:color="auto"/>
        <w:bottom w:val="none" w:sz="0" w:space="0" w:color="auto"/>
        <w:right w:val="none" w:sz="0" w:space="0" w:color="auto"/>
      </w:divBdr>
    </w:div>
    <w:div w:id="1905292403">
      <w:bodyDiv w:val="1"/>
      <w:marLeft w:val="0"/>
      <w:marRight w:val="0"/>
      <w:marTop w:val="0"/>
      <w:marBottom w:val="0"/>
      <w:divBdr>
        <w:top w:val="none" w:sz="0" w:space="0" w:color="auto"/>
        <w:left w:val="none" w:sz="0" w:space="0" w:color="auto"/>
        <w:bottom w:val="none" w:sz="0" w:space="0" w:color="auto"/>
        <w:right w:val="none" w:sz="0" w:space="0" w:color="auto"/>
      </w:divBdr>
    </w:div>
    <w:div w:id="1909531228">
      <w:bodyDiv w:val="1"/>
      <w:marLeft w:val="0"/>
      <w:marRight w:val="0"/>
      <w:marTop w:val="0"/>
      <w:marBottom w:val="0"/>
      <w:divBdr>
        <w:top w:val="none" w:sz="0" w:space="0" w:color="auto"/>
        <w:left w:val="none" w:sz="0" w:space="0" w:color="auto"/>
        <w:bottom w:val="none" w:sz="0" w:space="0" w:color="auto"/>
        <w:right w:val="none" w:sz="0" w:space="0" w:color="auto"/>
      </w:divBdr>
    </w:div>
    <w:div w:id="1937058281">
      <w:bodyDiv w:val="1"/>
      <w:marLeft w:val="0"/>
      <w:marRight w:val="0"/>
      <w:marTop w:val="0"/>
      <w:marBottom w:val="0"/>
      <w:divBdr>
        <w:top w:val="none" w:sz="0" w:space="0" w:color="auto"/>
        <w:left w:val="none" w:sz="0" w:space="0" w:color="auto"/>
        <w:bottom w:val="none" w:sz="0" w:space="0" w:color="auto"/>
        <w:right w:val="none" w:sz="0" w:space="0" w:color="auto"/>
      </w:divBdr>
    </w:div>
    <w:div w:id="1942225389">
      <w:bodyDiv w:val="1"/>
      <w:marLeft w:val="0"/>
      <w:marRight w:val="0"/>
      <w:marTop w:val="0"/>
      <w:marBottom w:val="0"/>
      <w:divBdr>
        <w:top w:val="none" w:sz="0" w:space="0" w:color="auto"/>
        <w:left w:val="none" w:sz="0" w:space="0" w:color="auto"/>
        <w:bottom w:val="none" w:sz="0" w:space="0" w:color="auto"/>
        <w:right w:val="none" w:sz="0" w:space="0" w:color="auto"/>
      </w:divBdr>
      <w:divsChild>
        <w:div w:id="1491169472">
          <w:marLeft w:val="446"/>
          <w:marRight w:val="0"/>
          <w:marTop w:val="0"/>
          <w:marBottom w:val="0"/>
          <w:divBdr>
            <w:top w:val="none" w:sz="0" w:space="0" w:color="auto"/>
            <w:left w:val="none" w:sz="0" w:space="0" w:color="auto"/>
            <w:bottom w:val="none" w:sz="0" w:space="0" w:color="auto"/>
            <w:right w:val="none" w:sz="0" w:space="0" w:color="auto"/>
          </w:divBdr>
        </w:div>
        <w:div w:id="1097289340">
          <w:marLeft w:val="446"/>
          <w:marRight w:val="0"/>
          <w:marTop w:val="0"/>
          <w:marBottom w:val="0"/>
          <w:divBdr>
            <w:top w:val="none" w:sz="0" w:space="0" w:color="auto"/>
            <w:left w:val="none" w:sz="0" w:space="0" w:color="auto"/>
            <w:bottom w:val="none" w:sz="0" w:space="0" w:color="auto"/>
            <w:right w:val="none" w:sz="0" w:space="0" w:color="auto"/>
          </w:divBdr>
        </w:div>
        <w:div w:id="1150756257">
          <w:marLeft w:val="446"/>
          <w:marRight w:val="0"/>
          <w:marTop w:val="0"/>
          <w:marBottom w:val="0"/>
          <w:divBdr>
            <w:top w:val="none" w:sz="0" w:space="0" w:color="auto"/>
            <w:left w:val="none" w:sz="0" w:space="0" w:color="auto"/>
            <w:bottom w:val="none" w:sz="0" w:space="0" w:color="auto"/>
            <w:right w:val="none" w:sz="0" w:space="0" w:color="auto"/>
          </w:divBdr>
        </w:div>
        <w:div w:id="302931013">
          <w:marLeft w:val="446"/>
          <w:marRight w:val="0"/>
          <w:marTop w:val="0"/>
          <w:marBottom w:val="0"/>
          <w:divBdr>
            <w:top w:val="none" w:sz="0" w:space="0" w:color="auto"/>
            <w:left w:val="none" w:sz="0" w:space="0" w:color="auto"/>
            <w:bottom w:val="none" w:sz="0" w:space="0" w:color="auto"/>
            <w:right w:val="none" w:sz="0" w:space="0" w:color="auto"/>
          </w:divBdr>
        </w:div>
      </w:divsChild>
    </w:div>
    <w:div w:id="1944847689">
      <w:bodyDiv w:val="1"/>
      <w:marLeft w:val="0"/>
      <w:marRight w:val="0"/>
      <w:marTop w:val="0"/>
      <w:marBottom w:val="0"/>
      <w:divBdr>
        <w:top w:val="none" w:sz="0" w:space="0" w:color="auto"/>
        <w:left w:val="none" w:sz="0" w:space="0" w:color="auto"/>
        <w:bottom w:val="none" w:sz="0" w:space="0" w:color="auto"/>
        <w:right w:val="none" w:sz="0" w:space="0" w:color="auto"/>
      </w:divBdr>
    </w:div>
    <w:div w:id="1945533632">
      <w:bodyDiv w:val="1"/>
      <w:marLeft w:val="0"/>
      <w:marRight w:val="0"/>
      <w:marTop w:val="0"/>
      <w:marBottom w:val="0"/>
      <w:divBdr>
        <w:top w:val="none" w:sz="0" w:space="0" w:color="auto"/>
        <w:left w:val="none" w:sz="0" w:space="0" w:color="auto"/>
        <w:bottom w:val="none" w:sz="0" w:space="0" w:color="auto"/>
        <w:right w:val="none" w:sz="0" w:space="0" w:color="auto"/>
      </w:divBdr>
    </w:div>
    <w:div w:id="1948778665">
      <w:bodyDiv w:val="1"/>
      <w:marLeft w:val="0"/>
      <w:marRight w:val="0"/>
      <w:marTop w:val="0"/>
      <w:marBottom w:val="0"/>
      <w:divBdr>
        <w:top w:val="none" w:sz="0" w:space="0" w:color="auto"/>
        <w:left w:val="none" w:sz="0" w:space="0" w:color="auto"/>
        <w:bottom w:val="none" w:sz="0" w:space="0" w:color="auto"/>
        <w:right w:val="none" w:sz="0" w:space="0" w:color="auto"/>
      </w:divBdr>
    </w:div>
    <w:div w:id="1950576389">
      <w:bodyDiv w:val="1"/>
      <w:marLeft w:val="0"/>
      <w:marRight w:val="0"/>
      <w:marTop w:val="0"/>
      <w:marBottom w:val="0"/>
      <w:divBdr>
        <w:top w:val="none" w:sz="0" w:space="0" w:color="auto"/>
        <w:left w:val="none" w:sz="0" w:space="0" w:color="auto"/>
        <w:bottom w:val="none" w:sz="0" w:space="0" w:color="auto"/>
        <w:right w:val="none" w:sz="0" w:space="0" w:color="auto"/>
      </w:divBdr>
    </w:div>
    <w:div w:id="1955749847">
      <w:bodyDiv w:val="1"/>
      <w:marLeft w:val="0"/>
      <w:marRight w:val="0"/>
      <w:marTop w:val="0"/>
      <w:marBottom w:val="0"/>
      <w:divBdr>
        <w:top w:val="none" w:sz="0" w:space="0" w:color="auto"/>
        <w:left w:val="none" w:sz="0" w:space="0" w:color="auto"/>
        <w:bottom w:val="none" w:sz="0" w:space="0" w:color="auto"/>
        <w:right w:val="none" w:sz="0" w:space="0" w:color="auto"/>
      </w:divBdr>
    </w:div>
    <w:div w:id="1973318862">
      <w:bodyDiv w:val="1"/>
      <w:marLeft w:val="0"/>
      <w:marRight w:val="0"/>
      <w:marTop w:val="0"/>
      <w:marBottom w:val="0"/>
      <w:divBdr>
        <w:top w:val="none" w:sz="0" w:space="0" w:color="auto"/>
        <w:left w:val="none" w:sz="0" w:space="0" w:color="auto"/>
        <w:bottom w:val="none" w:sz="0" w:space="0" w:color="auto"/>
        <w:right w:val="none" w:sz="0" w:space="0" w:color="auto"/>
      </w:divBdr>
    </w:div>
    <w:div w:id="1984698820">
      <w:bodyDiv w:val="1"/>
      <w:marLeft w:val="0"/>
      <w:marRight w:val="0"/>
      <w:marTop w:val="0"/>
      <w:marBottom w:val="0"/>
      <w:divBdr>
        <w:top w:val="none" w:sz="0" w:space="0" w:color="auto"/>
        <w:left w:val="none" w:sz="0" w:space="0" w:color="auto"/>
        <w:bottom w:val="none" w:sz="0" w:space="0" w:color="auto"/>
        <w:right w:val="none" w:sz="0" w:space="0" w:color="auto"/>
      </w:divBdr>
      <w:divsChild>
        <w:div w:id="982003008">
          <w:marLeft w:val="0"/>
          <w:marRight w:val="0"/>
          <w:marTop w:val="0"/>
          <w:marBottom w:val="180"/>
          <w:divBdr>
            <w:top w:val="none" w:sz="0" w:space="0" w:color="auto"/>
            <w:left w:val="none" w:sz="0" w:space="0" w:color="auto"/>
            <w:bottom w:val="none" w:sz="0" w:space="0" w:color="auto"/>
            <w:right w:val="none" w:sz="0" w:space="0" w:color="auto"/>
          </w:divBdr>
          <w:divsChild>
            <w:div w:id="1934583426">
              <w:marLeft w:val="0"/>
              <w:marRight w:val="0"/>
              <w:marTop w:val="0"/>
              <w:marBottom w:val="0"/>
              <w:divBdr>
                <w:top w:val="none" w:sz="0" w:space="0" w:color="auto"/>
                <w:left w:val="none" w:sz="0" w:space="0" w:color="auto"/>
                <w:bottom w:val="none" w:sz="0" w:space="0" w:color="auto"/>
                <w:right w:val="none" w:sz="0" w:space="0" w:color="auto"/>
              </w:divBdr>
              <w:divsChild>
                <w:div w:id="1271232226">
                  <w:marLeft w:val="0"/>
                  <w:marRight w:val="0"/>
                  <w:marTop w:val="0"/>
                  <w:marBottom w:val="0"/>
                  <w:divBdr>
                    <w:top w:val="none" w:sz="0" w:space="0" w:color="auto"/>
                    <w:left w:val="none" w:sz="0" w:space="0" w:color="auto"/>
                    <w:bottom w:val="none" w:sz="0" w:space="0" w:color="auto"/>
                    <w:right w:val="none" w:sz="0" w:space="0" w:color="auto"/>
                  </w:divBdr>
                  <w:divsChild>
                    <w:div w:id="87771793">
                      <w:marLeft w:val="0"/>
                      <w:marRight w:val="0"/>
                      <w:marTop w:val="0"/>
                      <w:marBottom w:val="0"/>
                      <w:divBdr>
                        <w:top w:val="none" w:sz="0" w:space="0" w:color="auto"/>
                        <w:left w:val="none" w:sz="0" w:space="0" w:color="auto"/>
                        <w:bottom w:val="none" w:sz="0" w:space="0" w:color="auto"/>
                        <w:right w:val="none" w:sz="0" w:space="0" w:color="auto"/>
                      </w:divBdr>
                      <w:divsChild>
                        <w:div w:id="143856548">
                          <w:marLeft w:val="0"/>
                          <w:marRight w:val="0"/>
                          <w:marTop w:val="0"/>
                          <w:marBottom w:val="0"/>
                          <w:divBdr>
                            <w:top w:val="none" w:sz="0" w:space="0" w:color="auto"/>
                            <w:left w:val="none" w:sz="0" w:space="0" w:color="auto"/>
                            <w:bottom w:val="none" w:sz="0" w:space="0" w:color="auto"/>
                            <w:right w:val="none" w:sz="0" w:space="0" w:color="auto"/>
                          </w:divBdr>
                          <w:divsChild>
                            <w:div w:id="41176375">
                              <w:marLeft w:val="0"/>
                              <w:marRight w:val="0"/>
                              <w:marTop w:val="0"/>
                              <w:marBottom w:val="0"/>
                              <w:divBdr>
                                <w:top w:val="none" w:sz="0" w:space="0" w:color="auto"/>
                                <w:left w:val="none" w:sz="0" w:space="0" w:color="auto"/>
                                <w:bottom w:val="none" w:sz="0" w:space="0" w:color="auto"/>
                                <w:right w:val="none" w:sz="0" w:space="0" w:color="auto"/>
                              </w:divBdr>
                            </w:div>
                            <w:div w:id="1323045616">
                              <w:marLeft w:val="0"/>
                              <w:marRight w:val="0"/>
                              <w:marTop w:val="0"/>
                              <w:marBottom w:val="0"/>
                              <w:divBdr>
                                <w:top w:val="none" w:sz="0" w:space="0" w:color="auto"/>
                                <w:left w:val="none" w:sz="0" w:space="0" w:color="auto"/>
                                <w:bottom w:val="none" w:sz="0" w:space="0" w:color="auto"/>
                                <w:right w:val="none" w:sz="0" w:space="0" w:color="auto"/>
                              </w:divBdr>
                            </w:div>
                            <w:div w:id="1184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344189">
          <w:marLeft w:val="0"/>
          <w:marRight w:val="0"/>
          <w:marTop w:val="0"/>
          <w:marBottom w:val="180"/>
          <w:divBdr>
            <w:top w:val="none" w:sz="0" w:space="0" w:color="auto"/>
            <w:left w:val="none" w:sz="0" w:space="0" w:color="auto"/>
            <w:bottom w:val="none" w:sz="0" w:space="0" w:color="auto"/>
            <w:right w:val="none" w:sz="0" w:space="0" w:color="auto"/>
          </w:divBdr>
          <w:divsChild>
            <w:div w:id="1574705857">
              <w:marLeft w:val="0"/>
              <w:marRight w:val="0"/>
              <w:marTop w:val="0"/>
              <w:marBottom w:val="0"/>
              <w:divBdr>
                <w:top w:val="none" w:sz="0" w:space="0" w:color="auto"/>
                <w:left w:val="none" w:sz="0" w:space="0" w:color="auto"/>
                <w:bottom w:val="none" w:sz="0" w:space="0" w:color="auto"/>
                <w:right w:val="none" w:sz="0" w:space="0" w:color="auto"/>
              </w:divBdr>
              <w:divsChild>
                <w:div w:id="295138735">
                  <w:marLeft w:val="0"/>
                  <w:marRight w:val="0"/>
                  <w:marTop w:val="0"/>
                  <w:marBottom w:val="0"/>
                  <w:divBdr>
                    <w:top w:val="none" w:sz="0" w:space="0" w:color="auto"/>
                    <w:left w:val="none" w:sz="0" w:space="0" w:color="auto"/>
                    <w:bottom w:val="none" w:sz="0" w:space="0" w:color="auto"/>
                    <w:right w:val="none" w:sz="0" w:space="0" w:color="auto"/>
                  </w:divBdr>
                  <w:divsChild>
                    <w:div w:id="1854413753">
                      <w:marLeft w:val="0"/>
                      <w:marRight w:val="0"/>
                      <w:marTop w:val="0"/>
                      <w:marBottom w:val="0"/>
                      <w:divBdr>
                        <w:top w:val="none" w:sz="0" w:space="0" w:color="auto"/>
                        <w:left w:val="none" w:sz="0" w:space="0" w:color="auto"/>
                        <w:bottom w:val="none" w:sz="0" w:space="0" w:color="auto"/>
                        <w:right w:val="none" w:sz="0" w:space="0" w:color="auto"/>
                      </w:divBdr>
                      <w:divsChild>
                        <w:div w:id="962855672">
                          <w:marLeft w:val="0"/>
                          <w:marRight w:val="0"/>
                          <w:marTop w:val="0"/>
                          <w:marBottom w:val="0"/>
                          <w:divBdr>
                            <w:top w:val="none" w:sz="0" w:space="0" w:color="auto"/>
                            <w:left w:val="none" w:sz="0" w:space="0" w:color="auto"/>
                            <w:bottom w:val="none" w:sz="0" w:space="0" w:color="auto"/>
                            <w:right w:val="none" w:sz="0" w:space="0" w:color="auto"/>
                          </w:divBdr>
                          <w:divsChild>
                            <w:div w:id="338970944">
                              <w:marLeft w:val="0"/>
                              <w:marRight w:val="0"/>
                              <w:marTop w:val="0"/>
                              <w:marBottom w:val="0"/>
                              <w:divBdr>
                                <w:top w:val="none" w:sz="0" w:space="0" w:color="auto"/>
                                <w:left w:val="none" w:sz="0" w:space="0" w:color="auto"/>
                                <w:bottom w:val="none" w:sz="0" w:space="0" w:color="auto"/>
                                <w:right w:val="none" w:sz="0" w:space="0" w:color="auto"/>
                              </w:divBdr>
                            </w:div>
                            <w:div w:id="1192188983">
                              <w:marLeft w:val="0"/>
                              <w:marRight w:val="0"/>
                              <w:marTop w:val="0"/>
                              <w:marBottom w:val="0"/>
                              <w:divBdr>
                                <w:top w:val="none" w:sz="0" w:space="0" w:color="auto"/>
                                <w:left w:val="none" w:sz="0" w:space="0" w:color="auto"/>
                                <w:bottom w:val="none" w:sz="0" w:space="0" w:color="auto"/>
                                <w:right w:val="none" w:sz="0" w:space="0" w:color="auto"/>
                              </w:divBdr>
                            </w:div>
                            <w:div w:id="1149203401">
                              <w:marLeft w:val="0"/>
                              <w:marRight w:val="0"/>
                              <w:marTop w:val="0"/>
                              <w:marBottom w:val="0"/>
                              <w:divBdr>
                                <w:top w:val="none" w:sz="0" w:space="0" w:color="auto"/>
                                <w:left w:val="none" w:sz="0" w:space="0" w:color="auto"/>
                                <w:bottom w:val="none" w:sz="0" w:space="0" w:color="auto"/>
                                <w:right w:val="none" w:sz="0" w:space="0" w:color="auto"/>
                              </w:divBdr>
                            </w:div>
                            <w:div w:id="42141291">
                              <w:marLeft w:val="0"/>
                              <w:marRight w:val="0"/>
                              <w:marTop w:val="0"/>
                              <w:marBottom w:val="0"/>
                              <w:divBdr>
                                <w:top w:val="none" w:sz="0" w:space="0" w:color="auto"/>
                                <w:left w:val="none" w:sz="0" w:space="0" w:color="auto"/>
                                <w:bottom w:val="none" w:sz="0" w:space="0" w:color="auto"/>
                                <w:right w:val="none" w:sz="0" w:space="0" w:color="auto"/>
                              </w:divBdr>
                            </w:div>
                            <w:div w:id="1381512105">
                              <w:marLeft w:val="0"/>
                              <w:marRight w:val="0"/>
                              <w:marTop w:val="0"/>
                              <w:marBottom w:val="0"/>
                              <w:divBdr>
                                <w:top w:val="none" w:sz="0" w:space="0" w:color="auto"/>
                                <w:left w:val="none" w:sz="0" w:space="0" w:color="auto"/>
                                <w:bottom w:val="none" w:sz="0" w:space="0" w:color="auto"/>
                                <w:right w:val="none" w:sz="0" w:space="0" w:color="auto"/>
                              </w:divBdr>
                            </w:div>
                            <w:div w:id="1997146482">
                              <w:marLeft w:val="0"/>
                              <w:marRight w:val="0"/>
                              <w:marTop w:val="0"/>
                              <w:marBottom w:val="0"/>
                              <w:divBdr>
                                <w:top w:val="none" w:sz="0" w:space="0" w:color="auto"/>
                                <w:left w:val="none" w:sz="0" w:space="0" w:color="auto"/>
                                <w:bottom w:val="none" w:sz="0" w:space="0" w:color="auto"/>
                                <w:right w:val="none" w:sz="0" w:space="0" w:color="auto"/>
                              </w:divBdr>
                            </w:div>
                            <w:div w:id="1699117941">
                              <w:marLeft w:val="0"/>
                              <w:marRight w:val="0"/>
                              <w:marTop w:val="0"/>
                              <w:marBottom w:val="0"/>
                              <w:divBdr>
                                <w:top w:val="none" w:sz="0" w:space="0" w:color="auto"/>
                                <w:left w:val="none" w:sz="0" w:space="0" w:color="auto"/>
                                <w:bottom w:val="none" w:sz="0" w:space="0" w:color="auto"/>
                                <w:right w:val="none" w:sz="0" w:space="0" w:color="auto"/>
                              </w:divBdr>
                            </w:div>
                            <w:div w:id="1780686985">
                              <w:marLeft w:val="0"/>
                              <w:marRight w:val="0"/>
                              <w:marTop w:val="0"/>
                              <w:marBottom w:val="0"/>
                              <w:divBdr>
                                <w:top w:val="none" w:sz="0" w:space="0" w:color="auto"/>
                                <w:left w:val="none" w:sz="0" w:space="0" w:color="auto"/>
                                <w:bottom w:val="none" w:sz="0" w:space="0" w:color="auto"/>
                                <w:right w:val="none" w:sz="0" w:space="0" w:color="auto"/>
                              </w:divBdr>
                            </w:div>
                            <w:div w:id="757750211">
                              <w:marLeft w:val="0"/>
                              <w:marRight w:val="0"/>
                              <w:marTop w:val="0"/>
                              <w:marBottom w:val="0"/>
                              <w:divBdr>
                                <w:top w:val="none" w:sz="0" w:space="0" w:color="auto"/>
                                <w:left w:val="none" w:sz="0" w:space="0" w:color="auto"/>
                                <w:bottom w:val="none" w:sz="0" w:space="0" w:color="auto"/>
                                <w:right w:val="none" w:sz="0" w:space="0" w:color="auto"/>
                              </w:divBdr>
                            </w:div>
                            <w:div w:id="82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942020">
      <w:bodyDiv w:val="1"/>
      <w:marLeft w:val="0"/>
      <w:marRight w:val="0"/>
      <w:marTop w:val="0"/>
      <w:marBottom w:val="0"/>
      <w:divBdr>
        <w:top w:val="none" w:sz="0" w:space="0" w:color="auto"/>
        <w:left w:val="none" w:sz="0" w:space="0" w:color="auto"/>
        <w:bottom w:val="none" w:sz="0" w:space="0" w:color="auto"/>
        <w:right w:val="none" w:sz="0" w:space="0" w:color="auto"/>
      </w:divBdr>
    </w:div>
    <w:div w:id="1996182659">
      <w:bodyDiv w:val="1"/>
      <w:marLeft w:val="0"/>
      <w:marRight w:val="0"/>
      <w:marTop w:val="0"/>
      <w:marBottom w:val="0"/>
      <w:divBdr>
        <w:top w:val="none" w:sz="0" w:space="0" w:color="auto"/>
        <w:left w:val="none" w:sz="0" w:space="0" w:color="auto"/>
        <w:bottom w:val="none" w:sz="0" w:space="0" w:color="auto"/>
        <w:right w:val="none" w:sz="0" w:space="0" w:color="auto"/>
      </w:divBdr>
    </w:div>
    <w:div w:id="2006740275">
      <w:bodyDiv w:val="1"/>
      <w:marLeft w:val="0"/>
      <w:marRight w:val="0"/>
      <w:marTop w:val="0"/>
      <w:marBottom w:val="0"/>
      <w:divBdr>
        <w:top w:val="none" w:sz="0" w:space="0" w:color="auto"/>
        <w:left w:val="none" w:sz="0" w:space="0" w:color="auto"/>
        <w:bottom w:val="none" w:sz="0" w:space="0" w:color="auto"/>
        <w:right w:val="none" w:sz="0" w:space="0" w:color="auto"/>
      </w:divBdr>
    </w:div>
    <w:div w:id="2009864170">
      <w:bodyDiv w:val="1"/>
      <w:marLeft w:val="0"/>
      <w:marRight w:val="0"/>
      <w:marTop w:val="0"/>
      <w:marBottom w:val="0"/>
      <w:divBdr>
        <w:top w:val="none" w:sz="0" w:space="0" w:color="auto"/>
        <w:left w:val="none" w:sz="0" w:space="0" w:color="auto"/>
        <w:bottom w:val="none" w:sz="0" w:space="0" w:color="auto"/>
        <w:right w:val="none" w:sz="0" w:space="0" w:color="auto"/>
      </w:divBdr>
    </w:div>
    <w:div w:id="2020622190">
      <w:bodyDiv w:val="1"/>
      <w:marLeft w:val="0"/>
      <w:marRight w:val="0"/>
      <w:marTop w:val="0"/>
      <w:marBottom w:val="0"/>
      <w:divBdr>
        <w:top w:val="none" w:sz="0" w:space="0" w:color="auto"/>
        <w:left w:val="none" w:sz="0" w:space="0" w:color="auto"/>
        <w:bottom w:val="none" w:sz="0" w:space="0" w:color="auto"/>
        <w:right w:val="none" w:sz="0" w:space="0" w:color="auto"/>
      </w:divBdr>
    </w:div>
    <w:div w:id="2050452773">
      <w:bodyDiv w:val="1"/>
      <w:marLeft w:val="0"/>
      <w:marRight w:val="0"/>
      <w:marTop w:val="0"/>
      <w:marBottom w:val="0"/>
      <w:divBdr>
        <w:top w:val="none" w:sz="0" w:space="0" w:color="auto"/>
        <w:left w:val="none" w:sz="0" w:space="0" w:color="auto"/>
        <w:bottom w:val="none" w:sz="0" w:space="0" w:color="auto"/>
        <w:right w:val="none" w:sz="0" w:space="0" w:color="auto"/>
      </w:divBdr>
    </w:div>
    <w:div w:id="2052067028">
      <w:bodyDiv w:val="1"/>
      <w:marLeft w:val="0"/>
      <w:marRight w:val="0"/>
      <w:marTop w:val="0"/>
      <w:marBottom w:val="0"/>
      <w:divBdr>
        <w:top w:val="none" w:sz="0" w:space="0" w:color="auto"/>
        <w:left w:val="none" w:sz="0" w:space="0" w:color="auto"/>
        <w:bottom w:val="none" w:sz="0" w:space="0" w:color="auto"/>
        <w:right w:val="none" w:sz="0" w:space="0" w:color="auto"/>
      </w:divBdr>
      <w:divsChild>
        <w:div w:id="1399324880">
          <w:marLeft w:val="446"/>
          <w:marRight w:val="0"/>
          <w:marTop w:val="0"/>
          <w:marBottom w:val="0"/>
          <w:divBdr>
            <w:top w:val="none" w:sz="0" w:space="0" w:color="auto"/>
            <w:left w:val="none" w:sz="0" w:space="0" w:color="auto"/>
            <w:bottom w:val="none" w:sz="0" w:space="0" w:color="auto"/>
            <w:right w:val="none" w:sz="0" w:space="0" w:color="auto"/>
          </w:divBdr>
        </w:div>
        <w:div w:id="127171592">
          <w:marLeft w:val="446"/>
          <w:marRight w:val="0"/>
          <w:marTop w:val="0"/>
          <w:marBottom w:val="0"/>
          <w:divBdr>
            <w:top w:val="none" w:sz="0" w:space="0" w:color="auto"/>
            <w:left w:val="none" w:sz="0" w:space="0" w:color="auto"/>
            <w:bottom w:val="none" w:sz="0" w:space="0" w:color="auto"/>
            <w:right w:val="none" w:sz="0" w:space="0" w:color="auto"/>
          </w:divBdr>
        </w:div>
        <w:div w:id="715161037">
          <w:marLeft w:val="446"/>
          <w:marRight w:val="0"/>
          <w:marTop w:val="0"/>
          <w:marBottom w:val="0"/>
          <w:divBdr>
            <w:top w:val="none" w:sz="0" w:space="0" w:color="auto"/>
            <w:left w:val="none" w:sz="0" w:space="0" w:color="auto"/>
            <w:bottom w:val="none" w:sz="0" w:space="0" w:color="auto"/>
            <w:right w:val="none" w:sz="0" w:space="0" w:color="auto"/>
          </w:divBdr>
        </w:div>
        <w:div w:id="1128470503">
          <w:marLeft w:val="446"/>
          <w:marRight w:val="0"/>
          <w:marTop w:val="0"/>
          <w:marBottom w:val="0"/>
          <w:divBdr>
            <w:top w:val="none" w:sz="0" w:space="0" w:color="auto"/>
            <w:left w:val="none" w:sz="0" w:space="0" w:color="auto"/>
            <w:bottom w:val="none" w:sz="0" w:space="0" w:color="auto"/>
            <w:right w:val="none" w:sz="0" w:space="0" w:color="auto"/>
          </w:divBdr>
        </w:div>
      </w:divsChild>
    </w:div>
    <w:div w:id="2052722767">
      <w:bodyDiv w:val="1"/>
      <w:marLeft w:val="0"/>
      <w:marRight w:val="0"/>
      <w:marTop w:val="0"/>
      <w:marBottom w:val="0"/>
      <w:divBdr>
        <w:top w:val="none" w:sz="0" w:space="0" w:color="auto"/>
        <w:left w:val="none" w:sz="0" w:space="0" w:color="auto"/>
        <w:bottom w:val="none" w:sz="0" w:space="0" w:color="auto"/>
        <w:right w:val="none" w:sz="0" w:space="0" w:color="auto"/>
      </w:divBdr>
    </w:div>
    <w:div w:id="2059936238">
      <w:bodyDiv w:val="1"/>
      <w:marLeft w:val="0"/>
      <w:marRight w:val="0"/>
      <w:marTop w:val="0"/>
      <w:marBottom w:val="0"/>
      <w:divBdr>
        <w:top w:val="none" w:sz="0" w:space="0" w:color="auto"/>
        <w:left w:val="none" w:sz="0" w:space="0" w:color="auto"/>
        <w:bottom w:val="none" w:sz="0" w:space="0" w:color="auto"/>
        <w:right w:val="none" w:sz="0" w:space="0" w:color="auto"/>
      </w:divBdr>
    </w:div>
    <w:div w:id="2067021027">
      <w:bodyDiv w:val="1"/>
      <w:marLeft w:val="0"/>
      <w:marRight w:val="0"/>
      <w:marTop w:val="0"/>
      <w:marBottom w:val="0"/>
      <w:divBdr>
        <w:top w:val="none" w:sz="0" w:space="0" w:color="auto"/>
        <w:left w:val="none" w:sz="0" w:space="0" w:color="auto"/>
        <w:bottom w:val="none" w:sz="0" w:space="0" w:color="auto"/>
        <w:right w:val="none" w:sz="0" w:space="0" w:color="auto"/>
      </w:divBdr>
    </w:div>
    <w:div w:id="2069104486">
      <w:bodyDiv w:val="1"/>
      <w:marLeft w:val="0"/>
      <w:marRight w:val="0"/>
      <w:marTop w:val="0"/>
      <w:marBottom w:val="0"/>
      <w:divBdr>
        <w:top w:val="none" w:sz="0" w:space="0" w:color="auto"/>
        <w:left w:val="none" w:sz="0" w:space="0" w:color="auto"/>
        <w:bottom w:val="none" w:sz="0" w:space="0" w:color="auto"/>
        <w:right w:val="none" w:sz="0" w:space="0" w:color="auto"/>
      </w:divBdr>
    </w:div>
    <w:div w:id="2084057391">
      <w:bodyDiv w:val="1"/>
      <w:marLeft w:val="0"/>
      <w:marRight w:val="0"/>
      <w:marTop w:val="0"/>
      <w:marBottom w:val="0"/>
      <w:divBdr>
        <w:top w:val="none" w:sz="0" w:space="0" w:color="auto"/>
        <w:left w:val="none" w:sz="0" w:space="0" w:color="auto"/>
        <w:bottom w:val="none" w:sz="0" w:space="0" w:color="auto"/>
        <w:right w:val="none" w:sz="0" w:space="0" w:color="auto"/>
      </w:divBdr>
    </w:div>
    <w:div w:id="2088531913">
      <w:bodyDiv w:val="1"/>
      <w:marLeft w:val="0"/>
      <w:marRight w:val="0"/>
      <w:marTop w:val="0"/>
      <w:marBottom w:val="0"/>
      <w:divBdr>
        <w:top w:val="none" w:sz="0" w:space="0" w:color="auto"/>
        <w:left w:val="none" w:sz="0" w:space="0" w:color="auto"/>
        <w:bottom w:val="none" w:sz="0" w:space="0" w:color="auto"/>
        <w:right w:val="none" w:sz="0" w:space="0" w:color="auto"/>
      </w:divBdr>
    </w:div>
    <w:div w:id="2096197328">
      <w:bodyDiv w:val="1"/>
      <w:marLeft w:val="0"/>
      <w:marRight w:val="0"/>
      <w:marTop w:val="0"/>
      <w:marBottom w:val="0"/>
      <w:divBdr>
        <w:top w:val="none" w:sz="0" w:space="0" w:color="auto"/>
        <w:left w:val="none" w:sz="0" w:space="0" w:color="auto"/>
        <w:bottom w:val="none" w:sz="0" w:space="0" w:color="auto"/>
        <w:right w:val="none" w:sz="0" w:space="0" w:color="auto"/>
      </w:divBdr>
    </w:div>
    <w:div w:id="2098674903">
      <w:bodyDiv w:val="1"/>
      <w:marLeft w:val="0"/>
      <w:marRight w:val="0"/>
      <w:marTop w:val="0"/>
      <w:marBottom w:val="0"/>
      <w:divBdr>
        <w:top w:val="none" w:sz="0" w:space="0" w:color="auto"/>
        <w:left w:val="none" w:sz="0" w:space="0" w:color="auto"/>
        <w:bottom w:val="none" w:sz="0" w:space="0" w:color="auto"/>
        <w:right w:val="none" w:sz="0" w:space="0" w:color="auto"/>
      </w:divBdr>
      <w:divsChild>
        <w:div w:id="1844274553">
          <w:marLeft w:val="0"/>
          <w:marRight w:val="0"/>
          <w:marTop w:val="0"/>
          <w:marBottom w:val="0"/>
          <w:divBdr>
            <w:top w:val="none" w:sz="0" w:space="0" w:color="auto"/>
            <w:left w:val="none" w:sz="0" w:space="0" w:color="auto"/>
            <w:bottom w:val="none" w:sz="0" w:space="0" w:color="auto"/>
            <w:right w:val="none" w:sz="0" w:space="0" w:color="auto"/>
          </w:divBdr>
          <w:divsChild>
            <w:div w:id="1989435742">
              <w:marLeft w:val="0"/>
              <w:marRight w:val="0"/>
              <w:marTop w:val="0"/>
              <w:marBottom w:val="0"/>
              <w:divBdr>
                <w:top w:val="none" w:sz="0" w:space="0" w:color="auto"/>
                <w:left w:val="none" w:sz="0" w:space="0" w:color="auto"/>
                <w:bottom w:val="none" w:sz="0" w:space="0" w:color="auto"/>
                <w:right w:val="none" w:sz="0" w:space="0" w:color="auto"/>
              </w:divBdr>
              <w:divsChild>
                <w:div w:id="154303506">
                  <w:marLeft w:val="0"/>
                  <w:marRight w:val="0"/>
                  <w:marTop w:val="0"/>
                  <w:marBottom w:val="0"/>
                  <w:divBdr>
                    <w:top w:val="none" w:sz="0" w:space="0" w:color="auto"/>
                    <w:left w:val="none" w:sz="0" w:space="0" w:color="auto"/>
                    <w:bottom w:val="none" w:sz="0" w:space="0" w:color="auto"/>
                    <w:right w:val="none" w:sz="0" w:space="0" w:color="auto"/>
                  </w:divBdr>
                  <w:divsChild>
                    <w:div w:id="5804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17809">
      <w:bodyDiv w:val="1"/>
      <w:marLeft w:val="0"/>
      <w:marRight w:val="0"/>
      <w:marTop w:val="0"/>
      <w:marBottom w:val="0"/>
      <w:divBdr>
        <w:top w:val="none" w:sz="0" w:space="0" w:color="auto"/>
        <w:left w:val="none" w:sz="0" w:space="0" w:color="auto"/>
        <w:bottom w:val="none" w:sz="0" w:space="0" w:color="auto"/>
        <w:right w:val="none" w:sz="0" w:space="0" w:color="auto"/>
      </w:divBdr>
    </w:div>
    <w:div w:id="2102488082">
      <w:bodyDiv w:val="1"/>
      <w:marLeft w:val="0"/>
      <w:marRight w:val="0"/>
      <w:marTop w:val="0"/>
      <w:marBottom w:val="0"/>
      <w:divBdr>
        <w:top w:val="none" w:sz="0" w:space="0" w:color="auto"/>
        <w:left w:val="none" w:sz="0" w:space="0" w:color="auto"/>
        <w:bottom w:val="none" w:sz="0" w:space="0" w:color="auto"/>
        <w:right w:val="none" w:sz="0" w:space="0" w:color="auto"/>
      </w:divBdr>
    </w:div>
    <w:div w:id="2102724577">
      <w:bodyDiv w:val="1"/>
      <w:marLeft w:val="0"/>
      <w:marRight w:val="0"/>
      <w:marTop w:val="0"/>
      <w:marBottom w:val="0"/>
      <w:divBdr>
        <w:top w:val="none" w:sz="0" w:space="0" w:color="auto"/>
        <w:left w:val="none" w:sz="0" w:space="0" w:color="auto"/>
        <w:bottom w:val="none" w:sz="0" w:space="0" w:color="auto"/>
        <w:right w:val="none" w:sz="0" w:space="0" w:color="auto"/>
      </w:divBdr>
    </w:div>
    <w:div w:id="2111001111">
      <w:bodyDiv w:val="1"/>
      <w:marLeft w:val="0"/>
      <w:marRight w:val="0"/>
      <w:marTop w:val="0"/>
      <w:marBottom w:val="0"/>
      <w:divBdr>
        <w:top w:val="none" w:sz="0" w:space="0" w:color="auto"/>
        <w:left w:val="none" w:sz="0" w:space="0" w:color="auto"/>
        <w:bottom w:val="none" w:sz="0" w:space="0" w:color="auto"/>
        <w:right w:val="none" w:sz="0" w:space="0" w:color="auto"/>
      </w:divBdr>
    </w:div>
    <w:div w:id="2111462133">
      <w:bodyDiv w:val="1"/>
      <w:marLeft w:val="0"/>
      <w:marRight w:val="0"/>
      <w:marTop w:val="0"/>
      <w:marBottom w:val="0"/>
      <w:divBdr>
        <w:top w:val="none" w:sz="0" w:space="0" w:color="auto"/>
        <w:left w:val="none" w:sz="0" w:space="0" w:color="auto"/>
        <w:bottom w:val="none" w:sz="0" w:space="0" w:color="auto"/>
        <w:right w:val="none" w:sz="0" w:space="0" w:color="auto"/>
      </w:divBdr>
    </w:div>
    <w:div w:id="2116707632">
      <w:bodyDiv w:val="1"/>
      <w:marLeft w:val="0"/>
      <w:marRight w:val="0"/>
      <w:marTop w:val="0"/>
      <w:marBottom w:val="0"/>
      <w:divBdr>
        <w:top w:val="none" w:sz="0" w:space="0" w:color="auto"/>
        <w:left w:val="none" w:sz="0" w:space="0" w:color="auto"/>
        <w:bottom w:val="none" w:sz="0" w:space="0" w:color="auto"/>
        <w:right w:val="none" w:sz="0" w:space="0" w:color="auto"/>
      </w:divBdr>
    </w:div>
    <w:div w:id="212175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header" Target="header5.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B95F3-72AD-462E-9A1C-95BC8740B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154235</Words>
  <Characters>832872</Characters>
  <Application>Microsoft Office Word</Application>
  <DocSecurity>0</DocSecurity>
  <Lines>6940</Lines>
  <Paragraphs>1970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aires</dc:creator>
  <cp:keywords/>
  <dc:description/>
  <cp:lastModifiedBy>elisa aires</cp:lastModifiedBy>
  <cp:revision>4</cp:revision>
  <cp:lastPrinted>2023-02-14T19:22:00Z</cp:lastPrinted>
  <dcterms:created xsi:type="dcterms:W3CDTF">2023-04-04T00:03:00Z</dcterms:created>
  <dcterms:modified xsi:type="dcterms:W3CDTF">2023-04-05T18:04:00Z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id="3mtlj1DA"/&gt;&lt;style id="http://www.zotero.org/styles/vancouver" locale="pt-BR" hasBibliography="1" bibliographyStyleHasBeenSet="1"/&gt;&lt;prefs&gt;&lt;pref name="fieldType" value="Field"/&gt;&lt;pref name="dontAskD</vt:lpwstr>
  </property>
  <property fmtid="{D5CDD505-2E9C-101B-9397-08002B2CF9AE}" pid="3" name="ZOTERO_PREF_2">
    <vt:lpwstr>elayCitationUpdates" value="true"/&gt;&lt;/prefs&gt;&lt;/data&gt;</vt:lpwstr>
  </property>
</Properties>
</file>